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130FB" w14:textId="77777777" w:rsidR="000D716D" w:rsidRPr="002D6D46" w:rsidRDefault="00000000" w:rsidP="002D6D46">
      <w:pPr>
        <w:pStyle w:val="Abstract"/>
        <w:jc w:val="center"/>
        <w:rPr>
          <w:rFonts w:ascii="Times New Roman" w:hAnsi="Times New Roman" w:cs="Times New Roman"/>
          <w:sz w:val="40"/>
          <w:szCs w:val="40"/>
        </w:rPr>
      </w:pPr>
      <w:bookmarkStart w:id="0" w:name="header"/>
      <w:bookmarkStart w:id="1" w:name="X3f4902a21979f80ec8552942cbdeb8eb2ca5e1a"/>
      <w:bookmarkStart w:id="2" w:name="content"/>
      <w:bookmarkEnd w:id="0"/>
      <w:r w:rsidRPr="002D6D46">
        <w:rPr>
          <w:rFonts w:ascii="Times New Roman" w:hAnsi="Times New Roman" w:cs="Times New Roman"/>
          <w:sz w:val="40"/>
          <w:szCs w:val="40"/>
        </w:rPr>
        <w:t>How Historians of Empire Have Incorporated Gender as a Tool of Analysis</w:t>
      </w:r>
    </w:p>
    <w:p w14:paraId="0B4B50D7" w14:textId="738FE213" w:rsidR="000D716D" w:rsidRPr="002D6D46" w:rsidRDefault="00000000" w:rsidP="002D6D46">
      <w:pPr>
        <w:pStyle w:val="BodyText"/>
        <w:jc w:val="both"/>
        <w:rPr>
          <w:rFonts w:ascii="Times New Roman" w:hAnsi="Times New Roman" w:cs="Times New Roman"/>
        </w:rPr>
      </w:pPr>
      <w:bookmarkStart w:id="3" w:name="essay"/>
      <w:r w:rsidRPr="002D6D46">
        <w:rPr>
          <w:rFonts w:ascii="Times New Roman" w:hAnsi="Times New Roman" w:cs="Times New Roman"/>
        </w:rPr>
        <w:t xml:space="preserve">The most persuasive answer to the question of how historians of empire have incorporated gender as a tool of analysis is that they have done so by transforming the object of imperial history itself. Rather than simply adding women to a preexisting story of conquest, diplomacy, and administration, historians increasingly treat gender as a constitutive grammar of imperial power: a way of </w:t>
      </w:r>
      <w:proofErr w:type="spellStart"/>
      <w:r w:rsidRPr="002D6D46">
        <w:rPr>
          <w:rFonts w:ascii="Times New Roman" w:hAnsi="Times New Roman" w:cs="Times New Roman"/>
        </w:rPr>
        <w:t>organi</w:t>
      </w:r>
      <w:r w:rsidR="001231EF" w:rsidRPr="002D6D46">
        <w:rPr>
          <w:rFonts w:ascii="Times New Roman" w:hAnsi="Times New Roman" w:cs="Times New Roman"/>
        </w:rPr>
        <w:t>s</w:t>
      </w:r>
      <w:r w:rsidRPr="002D6D46">
        <w:rPr>
          <w:rFonts w:ascii="Times New Roman" w:hAnsi="Times New Roman" w:cs="Times New Roman"/>
        </w:rPr>
        <w:t>ing</w:t>
      </w:r>
      <w:proofErr w:type="spellEnd"/>
      <w:r w:rsidRPr="002D6D46">
        <w:rPr>
          <w:rFonts w:ascii="Times New Roman" w:hAnsi="Times New Roman" w:cs="Times New Roman"/>
        </w:rPr>
        <w:t xml:space="preserve"> racial hierarchy, defining </w:t>
      </w:r>
      <w:proofErr w:type="spellStart"/>
      <w:r w:rsidRPr="002D6D46">
        <w:rPr>
          <w:rFonts w:ascii="Times New Roman" w:hAnsi="Times New Roman" w:cs="Times New Roman"/>
        </w:rPr>
        <w:t>civili</w:t>
      </w:r>
      <w:r w:rsidR="001231EF" w:rsidRPr="002D6D46">
        <w:rPr>
          <w:rFonts w:ascii="Times New Roman" w:hAnsi="Times New Roman" w:cs="Times New Roman"/>
        </w:rPr>
        <w:t>s</w:t>
      </w:r>
      <w:r w:rsidRPr="002D6D46">
        <w:rPr>
          <w:rFonts w:ascii="Times New Roman" w:hAnsi="Times New Roman" w:cs="Times New Roman"/>
        </w:rPr>
        <w:t>ation</w:t>
      </w:r>
      <w:proofErr w:type="spellEnd"/>
      <w:r w:rsidRPr="002D6D46">
        <w:rPr>
          <w:rFonts w:ascii="Times New Roman" w:hAnsi="Times New Roman" w:cs="Times New Roman"/>
        </w:rPr>
        <w:t xml:space="preserve">, regulating sexuality, coding </w:t>
      </w:r>
      <w:proofErr w:type="spellStart"/>
      <w:r w:rsidRPr="002D6D46">
        <w:rPr>
          <w:rFonts w:ascii="Times New Roman" w:hAnsi="Times New Roman" w:cs="Times New Roman"/>
        </w:rPr>
        <w:t>labo</w:t>
      </w:r>
      <w:r w:rsidR="001231EF" w:rsidRPr="002D6D46">
        <w:rPr>
          <w:rFonts w:ascii="Times New Roman" w:hAnsi="Times New Roman" w:cs="Times New Roman"/>
        </w:rPr>
        <w:t>u</w:t>
      </w:r>
      <w:r w:rsidRPr="002D6D46">
        <w:rPr>
          <w:rFonts w:ascii="Times New Roman" w:hAnsi="Times New Roman" w:cs="Times New Roman"/>
        </w:rPr>
        <w:t>r</w:t>
      </w:r>
      <w:proofErr w:type="spellEnd"/>
      <w:r w:rsidRPr="002D6D46">
        <w:rPr>
          <w:rFonts w:ascii="Times New Roman" w:hAnsi="Times New Roman" w:cs="Times New Roman"/>
        </w:rPr>
        <w:t>, shaping domestic life, and legitimating violence. This essay argues that the decisive historiographical shift ran from recuperative women’s history to a broader, more critical analysis of imperial formations in which gender operates alongside race, class, sexuality, and metropolitan-colonial connection</w:t>
      </w:r>
      <w:r w:rsidR="001231EF" w:rsidRPr="002D6D46">
        <w:rPr>
          <w:rFonts w:ascii="Times New Roman" w:hAnsi="Times New Roman" w:cs="Times New Roman"/>
        </w:rPr>
        <w:t>.</w:t>
      </w:r>
      <w:r w:rsidRPr="002D6D46">
        <w:rPr>
          <w:rFonts w:ascii="Times New Roman" w:hAnsi="Times New Roman" w:cs="Times New Roman"/>
        </w:rPr>
        <w:t xml:space="preserve"> </w:t>
      </w:r>
      <w:r w:rsidR="001231EF" w:rsidRPr="002D6D46">
        <w:rPr>
          <w:rFonts w:ascii="Times New Roman" w:hAnsi="Times New Roman" w:cs="Times New Roman"/>
        </w:rPr>
        <w:t>Yet,</w:t>
      </w:r>
      <w:r w:rsidRPr="002D6D46">
        <w:rPr>
          <w:rFonts w:ascii="Times New Roman" w:hAnsi="Times New Roman" w:cs="Times New Roman"/>
        </w:rPr>
        <w:t xml:space="preserve"> the field reaches its sharpest analytical force only when it also interrogates the colonial and Eurocentric assumptions built into both archives and the category of gender itself. In that sense, gender has mattered most to imperial history not when it has supplemented familiar narratives, but when it has unsettled them. (Scott</w:t>
      </w:r>
      <w:r w:rsidR="001231EF" w:rsidRPr="002D6D46">
        <w:rPr>
          <w:rFonts w:ascii="Times New Roman" w:hAnsi="Times New Roman" w:cs="Times New Roman"/>
        </w:rPr>
        <w:t>,</w:t>
      </w:r>
      <w:r w:rsidRPr="002D6D46">
        <w:rPr>
          <w:rFonts w:ascii="Times New Roman" w:hAnsi="Times New Roman" w:cs="Times New Roman"/>
        </w:rPr>
        <w:t xml:space="preserve"> 1986)</w:t>
      </w:r>
    </w:p>
    <w:p w14:paraId="63690D0A" w14:textId="2BFC0AE1" w:rsidR="000D716D" w:rsidRPr="002D6D46" w:rsidRDefault="00000000" w:rsidP="002D6D46">
      <w:pPr>
        <w:pStyle w:val="BodyText"/>
        <w:jc w:val="both"/>
        <w:rPr>
          <w:rFonts w:ascii="Times New Roman" w:hAnsi="Times New Roman" w:cs="Times New Roman"/>
        </w:rPr>
      </w:pPr>
      <w:r w:rsidRPr="002D6D46">
        <w:rPr>
          <w:rFonts w:ascii="Times New Roman" w:hAnsi="Times New Roman" w:cs="Times New Roman"/>
        </w:rPr>
        <w:t>Joan Scott’s classic formulation remains the indispensable starting point because it explains why “gender” altered historical method so profoundly. Scott argued that feminists adopted the term partly to reject biological determinism, partly to insist on the relational study of women and men, and above all to force a reexamination of the premises of historical knowledge itself</w:t>
      </w:r>
      <w:r w:rsidR="00203819" w:rsidRPr="002D6D46">
        <w:rPr>
          <w:rFonts w:ascii="Times New Roman" w:hAnsi="Times New Roman" w:cs="Times New Roman"/>
        </w:rPr>
        <w:t>.</w:t>
      </w:r>
      <w:r w:rsidRPr="002D6D46">
        <w:rPr>
          <w:rFonts w:ascii="Times New Roman" w:hAnsi="Times New Roman" w:cs="Times New Roman"/>
        </w:rPr>
        <w:t xml:space="preserve"> </w:t>
      </w:r>
      <w:r w:rsidR="00203819" w:rsidRPr="002D6D46">
        <w:rPr>
          <w:rFonts w:ascii="Times New Roman" w:hAnsi="Times New Roman" w:cs="Times New Roman"/>
        </w:rPr>
        <w:t>W</w:t>
      </w:r>
      <w:r w:rsidRPr="002D6D46">
        <w:rPr>
          <w:rFonts w:ascii="Times New Roman" w:hAnsi="Times New Roman" w:cs="Times New Roman"/>
        </w:rPr>
        <w:t xml:space="preserve">omen’s history, on this view, should not merely enlarge the cast of historical actors but </w:t>
      </w:r>
      <w:r w:rsidR="00203819" w:rsidRPr="002D6D46">
        <w:rPr>
          <w:rFonts w:ascii="Times New Roman" w:hAnsi="Times New Roman" w:cs="Times New Roman"/>
        </w:rPr>
        <w:t xml:space="preserve">also </w:t>
      </w:r>
      <w:r w:rsidRPr="002D6D46">
        <w:rPr>
          <w:rFonts w:ascii="Times New Roman" w:hAnsi="Times New Roman" w:cs="Times New Roman"/>
        </w:rPr>
        <w:t xml:space="preserve">redefine historical significance and expose the ways </w:t>
      </w:r>
      <w:r w:rsidR="00203819" w:rsidRPr="002D6D46">
        <w:rPr>
          <w:rFonts w:ascii="Times New Roman" w:hAnsi="Times New Roman" w:cs="Times New Roman"/>
        </w:rPr>
        <w:t xml:space="preserve">in which </w:t>
      </w:r>
      <w:r w:rsidRPr="002D6D46">
        <w:rPr>
          <w:rFonts w:ascii="Times New Roman" w:hAnsi="Times New Roman" w:cs="Times New Roman"/>
        </w:rPr>
        <w:t xml:space="preserve">inequalities of power are </w:t>
      </w:r>
      <w:proofErr w:type="spellStart"/>
      <w:r w:rsidRPr="002D6D46">
        <w:rPr>
          <w:rFonts w:ascii="Times New Roman" w:hAnsi="Times New Roman" w:cs="Times New Roman"/>
        </w:rPr>
        <w:t>organi</w:t>
      </w:r>
      <w:r w:rsidR="00203819"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She also warned that “gender” could be used in a merely descriptive and politically neutral way, as a respectable substitute for “women,” without addressing hierarchy or power. Historians of empire who took Scott seriously</w:t>
      </w:r>
      <w:r w:rsidR="00203819" w:rsidRPr="002D6D46">
        <w:rPr>
          <w:rFonts w:ascii="Times New Roman" w:hAnsi="Times New Roman" w:cs="Times New Roman"/>
        </w:rPr>
        <w:t>,</w:t>
      </w:r>
      <w:r w:rsidRPr="002D6D46">
        <w:rPr>
          <w:rFonts w:ascii="Times New Roman" w:hAnsi="Times New Roman" w:cs="Times New Roman"/>
        </w:rPr>
        <w:t xml:space="preserve"> therefore</w:t>
      </w:r>
      <w:r w:rsidR="00203819" w:rsidRPr="002D6D46">
        <w:rPr>
          <w:rFonts w:ascii="Times New Roman" w:hAnsi="Times New Roman" w:cs="Times New Roman"/>
        </w:rPr>
        <w:t>,</w:t>
      </w:r>
      <w:r w:rsidRPr="002D6D46">
        <w:rPr>
          <w:rFonts w:ascii="Times New Roman" w:hAnsi="Times New Roman" w:cs="Times New Roman"/>
        </w:rPr>
        <w:t xml:space="preserve"> did not ask only where women were in colonial history</w:t>
      </w:r>
      <w:r w:rsidR="00203819" w:rsidRPr="002D6D46">
        <w:rPr>
          <w:rFonts w:ascii="Times New Roman" w:hAnsi="Times New Roman" w:cs="Times New Roman"/>
        </w:rPr>
        <w:t xml:space="preserve">, but </w:t>
      </w:r>
      <w:r w:rsidRPr="002D6D46">
        <w:rPr>
          <w:rFonts w:ascii="Times New Roman" w:hAnsi="Times New Roman" w:cs="Times New Roman"/>
        </w:rPr>
        <w:t xml:space="preserve">they asked how imperial power itself was gendered, and how imperial archives </w:t>
      </w:r>
      <w:proofErr w:type="spellStart"/>
      <w:r w:rsidRPr="002D6D46">
        <w:rPr>
          <w:rFonts w:ascii="Times New Roman" w:hAnsi="Times New Roman" w:cs="Times New Roman"/>
        </w:rPr>
        <w:t>naturali</w:t>
      </w:r>
      <w:r w:rsidR="00203819"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that ordering. (Scott</w:t>
      </w:r>
      <w:r w:rsidR="00203819" w:rsidRPr="002D6D46">
        <w:rPr>
          <w:rFonts w:ascii="Times New Roman" w:hAnsi="Times New Roman" w:cs="Times New Roman"/>
        </w:rPr>
        <w:t>,</w:t>
      </w:r>
      <w:r w:rsidRPr="002D6D46">
        <w:rPr>
          <w:rFonts w:ascii="Times New Roman" w:hAnsi="Times New Roman" w:cs="Times New Roman"/>
        </w:rPr>
        <w:t xml:space="preserve"> 1986).</w:t>
      </w:r>
    </w:p>
    <w:p w14:paraId="502616AB" w14:textId="445CF595" w:rsidR="000D716D" w:rsidRPr="002D6D46" w:rsidRDefault="00000000" w:rsidP="002D6D46">
      <w:pPr>
        <w:pStyle w:val="BodyText"/>
        <w:jc w:val="both"/>
        <w:rPr>
          <w:rFonts w:ascii="Times New Roman" w:hAnsi="Times New Roman" w:cs="Times New Roman"/>
        </w:rPr>
      </w:pPr>
      <w:r w:rsidRPr="002D6D46">
        <w:rPr>
          <w:rFonts w:ascii="Times New Roman" w:hAnsi="Times New Roman" w:cs="Times New Roman"/>
        </w:rPr>
        <w:t>Early work on gender and empire emerged, however, from a historiographical landscape in which women’s history and imperial history had developed almost entirely apart. Clare Midgley observed that British gender history often focused on class while ignoring race and empire, whereas older imperial history remained the story of male administrators, soldiers, missionaries, and policymakers whose masculinity went unexamined</w:t>
      </w:r>
      <w:r w:rsidR="00203819" w:rsidRPr="002D6D46">
        <w:rPr>
          <w:rFonts w:ascii="Times New Roman" w:hAnsi="Times New Roman" w:cs="Times New Roman"/>
        </w:rPr>
        <w:t xml:space="preserve"> (Midgley, 1998)</w:t>
      </w:r>
      <w:r w:rsidRPr="002D6D46">
        <w:rPr>
          <w:rFonts w:ascii="Times New Roman" w:hAnsi="Times New Roman" w:cs="Times New Roman"/>
        </w:rPr>
        <w:t xml:space="preserve">. Midgley’s own intervention was to “map the connections” between these separate fields and to insist that both </w:t>
      </w:r>
      <w:proofErr w:type="spellStart"/>
      <w:r w:rsidRPr="002D6D46">
        <w:rPr>
          <w:rFonts w:ascii="Times New Roman" w:hAnsi="Times New Roman" w:cs="Times New Roman"/>
        </w:rPr>
        <w:t>coloni</w:t>
      </w:r>
      <w:r w:rsidR="00203819" w:rsidRPr="002D6D46">
        <w:rPr>
          <w:rFonts w:ascii="Times New Roman" w:hAnsi="Times New Roman" w:cs="Times New Roman"/>
        </w:rPr>
        <w:t>s</w:t>
      </w:r>
      <w:r w:rsidRPr="002D6D46">
        <w:rPr>
          <w:rFonts w:ascii="Times New Roman" w:hAnsi="Times New Roman" w:cs="Times New Roman"/>
        </w:rPr>
        <w:t>ers</w:t>
      </w:r>
      <w:proofErr w:type="spellEnd"/>
      <w:r w:rsidRPr="002D6D46">
        <w:rPr>
          <w:rFonts w:ascii="Times New Roman" w:hAnsi="Times New Roman" w:cs="Times New Roman"/>
        </w:rPr>
        <w:t xml:space="preserve"> and </w:t>
      </w:r>
      <w:proofErr w:type="spellStart"/>
      <w:r w:rsidRPr="002D6D46">
        <w:rPr>
          <w:rFonts w:ascii="Times New Roman" w:hAnsi="Times New Roman" w:cs="Times New Roman"/>
        </w:rPr>
        <w:t>coloni</w:t>
      </w:r>
      <w:r w:rsidR="00203819"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be understood as gendered subjects, shaped by race and class as well as sex. At the same time, she registered an internal debate within feminist scholarship itself: the first generation of studies often worked in a recovery mode, restoring white women to the empire, but Jane Haggis’s critique showed the limits of that move by demonstrating that white women could not be written only as victims or heroines without obscuring the racial privileges that colonialism gave them and the invisibility this could impose on colonized people (Haggis</w:t>
      </w:r>
      <w:r w:rsidR="00203819" w:rsidRPr="002D6D46">
        <w:rPr>
          <w:rFonts w:ascii="Times New Roman" w:hAnsi="Times New Roman" w:cs="Times New Roman"/>
        </w:rPr>
        <w:t>,</w:t>
      </w:r>
      <w:r w:rsidRPr="002D6D46">
        <w:rPr>
          <w:rFonts w:ascii="Times New Roman" w:hAnsi="Times New Roman" w:cs="Times New Roman"/>
        </w:rPr>
        <w:t xml:space="preserve"> 1998).</w:t>
      </w:r>
    </w:p>
    <w:p w14:paraId="60407663" w14:textId="41A17993" w:rsidR="000D716D" w:rsidRPr="002D6D46" w:rsidRDefault="00000000" w:rsidP="002D6D46">
      <w:pPr>
        <w:pStyle w:val="BodyText"/>
        <w:jc w:val="both"/>
        <w:rPr>
          <w:rFonts w:ascii="Times New Roman" w:hAnsi="Times New Roman" w:cs="Times New Roman"/>
        </w:rPr>
      </w:pPr>
      <w:r w:rsidRPr="002D6D46">
        <w:rPr>
          <w:rFonts w:ascii="Times New Roman" w:hAnsi="Times New Roman" w:cs="Times New Roman"/>
        </w:rPr>
        <w:t>That critique pushed the field beyond the question of women’s participation and toward the analysis of imperial ideology, metropolitan culture, and political subjectivity. Antoinette Burton’s Burdens of History showed that British feminists did not merely comment on empire from the sidelines</w:t>
      </w:r>
      <w:r w:rsidR="00203819" w:rsidRPr="002D6D46">
        <w:rPr>
          <w:rFonts w:ascii="Times New Roman" w:hAnsi="Times New Roman" w:cs="Times New Roman"/>
        </w:rPr>
        <w:t>, but</w:t>
      </w:r>
      <w:r w:rsidRPr="002D6D46">
        <w:rPr>
          <w:rFonts w:ascii="Times New Roman" w:hAnsi="Times New Roman" w:cs="Times New Roman"/>
        </w:rPr>
        <w:t xml:space="preserve"> they appropriated imperial rhetoric itself, presenting Indian women as a </w:t>
      </w:r>
      <w:r w:rsidRPr="002D6D46">
        <w:rPr>
          <w:rFonts w:ascii="Times New Roman" w:hAnsi="Times New Roman" w:cs="Times New Roman"/>
        </w:rPr>
        <w:lastRenderedPageBreak/>
        <w:t xml:space="preserve">“white woman’s burden” </w:t>
      </w:r>
      <w:proofErr w:type="gramStart"/>
      <w:r w:rsidRPr="002D6D46">
        <w:rPr>
          <w:rFonts w:ascii="Times New Roman" w:hAnsi="Times New Roman" w:cs="Times New Roman"/>
        </w:rPr>
        <w:t>in order to</w:t>
      </w:r>
      <w:proofErr w:type="gramEnd"/>
      <w:r w:rsidRPr="002D6D46">
        <w:rPr>
          <w:rFonts w:ascii="Times New Roman" w:hAnsi="Times New Roman" w:cs="Times New Roman"/>
        </w:rPr>
        <w:t xml:space="preserve"> justify claims to British women’s equality</w:t>
      </w:r>
      <w:r w:rsidR="00C31A6C" w:rsidRPr="002D6D46">
        <w:rPr>
          <w:rFonts w:ascii="Times New Roman" w:hAnsi="Times New Roman" w:cs="Times New Roman"/>
        </w:rPr>
        <w:t xml:space="preserve"> (Burton, 2000)</w:t>
      </w:r>
      <w:r w:rsidRPr="002D6D46">
        <w:rPr>
          <w:rFonts w:ascii="Times New Roman" w:hAnsi="Times New Roman" w:cs="Times New Roman"/>
        </w:rPr>
        <w:t xml:space="preserve">. Burton’s argument was </w:t>
      </w:r>
      <w:proofErr w:type="spellStart"/>
      <w:r w:rsidRPr="002D6D46">
        <w:rPr>
          <w:rFonts w:ascii="Times New Roman" w:hAnsi="Times New Roman" w:cs="Times New Roman"/>
        </w:rPr>
        <w:t>historiographically</w:t>
      </w:r>
      <w:proofErr w:type="spellEnd"/>
      <w:r w:rsidRPr="002D6D46">
        <w:rPr>
          <w:rFonts w:ascii="Times New Roman" w:hAnsi="Times New Roman" w:cs="Times New Roman"/>
        </w:rPr>
        <w:t xml:space="preserve"> decisive because it turned feminism into an object of imperial analysis rather than treating it as an automatically emancipatory force. Catherine Hall’s </w:t>
      </w:r>
      <w:proofErr w:type="spellStart"/>
      <w:r w:rsidRPr="002D6D46">
        <w:rPr>
          <w:rFonts w:ascii="Times New Roman" w:hAnsi="Times New Roman" w:cs="Times New Roman"/>
        </w:rPr>
        <w:t>Civilising</w:t>
      </w:r>
      <w:proofErr w:type="spellEnd"/>
      <w:r w:rsidRPr="002D6D46">
        <w:rPr>
          <w:rFonts w:ascii="Times New Roman" w:hAnsi="Times New Roman" w:cs="Times New Roman"/>
        </w:rPr>
        <w:t xml:space="preserve"> Subjects deepened that move by showing that Englishness in the nineteenth century was fashioned relationally through Jamaica, abolitionism, and missionary discourse, and that the “</w:t>
      </w:r>
      <w:proofErr w:type="spellStart"/>
      <w:r w:rsidRPr="002D6D46">
        <w:rPr>
          <w:rFonts w:ascii="Times New Roman" w:hAnsi="Times New Roman" w:cs="Times New Roman"/>
        </w:rPr>
        <w:t>civili</w:t>
      </w:r>
      <w:r w:rsidR="00C31A6C"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English self was made against </w:t>
      </w:r>
      <w:proofErr w:type="spellStart"/>
      <w:r w:rsidRPr="002D6D46">
        <w:rPr>
          <w:rFonts w:ascii="Times New Roman" w:hAnsi="Times New Roman" w:cs="Times New Roman"/>
        </w:rPr>
        <w:t>raciali</w:t>
      </w:r>
      <w:r w:rsidR="00C31A6C"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colonial others. Gender here became a means of understanding how metropole and colony co-produced one another, not separate stages on which self-contained national histories unfolded</w:t>
      </w:r>
      <w:r w:rsidR="00C31A6C" w:rsidRPr="002D6D46">
        <w:rPr>
          <w:rFonts w:ascii="Times New Roman" w:hAnsi="Times New Roman" w:cs="Times New Roman"/>
        </w:rPr>
        <w:t xml:space="preserve"> </w:t>
      </w:r>
      <w:r w:rsidRPr="002D6D46">
        <w:rPr>
          <w:rFonts w:ascii="Times New Roman" w:hAnsi="Times New Roman" w:cs="Times New Roman"/>
        </w:rPr>
        <w:t>(Hall</w:t>
      </w:r>
      <w:r w:rsidR="00C31A6C" w:rsidRPr="002D6D46">
        <w:rPr>
          <w:rFonts w:ascii="Times New Roman" w:hAnsi="Times New Roman" w:cs="Times New Roman"/>
        </w:rPr>
        <w:t>,</w:t>
      </w:r>
      <w:r w:rsidRPr="002D6D46">
        <w:rPr>
          <w:rFonts w:ascii="Times New Roman" w:hAnsi="Times New Roman" w:cs="Times New Roman"/>
        </w:rPr>
        <w:t xml:space="preserve"> 2002). </w:t>
      </w:r>
    </w:p>
    <w:p w14:paraId="43C6AB52" w14:textId="6DB3B7D7" w:rsidR="000D716D" w:rsidRPr="002D6D46" w:rsidRDefault="00000000" w:rsidP="002D6D46">
      <w:pPr>
        <w:pStyle w:val="BodyText"/>
        <w:jc w:val="both"/>
        <w:rPr>
          <w:rFonts w:ascii="Times New Roman" w:hAnsi="Times New Roman" w:cs="Times New Roman"/>
        </w:rPr>
      </w:pPr>
      <w:r w:rsidRPr="002D6D46">
        <w:rPr>
          <w:rFonts w:ascii="Times New Roman" w:hAnsi="Times New Roman" w:cs="Times New Roman"/>
        </w:rPr>
        <w:t xml:space="preserve">Mrinalini Sinha then gave the field one of its most influential demonstrations of what gendered analysis could do when applied to imperial politics proper. In Colonial Masculinity, Sinha argued that the interactions of colonial and nationalist politics in late nineteenth-century India are best understood through “the logic of colonial masculinity,” because power moved along multiple axes within and between </w:t>
      </w:r>
      <w:proofErr w:type="spellStart"/>
      <w:r w:rsidRPr="002D6D46">
        <w:rPr>
          <w:rFonts w:ascii="Times New Roman" w:hAnsi="Times New Roman" w:cs="Times New Roman"/>
        </w:rPr>
        <w:t>coloni</w:t>
      </w:r>
      <w:r w:rsidR="00C31A6C" w:rsidRPr="002D6D46">
        <w:rPr>
          <w:rFonts w:ascii="Times New Roman" w:hAnsi="Times New Roman" w:cs="Times New Roman"/>
        </w:rPr>
        <w:t>s</w:t>
      </w:r>
      <w:r w:rsidRPr="002D6D46">
        <w:rPr>
          <w:rFonts w:ascii="Times New Roman" w:hAnsi="Times New Roman" w:cs="Times New Roman"/>
        </w:rPr>
        <w:t>ers</w:t>
      </w:r>
      <w:proofErr w:type="spellEnd"/>
      <w:r w:rsidRPr="002D6D46">
        <w:rPr>
          <w:rFonts w:ascii="Times New Roman" w:hAnsi="Times New Roman" w:cs="Times New Roman"/>
        </w:rPr>
        <w:t xml:space="preserve"> and </w:t>
      </w:r>
      <w:proofErr w:type="spellStart"/>
      <w:r w:rsidRPr="002D6D46">
        <w:rPr>
          <w:rFonts w:ascii="Times New Roman" w:hAnsi="Times New Roman" w:cs="Times New Roman"/>
        </w:rPr>
        <w:t>coloni</w:t>
      </w:r>
      <w:r w:rsidR="00C31A6C"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Her analysis of the Ilbert Bill controversy, the Native Volunteer movement, the Public Service Commission, and the Age of Consent Bill showed that the “manly Englishman” and the “effeminate Bengali” were not incidental stereotypes but historically produced categories tied to specific practices of rule, class realignments, and the imperial social formation linking Britain and India. Gender thus became an instrument for </w:t>
      </w:r>
      <w:proofErr w:type="spellStart"/>
      <w:r w:rsidRPr="002D6D46">
        <w:rPr>
          <w:rFonts w:ascii="Times New Roman" w:hAnsi="Times New Roman" w:cs="Times New Roman"/>
        </w:rPr>
        <w:t>analy</w:t>
      </w:r>
      <w:r w:rsidR="00C31A6C" w:rsidRPr="002D6D46">
        <w:rPr>
          <w:rFonts w:ascii="Times New Roman" w:hAnsi="Times New Roman" w:cs="Times New Roman"/>
        </w:rPr>
        <w:t>s</w:t>
      </w:r>
      <w:r w:rsidRPr="002D6D46">
        <w:rPr>
          <w:rFonts w:ascii="Times New Roman" w:hAnsi="Times New Roman" w:cs="Times New Roman"/>
        </w:rPr>
        <w:t>ing</w:t>
      </w:r>
      <w:proofErr w:type="spellEnd"/>
      <w:r w:rsidRPr="002D6D46">
        <w:rPr>
          <w:rFonts w:ascii="Times New Roman" w:hAnsi="Times New Roman" w:cs="Times New Roman"/>
        </w:rPr>
        <w:t xml:space="preserve"> political economy, law, racial ideology, and state restructuring at once. Historians of empire subsequently borrowed this insight widely</w:t>
      </w:r>
      <w:r w:rsidR="00C31A6C" w:rsidRPr="002D6D46">
        <w:rPr>
          <w:rFonts w:ascii="Times New Roman" w:hAnsi="Times New Roman" w:cs="Times New Roman"/>
        </w:rPr>
        <w:t>, and</w:t>
      </w:r>
      <w:r w:rsidRPr="002D6D46">
        <w:rPr>
          <w:rFonts w:ascii="Times New Roman" w:hAnsi="Times New Roman" w:cs="Times New Roman"/>
        </w:rPr>
        <w:t xml:space="preserve"> masculinity was no longer a background norm but an active technology of imperial rule (Sinha</w:t>
      </w:r>
      <w:r w:rsidR="00C31A6C" w:rsidRPr="002D6D46">
        <w:rPr>
          <w:rFonts w:ascii="Times New Roman" w:hAnsi="Times New Roman" w:cs="Times New Roman"/>
        </w:rPr>
        <w:t>,</w:t>
      </w:r>
      <w:r w:rsidRPr="002D6D46">
        <w:rPr>
          <w:rFonts w:ascii="Times New Roman" w:hAnsi="Times New Roman" w:cs="Times New Roman"/>
        </w:rPr>
        <w:t xml:space="preserve"> 1995).</w:t>
      </w:r>
      <w:r w:rsidR="00C31A6C" w:rsidRPr="002D6D46">
        <w:rPr>
          <w:rFonts w:ascii="Times New Roman" w:hAnsi="Times New Roman" w:cs="Times New Roman"/>
        </w:rPr>
        <w:t xml:space="preserve"> </w:t>
      </w:r>
      <w:r w:rsidRPr="002D6D46">
        <w:rPr>
          <w:rFonts w:ascii="Times New Roman" w:hAnsi="Times New Roman" w:cs="Times New Roman"/>
        </w:rPr>
        <w:t xml:space="preserve">The value of Sinha’s method becomes especially clear when one turns from historiography to the primary materials on which such accounts rest. Official and legal records concerning the Age of Consent controversy show how the colonial state translated sexual anxiety into governance. A recent Supreme Court of India judgment, </w:t>
      </w:r>
      <w:proofErr w:type="spellStart"/>
      <w:r w:rsidRPr="002D6D46">
        <w:rPr>
          <w:rFonts w:ascii="Times New Roman" w:hAnsi="Times New Roman" w:cs="Times New Roman"/>
        </w:rPr>
        <w:t>summari</w:t>
      </w:r>
      <w:r w:rsidR="00C31A6C" w:rsidRPr="002D6D46">
        <w:rPr>
          <w:rFonts w:ascii="Times New Roman" w:hAnsi="Times New Roman" w:cs="Times New Roman"/>
        </w:rPr>
        <w:t>s</w:t>
      </w:r>
      <w:r w:rsidRPr="002D6D46">
        <w:rPr>
          <w:rFonts w:ascii="Times New Roman" w:hAnsi="Times New Roman" w:cs="Times New Roman"/>
        </w:rPr>
        <w:t>ing</w:t>
      </w:r>
      <w:proofErr w:type="spellEnd"/>
      <w:r w:rsidRPr="002D6D46">
        <w:rPr>
          <w:rFonts w:ascii="Times New Roman" w:hAnsi="Times New Roman" w:cs="Times New Roman"/>
        </w:rPr>
        <w:t xml:space="preserve"> the earlier history, notes that the 1891 Age of Consent Act raised the statutory age from ten to twelve after the death of the child bride </w:t>
      </w:r>
      <w:proofErr w:type="spellStart"/>
      <w:r w:rsidRPr="002D6D46">
        <w:rPr>
          <w:rFonts w:ascii="Times New Roman" w:hAnsi="Times New Roman" w:cs="Times New Roman"/>
        </w:rPr>
        <w:t>Phulmoni</w:t>
      </w:r>
      <w:proofErr w:type="spellEnd"/>
      <w:r w:rsidRPr="002D6D46">
        <w:rPr>
          <w:rFonts w:ascii="Times New Roman" w:hAnsi="Times New Roman" w:cs="Times New Roman"/>
        </w:rPr>
        <w:t xml:space="preserve"> Dasi and after sustained reform campaigns that included </w:t>
      </w:r>
      <w:proofErr w:type="spellStart"/>
      <w:r w:rsidRPr="002D6D46">
        <w:rPr>
          <w:rFonts w:ascii="Times New Roman" w:hAnsi="Times New Roman" w:cs="Times New Roman"/>
        </w:rPr>
        <w:t>Rukhmabai’s</w:t>
      </w:r>
      <w:proofErr w:type="spellEnd"/>
      <w:r w:rsidRPr="002D6D46">
        <w:rPr>
          <w:rFonts w:ascii="Times New Roman" w:hAnsi="Times New Roman" w:cs="Times New Roman"/>
        </w:rPr>
        <w:t xml:space="preserve"> widely circulated critiques of child marriage</w:t>
      </w:r>
      <w:r w:rsidR="00C31A6C" w:rsidRPr="002D6D46">
        <w:rPr>
          <w:rFonts w:ascii="Times New Roman" w:hAnsi="Times New Roman" w:cs="Times New Roman"/>
        </w:rPr>
        <w:t>,</w:t>
      </w:r>
      <w:r w:rsidRPr="002D6D46">
        <w:rPr>
          <w:rFonts w:ascii="Times New Roman" w:hAnsi="Times New Roman" w:cs="Times New Roman"/>
        </w:rPr>
        <w:t xml:space="preserve"> yet the same judgment also notes that colonial law cast a distinctly male gaze over Indian women, treating them as objects of legislation while reducing consent to physical capacity rather than autonomy. The strength of such official sources lies in their precision about how </w:t>
      </w:r>
      <w:r w:rsidR="00C31A6C" w:rsidRPr="002D6D46">
        <w:rPr>
          <w:rFonts w:ascii="Times New Roman" w:hAnsi="Times New Roman" w:cs="Times New Roman"/>
        </w:rPr>
        <w:t xml:space="preserve">the </w:t>
      </w:r>
      <w:r w:rsidRPr="002D6D46">
        <w:rPr>
          <w:rFonts w:ascii="Times New Roman" w:hAnsi="Times New Roman" w:cs="Times New Roman"/>
        </w:rPr>
        <w:t>empire codified bodies, marriage, and age. Their weakness is equally revealing</w:t>
      </w:r>
      <w:r w:rsidR="00C31A6C" w:rsidRPr="002D6D46">
        <w:rPr>
          <w:rFonts w:ascii="Times New Roman" w:hAnsi="Times New Roman" w:cs="Times New Roman"/>
        </w:rPr>
        <w:t xml:space="preserve"> that</w:t>
      </w:r>
      <w:r w:rsidRPr="002D6D46">
        <w:rPr>
          <w:rFonts w:ascii="Times New Roman" w:hAnsi="Times New Roman" w:cs="Times New Roman"/>
        </w:rPr>
        <w:t xml:space="preserve"> they render girls legible as injured bodies and legal objects while rarely allowing them to appear as fully speaking political subjects. Historians have used this contradiction not simply to narrate reform, but to show that gender operated in </w:t>
      </w:r>
      <w:r w:rsidR="00C31A6C" w:rsidRPr="002D6D46">
        <w:rPr>
          <w:rFonts w:ascii="Times New Roman" w:hAnsi="Times New Roman" w:cs="Times New Roman"/>
        </w:rPr>
        <w:t xml:space="preserve">the </w:t>
      </w:r>
      <w:r w:rsidRPr="002D6D46">
        <w:rPr>
          <w:rFonts w:ascii="Times New Roman" w:hAnsi="Times New Roman" w:cs="Times New Roman"/>
        </w:rPr>
        <w:t>empire through the juridical management of intimacy. (Sinha</w:t>
      </w:r>
      <w:r w:rsidR="001A2660" w:rsidRPr="002D6D46">
        <w:rPr>
          <w:rFonts w:ascii="Times New Roman" w:hAnsi="Times New Roman" w:cs="Times New Roman"/>
        </w:rPr>
        <w:t>,</w:t>
      </w:r>
      <w:r w:rsidRPr="002D6D46">
        <w:rPr>
          <w:rFonts w:ascii="Times New Roman" w:hAnsi="Times New Roman" w:cs="Times New Roman"/>
        </w:rPr>
        <w:t xml:space="preserve"> 1995). </w:t>
      </w:r>
    </w:p>
    <w:p w14:paraId="37A72F26" w14:textId="793955DC" w:rsidR="000D716D" w:rsidRPr="002D6D46" w:rsidRDefault="006353EC" w:rsidP="002D6D46">
      <w:pPr>
        <w:pStyle w:val="BodyText"/>
        <w:jc w:val="both"/>
        <w:rPr>
          <w:rFonts w:ascii="Times New Roman" w:hAnsi="Times New Roman" w:cs="Times New Roman"/>
        </w:rPr>
      </w:pPr>
      <w:r w:rsidRPr="002D6D46">
        <w:rPr>
          <w:rFonts w:ascii="Times New Roman" w:hAnsi="Times New Roman" w:cs="Times New Roman"/>
        </w:rPr>
        <w:t>Moreover, m</w:t>
      </w:r>
      <w:r w:rsidR="00000000" w:rsidRPr="002D6D46">
        <w:rPr>
          <w:rFonts w:ascii="Times New Roman" w:hAnsi="Times New Roman" w:cs="Times New Roman"/>
        </w:rPr>
        <w:t xml:space="preserve">issionary and literary sources similarly become more valuable when historians read them as evidence of gendered imperial discourse rather than as transparent reports on colonial life. The Church of England Zenana Missionary Society archive makes explicit that its main aim was to </w:t>
      </w:r>
      <w:proofErr w:type="spellStart"/>
      <w:r w:rsidR="00000000" w:rsidRPr="002D6D46">
        <w:rPr>
          <w:rFonts w:ascii="Times New Roman" w:hAnsi="Times New Roman" w:cs="Times New Roman"/>
        </w:rPr>
        <w:t>evangeli</w:t>
      </w:r>
      <w:r w:rsidR="001A2660" w:rsidRPr="002D6D46">
        <w:rPr>
          <w:rFonts w:ascii="Times New Roman" w:hAnsi="Times New Roman" w:cs="Times New Roman"/>
        </w:rPr>
        <w:t>s</w:t>
      </w:r>
      <w:r w:rsidR="00000000" w:rsidRPr="002D6D46">
        <w:rPr>
          <w:rFonts w:ascii="Times New Roman" w:hAnsi="Times New Roman" w:cs="Times New Roman"/>
        </w:rPr>
        <w:t>e</w:t>
      </w:r>
      <w:proofErr w:type="spellEnd"/>
      <w:r w:rsidR="00000000" w:rsidRPr="002D6D46">
        <w:rPr>
          <w:rFonts w:ascii="Times New Roman" w:hAnsi="Times New Roman" w:cs="Times New Roman"/>
        </w:rPr>
        <w:t xml:space="preserve"> Indian women through zenana visiting, girls’ schools, medical missions, and “Bible Women,” but the modern catalog</w:t>
      </w:r>
      <w:r w:rsidR="001A2660" w:rsidRPr="002D6D46">
        <w:rPr>
          <w:rFonts w:ascii="Times New Roman" w:hAnsi="Times New Roman" w:cs="Times New Roman"/>
        </w:rPr>
        <w:t>ue</w:t>
      </w:r>
      <w:r w:rsidR="00000000" w:rsidRPr="002D6D46">
        <w:rPr>
          <w:rFonts w:ascii="Times New Roman" w:hAnsi="Times New Roman" w:cs="Times New Roman"/>
        </w:rPr>
        <w:t xml:space="preserve"> also warns that the records are incomplete because of loss and flood damage and that they preserve colonial naming practices and discriminatory language. Rudyard Kipling’s “The White Man’s Burden,” with its exhortation to “send forth” imperial sons to serve supposedly childlike captives, condenses the paternalist masculinity and </w:t>
      </w:r>
      <w:proofErr w:type="spellStart"/>
      <w:r w:rsidR="00000000" w:rsidRPr="002D6D46">
        <w:rPr>
          <w:rFonts w:ascii="Times New Roman" w:hAnsi="Times New Roman" w:cs="Times New Roman"/>
        </w:rPr>
        <w:t>femini</w:t>
      </w:r>
      <w:r w:rsidR="001A2660" w:rsidRPr="002D6D46">
        <w:rPr>
          <w:rFonts w:ascii="Times New Roman" w:hAnsi="Times New Roman" w:cs="Times New Roman"/>
        </w:rPr>
        <w:t>s</w:t>
      </w:r>
      <w:r w:rsidR="00000000" w:rsidRPr="002D6D46">
        <w:rPr>
          <w:rFonts w:ascii="Times New Roman" w:hAnsi="Times New Roman" w:cs="Times New Roman"/>
        </w:rPr>
        <w:t>ed</w:t>
      </w:r>
      <w:proofErr w:type="spellEnd"/>
      <w:r w:rsidR="00000000" w:rsidRPr="002D6D46">
        <w:rPr>
          <w:rFonts w:ascii="Times New Roman" w:hAnsi="Times New Roman" w:cs="Times New Roman"/>
        </w:rPr>
        <w:t xml:space="preserve"> dependency that underwrote imperial self-justification. Historians of empire have therefore learned to use missionary reports, diaries, and literary texts not for their descriptive </w:t>
      </w:r>
      <w:r w:rsidR="00000000" w:rsidRPr="002D6D46">
        <w:rPr>
          <w:rFonts w:ascii="Times New Roman" w:hAnsi="Times New Roman" w:cs="Times New Roman"/>
        </w:rPr>
        <w:lastRenderedPageBreak/>
        <w:t xml:space="preserve">innocence, which they do not possess, but for the way they </w:t>
      </w:r>
      <w:proofErr w:type="spellStart"/>
      <w:r w:rsidR="00000000" w:rsidRPr="002D6D46">
        <w:rPr>
          <w:rFonts w:ascii="Times New Roman" w:hAnsi="Times New Roman" w:cs="Times New Roman"/>
        </w:rPr>
        <w:t>formali</w:t>
      </w:r>
      <w:r w:rsidR="001A2660" w:rsidRPr="002D6D46">
        <w:rPr>
          <w:rFonts w:ascii="Times New Roman" w:hAnsi="Times New Roman" w:cs="Times New Roman"/>
        </w:rPr>
        <w:t>s</w:t>
      </w:r>
      <w:r w:rsidR="00000000" w:rsidRPr="002D6D46">
        <w:rPr>
          <w:rFonts w:ascii="Times New Roman" w:hAnsi="Times New Roman" w:cs="Times New Roman"/>
        </w:rPr>
        <w:t>e</w:t>
      </w:r>
      <w:proofErr w:type="spellEnd"/>
      <w:r w:rsidR="00000000" w:rsidRPr="002D6D46">
        <w:rPr>
          <w:rFonts w:ascii="Times New Roman" w:hAnsi="Times New Roman" w:cs="Times New Roman"/>
        </w:rPr>
        <w:t xml:space="preserve"> the gendered emotional economy of imperial rule</w:t>
      </w:r>
      <w:r w:rsidR="001A2660" w:rsidRPr="002D6D46">
        <w:rPr>
          <w:rFonts w:ascii="Times New Roman" w:hAnsi="Times New Roman" w:cs="Times New Roman"/>
        </w:rPr>
        <w:t xml:space="preserve"> </w:t>
      </w:r>
      <w:r w:rsidR="00000000" w:rsidRPr="002D6D46">
        <w:rPr>
          <w:rFonts w:ascii="Times New Roman" w:hAnsi="Times New Roman" w:cs="Times New Roman"/>
        </w:rPr>
        <w:t>(Kipling</w:t>
      </w:r>
      <w:r w:rsidR="001A2660" w:rsidRPr="002D6D46">
        <w:rPr>
          <w:rFonts w:ascii="Times New Roman" w:hAnsi="Times New Roman" w:cs="Times New Roman"/>
        </w:rPr>
        <w:t>,</w:t>
      </w:r>
      <w:r w:rsidR="00000000" w:rsidRPr="002D6D46">
        <w:rPr>
          <w:rFonts w:ascii="Times New Roman" w:hAnsi="Times New Roman" w:cs="Times New Roman"/>
        </w:rPr>
        <w:t xml:space="preserve"> 1899).</w:t>
      </w:r>
    </w:p>
    <w:p w14:paraId="23C88DC9" w14:textId="26EAA57A" w:rsidR="000D716D" w:rsidRPr="002D6D46" w:rsidRDefault="00000000" w:rsidP="002D6D46">
      <w:pPr>
        <w:pStyle w:val="BodyText"/>
        <w:jc w:val="both"/>
        <w:rPr>
          <w:rFonts w:ascii="Times New Roman" w:hAnsi="Times New Roman" w:cs="Times New Roman"/>
        </w:rPr>
      </w:pPr>
      <w:r w:rsidRPr="002D6D46">
        <w:rPr>
          <w:rFonts w:ascii="Times New Roman" w:hAnsi="Times New Roman" w:cs="Times New Roman"/>
        </w:rPr>
        <w:t>Ann Laura Stoler pushed that insight further by relocating imperial power in the intimate sphere. Carnal Knowledge and Imperial Power argued that sexual arrangements, affective attachments, servants, parenting, nursing, and abandoned children were central to the making of colonial categories and to distinctions between ruler and ruled. This was not simply a thematic expansion</w:t>
      </w:r>
      <w:r w:rsidR="001A2660" w:rsidRPr="002D6D46">
        <w:rPr>
          <w:rFonts w:ascii="Times New Roman" w:hAnsi="Times New Roman" w:cs="Times New Roman"/>
        </w:rPr>
        <w:t>. I</w:t>
      </w:r>
      <w:r w:rsidRPr="002D6D46">
        <w:rPr>
          <w:rFonts w:ascii="Times New Roman" w:hAnsi="Times New Roman" w:cs="Times New Roman"/>
        </w:rPr>
        <w:t>t was a change in explanatory scale. Stoler showed that the “microphysics of rule” run</w:t>
      </w:r>
      <w:r w:rsidR="001A2660" w:rsidRPr="002D6D46">
        <w:rPr>
          <w:rFonts w:ascii="Times New Roman" w:hAnsi="Times New Roman" w:cs="Times New Roman"/>
        </w:rPr>
        <w:t>s</w:t>
      </w:r>
      <w:r w:rsidRPr="002D6D46">
        <w:rPr>
          <w:rFonts w:ascii="Times New Roman" w:hAnsi="Times New Roman" w:cs="Times New Roman"/>
        </w:rPr>
        <w:t xml:space="preserve"> through bedrooms, schools, nurseries, and households, and in her later writing on archives</w:t>
      </w:r>
      <w:r w:rsidR="001A2660" w:rsidRPr="002D6D46">
        <w:rPr>
          <w:rFonts w:ascii="Times New Roman" w:hAnsi="Times New Roman" w:cs="Times New Roman"/>
        </w:rPr>
        <w:t>,</w:t>
      </w:r>
      <w:r w:rsidRPr="002D6D46">
        <w:rPr>
          <w:rFonts w:ascii="Times New Roman" w:hAnsi="Times New Roman" w:cs="Times New Roman"/>
        </w:rPr>
        <w:t xml:space="preserve"> she insisted that colonial archives are not inert containers of facts but sites of knowledge production which must be read “along the archival grain,” for their regularities, omissions, and political forms</w:t>
      </w:r>
      <w:r w:rsidR="001A2660" w:rsidRPr="002D6D46">
        <w:rPr>
          <w:rFonts w:ascii="Times New Roman" w:hAnsi="Times New Roman" w:cs="Times New Roman"/>
        </w:rPr>
        <w:t xml:space="preserve"> </w:t>
      </w:r>
      <w:r w:rsidR="001A2660" w:rsidRPr="002D6D46">
        <w:rPr>
          <w:rFonts w:ascii="Times New Roman" w:hAnsi="Times New Roman" w:cs="Times New Roman"/>
        </w:rPr>
        <w:t>(Stoler, 2002)</w:t>
      </w:r>
      <w:r w:rsidRPr="002D6D46">
        <w:rPr>
          <w:rFonts w:ascii="Times New Roman" w:hAnsi="Times New Roman" w:cs="Times New Roman"/>
        </w:rPr>
        <w:t>. Burton’s reflections on “archive stories” complement this move by arguing that archives themselves are experienced differently depending on gender, race, nationality, and class. Together, these interventions made “intimate empire” one of the field’s most productive analytic directions</w:t>
      </w:r>
      <w:r w:rsidR="001A2660" w:rsidRPr="002D6D46">
        <w:rPr>
          <w:rFonts w:ascii="Times New Roman" w:hAnsi="Times New Roman" w:cs="Times New Roman"/>
        </w:rPr>
        <w:t xml:space="preserve"> as</w:t>
      </w:r>
      <w:r w:rsidRPr="002D6D46">
        <w:rPr>
          <w:rFonts w:ascii="Times New Roman" w:hAnsi="Times New Roman" w:cs="Times New Roman"/>
        </w:rPr>
        <w:t xml:space="preserve"> gender became a way to connect domestic and state power, epistemology and bureaucracy, archive and subject formation</w:t>
      </w:r>
      <w:r w:rsidR="001A2660" w:rsidRPr="002D6D46">
        <w:rPr>
          <w:rFonts w:ascii="Times New Roman" w:hAnsi="Times New Roman" w:cs="Times New Roman"/>
        </w:rPr>
        <w:t xml:space="preserve"> (</w:t>
      </w:r>
      <w:r w:rsidRPr="002D6D46">
        <w:rPr>
          <w:rFonts w:ascii="Times New Roman" w:hAnsi="Times New Roman" w:cs="Times New Roman"/>
        </w:rPr>
        <w:t xml:space="preserve">Burton 2007). </w:t>
      </w:r>
    </w:p>
    <w:p w14:paraId="5FF42EB6" w14:textId="45874547" w:rsidR="000D716D" w:rsidRPr="002D6D46" w:rsidRDefault="00000000" w:rsidP="002D6D46">
      <w:pPr>
        <w:pStyle w:val="BodyText"/>
        <w:jc w:val="both"/>
        <w:rPr>
          <w:rFonts w:ascii="Times New Roman" w:hAnsi="Times New Roman" w:cs="Times New Roman"/>
        </w:rPr>
      </w:pPr>
      <w:r w:rsidRPr="002D6D46">
        <w:rPr>
          <w:rFonts w:ascii="Times New Roman" w:hAnsi="Times New Roman" w:cs="Times New Roman"/>
        </w:rPr>
        <w:t xml:space="preserve">French imperial history, especially on Algeria, has shown equally clearly how gender can reveal the political logic of colonial reform and counterinsurgency. Neil MacMaster’s work on the 1959 marriage law demonstrates that wartime French authorities framed reforming Muslim personal status as emancipation while pursuing an assimilationist project that sought to transform Algerian women into properly modern, </w:t>
      </w:r>
      <w:proofErr w:type="spellStart"/>
      <w:r w:rsidRPr="002D6D46">
        <w:rPr>
          <w:rFonts w:ascii="Times New Roman" w:hAnsi="Times New Roman" w:cs="Times New Roman"/>
        </w:rPr>
        <w:t>westerni</w:t>
      </w:r>
      <w:r w:rsidR="006353EC"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subjects. The official ordinance of 4 February 1959 concerning marriage for persons of local civil status in Algeria, and the contemporary press explanation of its decree of application, made explicit consent a legal requirement and allowed a wife to seek dissolution where a husband had disappeared. Yet these measures were inseparable from a larger political strategy of pacification, staging, and propaganda. Official military photography of “Muslim marriage” under the ordinance confirms the performative dimension of that reform. Historians of empire have therefore used gender here not only to discuss women’s rights, but to understand how colonial states converted familial reform into a theat</w:t>
      </w:r>
      <w:r w:rsidR="006353EC" w:rsidRPr="002D6D46">
        <w:rPr>
          <w:rFonts w:ascii="Times New Roman" w:hAnsi="Times New Roman" w:cs="Times New Roman"/>
        </w:rPr>
        <w:t>re</w:t>
      </w:r>
      <w:r w:rsidRPr="002D6D46">
        <w:rPr>
          <w:rFonts w:ascii="Times New Roman" w:hAnsi="Times New Roman" w:cs="Times New Roman"/>
        </w:rPr>
        <w:t xml:space="preserve"> of sovereignty (MacMaster</w:t>
      </w:r>
      <w:r w:rsidR="006353EC" w:rsidRPr="002D6D46">
        <w:rPr>
          <w:rFonts w:ascii="Times New Roman" w:hAnsi="Times New Roman" w:cs="Times New Roman"/>
        </w:rPr>
        <w:t>,</w:t>
      </w:r>
      <w:r w:rsidRPr="002D6D46">
        <w:rPr>
          <w:rFonts w:ascii="Times New Roman" w:hAnsi="Times New Roman" w:cs="Times New Roman"/>
        </w:rPr>
        <w:t xml:space="preserve"> 2007</w:t>
      </w:r>
      <w:r w:rsidR="006353EC" w:rsidRPr="002D6D46">
        <w:rPr>
          <w:rFonts w:ascii="Times New Roman" w:hAnsi="Times New Roman" w:cs="Times New Roman"/>
        </w:rPr>
        <w:t>)</w:t>
      </w:r>
      <w:r w:rsidRPr="002D6D46">
        <w:rPr>
          <w:rFonts w:ascii="Times New Roman" w:hAnsi="Times New Roman" w:cs="Times New Roman"/>
        </w:rPr>
        <w:t xml:space="preserve">. </w:t>
      </w:r>
    </w:p>
    <w:p w14:paraId="35B0DC07" w14:textId="25BE3F83" w:rsidR="000D716D" w:rsidRPr="002D6D46" w:rsidRDefault="006353EC" w:rsidP="002D6D46">
      <w:pPr>
        <w:pStyle w:val="BodyText"/>
        <w:jc w:val="both"/>
        <w:rPr>
          <w:rFonts w:ascii="Times New Roman" w:hAnsi="Times New Roman" w:cs="Times New Roman"/>
        </w:rPr>
      </w:pPr>
      <w:r w:rsidRPr="002D6D46">
        <w:rPr>
          <w:rFonts w:ascii="Times New Roman" w:hAnsi="Times New Roman" w:cs="Times New Roman"/>
        </w:rPr>
        <w:t>Furthermore, a</w:t>
      </w:r>
      <w:r w:rsidR="00000000" w:rsidRPr="002D6D46">
        <w:rPr>
          <w:rFonts w:ascii="Times New Roman" w:hAnsi="Times New Roman" w:cs="Times New Roman"/>
        </w:rPr>
        <w:t>nticolonial texts complicate that picture rather than simply replacing one truth with another. In “Algeria Unveiled,” Fanon argued that the colonial fixation on the veil made Algerian women a strategic pivot of conquest</w:t>
      </w:r>
      <w:r w:rsidRPr="002D6D46">
        <w:rPr>
          <w:rFonts w:ascii="Times New Roman" w:hAnsi="Times New Roman" w:cs="Times New Roman"/>
        </w:rPr>
        <w:t>;</w:t>
      </w:r>
      <w:r w:rsidR="00000000" w:rsidRPr="002D6D46">
        <w:rPr>
          <w:rFonts w:ascii="Times New Roman" w:hAnsi="Times New Roman" w:cs="Times New Roman"/>
        </w:rPr>
        <w:t xml:space="preserve"> to unveil women was to attack Algerian society at its </w:t>
      </w:r>
      <w:proofErr w:type="spellStart"/>
      <w:r w:rsidR="00000000" w:rsidRPr="002D6D46">
        <w:rPr>
          <w:rFonts w:ascii="Times New Roman" w:hAnsi="Times New Roman" w:cs="Times New Roman"/>
        </w:rPr>
        <w:t>cent</w:t>
      </w:r>
      <w:r w:rsidRPr="002D6D46">
        <w:rPr>
          <w:rFonts w:ascii="Times New Roman" w:hAnsi="Times New Roman" w:cs="Times New Roman"/>
        </w:rPr>
        <w:t>re</w:t>
      </w:r>
      <w:proofErr w:type="spellEnd"/>
      <w:r w:rsidR="00000000" w:rsidRPr="002D6D46">
        <w:rPr>
          <w:rFonts w:ascii="Times New Roman" w:hAnsi="Times New Roman" w:cs="Times New Roman"/>
        </w:rPr>
        <w:t xml:space="preserve">. He also showed, with characteristic dramatic power, how the veil was transformed during the liberation struggle into a technique of camouflage, concealment, and resistance. Historians have productively used Fanon because he captures how colonialism </w:t>
      </w:r>
      <w:proofErr w:type="spellStart"/>
      <w:r w:rsidR="00000000" w:rsidRPr="002D6D46">
        <w:rPr>
          <w:rFonts w:ascii="Times New Roman" w:hAnsi="Times New Roman" w:cs="Times New Roman"/>
        </w:rPr>
        <w:t>sexuali</w:t>
      </w:r>
      <w:r w:rsidRPr="002D6D46">
        <w:rPr>
          <w:rFonts w:ascii="Times New Roman" w:hAnsi="Times New Roman" w:cs="Times New Roman"/>
        </w:rPr>
        <w:t>s</w:t>
      </w:r>
      <w:r w:rsidR="00000000" w:rsidRPr="002D6D46">
        <w:rPr>
          <w:rFonts w:ascii="Times New Roman" w:hAnsi="Times New Roman" w:cs="Times New Roman"/>
        </w:rPr>
        <w:t>ed</w:t>
      </w:r>
      <w:proofErr w:type="spellEnd"/>
      <w:r w:rsidR="00000000" w:rsidRPr="002D6D46">
        <w:rPr>
          <w:rFonts w:ascii="Times New Roman" w:hAnsi="Times New Roman" w:cs="Times New Roman"/>
        </w:rPr>
        <w:t xml:space="preserve"> and </w:t>
      </w:r>
      <w:proofErr w:type="spellStart"/>
      <w:r w:rsidR="00000000" w:rsidRPr="002D6D46">
        <w:rPr>
          <w:rFonts w:ascii="Times New Roman" w:hAnsi="Times New Roman" w:cs="Times New Roman"/>
        </w:rPr>
        <w:t>symboli</w:t>
      </w:r>
      <w:r w:rsidRPr="002D6D46">
        <w:rPr>
          <w:rFonts w:ascii="Times New Roman" w:hAnsi="Times New Roman" w:cs="Times New Roman"/>
        </w:rPr>
        <w:t>s</w:t>
      </w:r>
      <w:r w:rsidR="00000000" w:rsidRPr="002D6D46">
        <w:rPr>
          <w:rFonts w:ascii="Times New Roman" w:hAnsi="Times New Roman" w:cs="Times New Roman"/>
        </w:rPr>
        <w:t>ed</w:t>
      </w:r>
      <w:proofErr w:type="spellEnd"/>
      <w:r w:rsidR="00000000" w:rsidRPr="002D6D46">
        <w:rPr>
          <w:rFonts w:ascii="Times New Roman" w:hAnsi="Times New Roman" w:cs="Times New Roman"/>
        </w:rPr>
        <w:t xml:space="preserve"> women’s bodies, but his text also demonstrates the limits of nationalist recovery. Women often appear there as revolutionary emblems or as instruments of national struggle, not always as subjects whose desires exceed both colonial “liberation” and nationalist </w:t>
      </w:r>
      <w:proofErr w:type="spellStart"/>
      <w:r w:rsidR="00000000" w:rsidRPr="002D6D46">
        <w:rPr>
          <w:rFonts w:ascii="Times New Roman" w:hAnsi="Times New Roman" w:cs="Times New Roman"/>
        </w:rPr>
        <w:t>mobili</w:t>
      </w:r>
      <w:r w:rsidRPr="002D6D46">
        <w:rPr>
          <w:rFonts w:ascii="Times New Roman" w:hAnsi="Times New Roman" w:cs="Times New Roman"/>
        </w:rPr>
        <w:t>s</w:t>
      </w:r>
      <w:r w:rsidR="00000000" w:rsidRPr="002D6D46">
        <w:rPr>
          <w:rFonts w:ascii="Times New Roman" w:hAnsi="Times New Roman" w:cs="Times New Roman"/>
        </w:rPr>
        <w:t>ation</w:t>
      </w:r>
      <w:proofErr w:type="spellEnd"/>
      <w:r w:rsidR="00000000" w:rsidRPr="002D6D46">
        <w:rPr>
          <w:rFonts w:ascii="Times New Roman" w:hAnsi="Times New Roman" w:cs="Times New Roman"/>
        </w:rPr>
        <w:t xml:space="preserve">. The </w:t>
      </w:r>
      <w:r w:rsidRPr="002D6D46">
        <w:rPr>
          <w:rFonts w:ascii="Times New Roman" w:hAnsi="Times New Roman" w:cs="Times New Roman"/>
        </w:rPr>
        <w:t xml:space="preserve">important </w:t>
      </w:r>
      <w:r w:rsidR="00000000" w:rsidRPr="002D6D46">
        <w:rPr>
          <w:rFonts w:ascii="Times New Roman" w:hAnsi="Times New Roman" w:cs="Times New Roman"/>
        </w:rPr>
        <w:t xml:space="preserve">methodological lesson </w:t>
      </w:r>
      <w:r w:rsidRPr="002D6D46">
        <w:rPr>
          <w:rFonts w:ascii="Times New Roman" w:hAnsi="Times New Roman" w:cs="Times New Roman"/>
        </w:rPr>
        <w:t xml:space="preserve">here </w:t>
      </w:r>
      <w:r w:rsidR="00000000" w:rsidRPr="002D6D46">
        <w:rPr>
          <w:rFonts w:ascii="Times New Roman" w:hAnsi="Times New Roman" w:cs="Times New Roman"/>
        </w:rPr>
        <w:t xml:space="preserve">is </w:t>
      </w:r>
      <w:r w:rsidRPr="002D6D46">
        <w:rPr>
          <w:rFonts w:ascii="Times New Roman" w:hAnsi="Times New Roman" w:cs="Times New Roman"/>
        </w:rPr>
        <w:t>tha</w:t>
      </w:r>
      <w:r w:rsidR="00000000" w:rsidRPr="002D6D46">
        <w:rPr>
          <w:rFonts w:ascii="Times New Roman" w:hAnsi="Times New Roman" w:cs="Times New Roman"/>
        </w:rPr>
        <w:t>t</w:t>
      </w:r>
      <w:r w:rsidRPr="002D6D46">
        <w:rPr>
          <w:rFonts w:ascii="Times New Roman" w:hAnsi="Times New Roman" w:cs="Times New Roman"/>
        </w:rPr>
        <w:t xml:space="preserve"> </w:t>
      </w:r>
      <w:r w:rsidR="00000000" w:rsidRPr="002D6D46">
        <w:rPr>
          <w:rFonts w:ascii="Times New Roman" w:hAnsi="Times New Roman" w:cs="Times New Roman"/>
        </w:rPr>
        <w:t>gender analysis gains force when it reads colonial and anticolonial texts symmetrically for what they make women signify (Fanon</w:t>
      </w:r>
      <w:r w:rsidR="00006CAC" w:rsidRPr="002D6D46">
        <w:rPr>
          <w:rFonts w:ascii="Times New Roman" w:hAnsi="Times New Roman" w:cs="Times New Roman"/>
        </w:rPr>
        <w:t>,</w:t>
      </w:r>
      <w:r w:rsidR="00000000" w:rsidRPr="002D6D46">
        <w:rPr>
          <w:rFonts w:ascii="Times New Roman" w:hAnsi="Times New Roman" w:cs="Times New Roman"/>
        </w:rPr>
        <w:t xml:space="preserve"> 1965). </w:t>
      </w:r>
    </w:p>
    <w:p w14:paraId="5CF5BF33" w14:textId="09A45F00" w:rsidR="000D716D" w:rsidRPr="002D6D46" w:rsidRDefault="00000000" w:rsidP="002D6D46">
      <w:pPr>
        <w:pStyle w:val="BodyText"/>
        <w:jc w:val="both"/>
        <w:rPr>
          <w:rFonts w:ascii="Times New Roman" w:hAnsi="Times New Roman" w:cs="Times New Roman"/>
        </w:rPr>
      </w:pPr>
      <w:r w:rsidRPr="002D6D46">
        <w:rPr>
          <w:rFonts w:ascii="Times New Roman" w:hAnsi="Times New Roman" w:cs="Times New Roman"/>
        </w:rPr>
        <w:t xml:space="preserve">West African scholarship has widened this insight by showing that historians cannot assume either a single imperial model or a universal gender system. Work on French West and Equatorial Africa has long shown that French administrators tried to legislate women’s status in the name of </w:t>
      </w:r>
      <w:proofErr w:type="spellStart"/>
      <w:r w:rsidRPr="002D6D46">
        <w:rPr>
          <w:rFonts w:ascii="Times New Roman" w:hAnsi="Times New Roman" w:cs="Times New Roman"/>
        </w:rPr>
        <w:t>civili</w:t>
      </w:r>
      <w:r w:rsidR="00006CAC" w:rsidRPr="002D6D46">
        <w:rPr>
          <w:rFonts w:ascii="Times New Roman" w:hAnsi="Times New Roman" w:cs="Times New Roman"/>
        </w:rPr>
        <w:t>s</w:t>
      </w:r>
      <w:r w:rsidRPr="002D6D46">
        <w:rPr>
          <w:rFonts w:ascii="Times New Roman" w:hAnsi="Times New Roman" w:cs="Times New Roman"/>
        </w:rPr>
        <w:t>ation</w:t>
      </w:r>
      <w:proofErr w:type="spellEnd"/>
      <w:r w:rsidRPr="002D6D46">
        <w:rPr>
          <w:rFonts w:ascii="Times New Roman" w:hAnsi="Times New Roman" w:cs="Times New Roman"/>
        </w:rPr>
        <w:t xml:space="preserve"> while often misunderstanding or disregarding local juridical and social norms</w:t>
      </w:r>
      <w:r w:rsidR="00006CAC" w:rsidRPr="002D6D46">
        <w:rPr>
          <w:rFonts w:ascii="Times New Roman" w:hAnsi="Times New Roman" w:cs="Times New Roman"/>
        </w:rPr>
        <w:t xml:space="preserve"> </w:t>
      </w:r>
      <w:r w:rsidR="00006CAC" w:rsidRPr="002D6D46">
        <w:rPr>
          <w:rFonts w:ascii="Times New Roman" w:hAnsi="Times New Roman" w:cs="Times New Roman"/>
        </w:rPr>
        <w:t>(Dobkin, 1968)</w:t>
      </w:r>
      <w:r w:rsidRPr="002D6D46">
        <w:rPr>
          <w:rFonts w:ascii="Times New Roman" w:hAnsi="Times New Roman" w:cs="Times New Roman"/>
        </w:rPr>
        <w:t xml:space="preserve">. Scholarship on British colonial Africa likewise demonstrates that colonial </w:t>
      </w:r>
      <w:r w:rsidRPr="002D6D46">
        <w:rPr>
          <w:rFonts w:ascii="Times New Roman" w:hAnsi="Times New Roman" w:cs="Times New Roman"/>
        </w:rPr>
        <w:lastRenderedPageBreak/>
        <w:t xml:space="preserve">officials and missions tried to </w:t>
      </w:r>
      <w:proofErr w:type="spellStart"/>
      <w:r w:rsidRPr="002D6D46">
        <w:rPr>
          <w:rFonts w:ascii="Times New Roman" w:hAnsi="Times New Roman" w:cs="Times New Roman"/>
        </w:rPr>
        <w:t>instil</w:t>
      </w:r>
      <w:proofErr w:type="spellEnd"/>
      <w:r w:rsidRPr="002D6D46">
        <w:rPr>
          <w:rFonts w:ascii="Times New Roman" w:hAnsi="Times New Roman" w:cs="Times New Roman"/>
        </w:rPr>
        <w:t xml:space="preserve"> domesticity, train “suitable” wives, and channel women into carefully delimited public roles, even when promoting girls’ education and salaried employment. The primary sources themselves reveal the ideological coding of such projects. J. S. Mills’s 1898 missionary account of Sierra Leone openly celebrates “Christian </w:t>
      </w:r>
      <w:proofErr w:type="spellStart"/>
      <w:r w:rsidRPr="002D6D46">
        <w:rPr>
          <w:rFonts w:ascii="Times New Roman" w:hAnsi="Times New Roman" w:cs="Times New Roman"/>
        </w:rPr>
        <w:t>civili</w:t>
      </w:r>
      <w:r w:rsidR="00006CAC" w:rsidRPr="002D6D46">
        <w:rPr>
          <w:rFonts w:ascii="Times New Roman" w:hAnsi="Times New Roman" w:cs="Times New Roman"/>
        </w:rPr>
        <w:t>s</w:t>
      </w:r>
      <w:r w:rsidRPr="002D6D46">
        <w:rPr>
          <w:rFonts w:ascii="Times New Roman" w:hAnsi="Times New Roman" w:cs="Times New Roman"/>
        </w:rPr>
        <w:t>ation</w:t>
      </w:r>
      <w:proofErr w:type="spellEnd"/>
      <w:r w:rsidRPr="002D6D46">
        <w:rPr>
          <w:rFonts w:ascii="Times New Roman" w:hAnsi="Times New Roman" w:cs="Times New Roman"/>
        </w:rPr>
        <w:t xml:space="preserve">,” thanks British officers for their courtesy “in this dark land,” and describes African opponents as “heathen,” making the racial and </w:t>
      </w:r>
      <w:proofErr w:type="spellStart"/>
      <w:r w:rsidRPr="002D6D46">
        <w:rPr>
          <w:rFonts w:ascii="Times New Roman" w:hAnsi="Times New Roman" w:cs="Times New Roman"/>
        </w:rPr>
        <w:t>civili</w:t>
      </w:r>
      <w:r w:rsidR="00006CAC" w:rsidRPr="002D6D46">
        <w:rPr>
          <w:rFonts w:ascii="Times New Roman" w:hAnsi="Times New Roman" w:cs="Times New Roman"/>
        </w:rPr>
        <w:t>s</w:t>
      </w:r>
      <w:r w:rsidRPr="002D6D46">
        <w:rPr>
          <w:rFonts w:ascii="Times New Roman" w:hAnsi="Times New Roman" w:cs="Times New Roman"/>
        </w:rPr>
        <w:t>ational</w:t>
      </w:r>
      <w:proofErr w:type="spellEnd"/>
      <w:r w:rsidRPr="002D6D46">
        <w:rPr>
          <w:rFonts w:ascii="Times New Roman" w:hAnsi="Times New Roman" w:cs="Times New Roman"/>
        </w:rPr>
        <w:t xml:space="preserve"> assumptions of missionary gender politics impossible to miss. Historians who use gender analytically </w:t>
      </w:r>
      <w:r w:rsidR="00006CAC" w:rsidRPr="002D6D46">
        <w:rPr>
          <w:rFonts w:ascii="Times New Roman" w:hAnsi="Times New Roman" w:cs="Times New Roman"/>
        </w:rPr>
        <w:t xml:space="preserve">would </w:t>
      </w:r>
      <w:r w:rsidRPr="002D6D46">
        <w:rPr>
          <w:rFonts w:ascii="Times New Roman" w:hAnsi="Times New Roman" w:cs="Times New Roman"/>
        </w:rPr>
        <w:t xml:space="preserve">read these materials less as records of uplift than as evidence for how </w:t>
      </w:r>
      <w:r w:rsidR="00006CAC" w:rsidRPr="002D6D46">
        <w:rPr>
          <w:rFonts w:ascii="Times New Roman" w:hAnsi="Times New Roman" w:cs="Times New Roman"/>
        </w:rPr>
        <w:t xml:space="preserve">the </w:t>
      </w:r>
      <w:r w:rsidRPr="002D6D46">
        <w:rPr>
          <w:rFonts w:ascii="Times New Roman" w:hAnsi="Times New Roman" w:cs="Times New Roman"/>
        </w:rPr>
        <w:t xml:space="preserve">empire sought to </w:t>
      </w:r>
      <w:proofErr w:type="spellStart"/>
      <w:r w:rsidRPr="002D6D46">
        <w:rPr>
          <w:rFonts w:ascii="Times New Roman" w:hAnsi="Times New Roman" w:cs="Times New Roman"/>
        </w:rPr>
        <w:t>reorgani</w:t>
      </w:r>
      <w:r w:rsidR="00006CAC" w:rsidRPr="002D6D46">
        <w:rPr>
          <w:rFonts w:ascii="Times New Roman" w:hAnsi="Times New Roman" w:cs="Times New Roman"/>
        </w:rPr>
        <w:t>s</w:t>
      </w:r>
      <w:r w:rsidRPr="002D6D46">
        <w:rPr>
          <w:rFonts w:ascii="Times New Roman" w:hAnsi="Times New Roman" w:cs="Times New Roman"/>
        </w:rPr>
        <w:t>e</w:t>
      </w:r>
      <w:proofErr w:type="spellEnd"/>
      <w:r w:rsidRPr="002D6D46">
        <w:rPr>
          <w:rFonts w:ascii="Times New Roman" w:hAnsi="Times New Roman" w:cs="Times New Roman"/>
        </w:rPr>
        <w:t xml:space="preserve"> family, respectability, and </w:t>
      </w:r>
      <w:proofErr w:type="spellStart"/>
      <w:r w:rsidRPr="002D6D46">
        <w:rPr>
          <w:rFonts w:ascii="Times New Roman" w:hAnsi="Times New Roman" w:cs="Times New Roman"/>
        </w:rPr>
        <w:t>labo</w:t>
      </w:r>
      <w:r w:rsidR="00006CAC" w:rsidRPr="002D6D46">
        <w:rPr>
          <w:rFonts w:ascii="Times New Roman" w:hAnsi="Times New Roman" w:cs="Times New Roman"/>
        </w:rPr>
        <w:t>u</w:t>
      </w:r>
      <w:r w:rsidRPr="002D6D46">
        <w:rPr>
          <w:rFonts w:ascii="Times New Roman" w:hAnsi="Times New Roman" w:cs="Times New Roman"/>
        </w:rPr>
        <w:t>r</w:t>
      </w:r>
      <w:proofErr w:type="spellEnd"/>
      <w:r w:rsidRPr="002D6D46">
        <w:rPr>
          <w:rFonts w:ascii="Times New Roman" w:hAnsi="Times New Roman" w:cs="Times New Roman"/>
        </w:rPr>
        <w:t xml:space="preserve"> through </w:t>
      </w:r>
      <w:proofErr w:type="spellStart"/>
      <w:r w:rsidRPr="002D6D46">
        <w:rPr>
          <w:rFonts w:ascii="Times New Roman" w:hAnsi="Times New Roman" w:cs="Times New Roman"/>
        </w:rPr>
        <w:t>femini</w:t>
      </w:r>
      <w:r w:rsidR="00006CAC"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ideals of domestic order</w:t>
      </w:r>
      <w:r w:rsidR="00006CAC" w:rsidRPr="002D6D46">
        <w:rPr>
          <w:rFonts w:ascii="Times New Roman" w:hAnsi="Times New Roman" w:cs="Times New Roman"/>
        </w:rPr>
        <w:t xml:space="preserve"> (</w:t>
      </w:r>
      <w:r w:rsidR="00E2133A" w:rsidRPr="002D6D46">
        <w:rPr>
          <w:rFonts w:ascii="Times New Roman" w:hAnsi="Times New Roman" w:cs="Times New Roman"/>
        </w:rPr>
        <w:t>Mills 1898</w:t>
      </w:r>
      <w:r w:rsidR="00E2133A">
        <w:rPr>
          <w:rFonts w:ascii="Times New Roman" w:hAnsi="Times New Roman" w:cs="Times New Roman"/>
        </w:rPr>
        <w:t xml:space="preserve">; </w:t>
      </w:r>
      <w:r w:rsidRPr="002D6D46">
        <w:rPr>
          <w:rFonts w:ascii="Times New Roman" w:hAnsi="Times New Roman" w:cs="Times New Roman"/>
        </w:rPr>
        <w:t xml:space="preserve">Adams 2006). </w:t>
      </w:r>
    </w:p>
    <w:p w14:paraId="5AB4EC61" w14:textId="2BD80A1E" w:rsidR="000D716D" w:rsidRPr="002D6D46" w:rsidRDefault="00000000" w:rsidP="002D6D46">
      <w:pPr>
        <w:pStyle w:val="BodyText"/>
        <w:jc w:val="both"/>
        <w:rPr>
          <w:rFonts w:ascii="Times New Roman" w:hAnsi="Times New Roman" w:cs="Times New Roman"/>
        </w:rPr>
      </w:pPr>
      <w:r w:rsidRPr="002D6D46">
        <w:rPr>
          <w:rFonts w:ascii="Times New Roman" w:hAnsi="Times New Roman" w:cs="Times New Roman"/>
        </w:rPr>
        <w:t>At this point, however, historians of empire also had to confront a deeper epistemological issue</w:t>
      </w:r>
      <w:r w:rsidR="00E567EE" w:rsidRPr="002D6D46">
        <w:rPr>
          <w:rFonts w:ascii="Times New Roman" w:hAnsi="Times New Roman" w:cs="Times New Roman"/>
        </w:rPr>
        <w:t xml:space="preserve">, which is that </w:t>
      </w:r>
      <w:r w:rsidRPr="002D6D46">
        <w:rPr>
          <w:rFonts w:ascii="Times New Roman" w:hAnsi="Times New Roman" w:cs="Times New Roman"/>
        </w:rPr>
        <w:t xml:space="preserve">what if the category of gender itself had been carried into </w:t>
      </w:r>
      <w:proofErr w:type="spellStart"/>
      <w:r w:rsidRPr="002D6D46">
        <w:rPr>
          <w:rFonts w:ascii="Times New Roman" w:hAnsi="Times New Roman" w:cs="Times New Roman"/>
        </w:rPr>
        <w:t>coloni</w:t>
      </w:r>
      <w:r w:rsidR="00E567EE"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settings through colonial knowledge systems? </w:t>
      </w:r>
      <w:proofErr w:type="spellStart"/>
      <w:r w:rsidRPr="002D6D46">
        <w:rPr>
          <w:rFonts w:ascii="Times New Roman" w:hAnsi="Times New Roman" w:cs="Times New Roman"/>
        </w:rPr>
        <w:t>Oyèrónké</w:t>
      </w:r>
      <w:proofErr w:type="spellEnd"/>
      <w:r w:rsidRPr="002D6D46">
        <w:rPr>
          <w:rFonts w:ascii="Times New Roman" w:hAnsi="Times New Roman" w:cs="Times New Roman"/>
        </w:rPr>
        <w:t xml:space="preserve"> </w:t>
      </w:r>
      <w:proofErr w:type="spellStart"/>
      <w:r w:rsidRPr="002D6D46">
        <w:rPr>
          <w:rFonts w:ascii="Times New Roman" w:hAnsi="Times New Roman" w:cs="Times New Roman"/>
        </w:rPr>
        <w:t>Oyěwùmí</w:t>
      </w:r>
      <w:proofErr w:type="spellEnd"/>
      <w:r w:rsidR="00E567EE" w:rsidRPr="002D6D46">
        <w:rPr>
          <w:rFonts w:ascii="Times New Roman" w:hAnsi="Times New Roman" w:cs="Times New Roman"/>
        </w:rPr>
        <w:t xml:space="preserve"> </w:t>
      </w:r>
      <w:r w:rsidRPr="002D6D46">
        <w:rPr>
          <w:rFonts w:ascii="Times New Roman" w:hAnsi="Times New Roman" w:cs="Times New Roman"/>
        </w:rPr>
        <w:t xml:space="preserve">argued that Western thought privileges the body and visual difference in making social categories, whereas Yoruba social </w:t>
      </w:r>
      <w:proofErr w:type="spellStart"/>
      <w:r w:rsidRPr="002D6D46">
        <w:rPr>
          <w:rFonts w:ascii="Times New Roman" w:hAnsi="Times New Roman" w:cs="Times New Roman"/>
        </w:rPr>
        <w:t>organi</w:t>
      </w:r>
      <w:r w:rsidR="00E567EE" w:rsidRPr="002D6D46">
        <w:rPr>
          <w:rFonts w:ascii="Times New Roman" w:hAnsi="Times New Roman" w:cs="Times New Roman"/>
        </w:rPr>
        <w:t>s</w:t>
      </w:r>
      <w:r w:rsidRPr="002D6D46">
        <w:rPr>
          <w:rFonts w:ascii="Times New Roman" w:hAnsi="Times New Roman" w:cs="Times New Roman"/>
        </w:rPr>
        <w:t>ation</w:t>
      </w:r>
      <w:proofErr w:type="spellEnd"/>
      <w:r w:rsidRPr="002D6D46">
        <w:rPr>
          <w:rFonts w:ascii="Times New Roman" w:hAnsi="Times New Roman" w:cs="Times New Roman"/>
        </w:rPr>
        <w:t xml:space="preserve"> cannot simply be read through the same body-</w:t>
      </w:r>
      <w:proofErr w:type="spellStart"/>
      <w:r w:rsidRPr="002D6D46">
        <w:rPr>
          <w:rFonts w:ascii="Times New Roman" w:hAnsi="Times New Roman" w:cs="Times New Roman"/>
        </w:rPr>
        <w:t>centred</w:t>
      </w:r>
      <w:proofErr w:type="spellEnd"/>
      <w:r w:rsidRPr="002D6D46">
        <w:rPr>
          <w:rFonts w:ascii="Times New Roman" w:hAnsi="Times New Roman" w:cs="Times New Roman"/>
        </w:rPr>
        <w:t xml:space="preserve"> assumptions. In the prefatory summary and the </w:t>
      </w:r>
      <w:proofErr w:type="gramStart"/>
      <w:r w:rsidRPr="002D6D46">
        <w:rPr>
          <w:rFonts w:ascii="Times New Roman" w:hAnsi="Times New Roman" w:cs="Times New Roman"/>
        </w:rPr>
        <w:t>essay</w:t>
      </w:r>
      <w:proofErr w:type="gramEnd"/>
      <w:r w:rsidRPr="002D6D46">
        <w:rPr>
          <w:rFonts w:ascii="Times New Roman" w:hAnsi="Times New Roman" w:cs="Times New Roman"/>
        </w:rPr>
        <w:t xml:space="preserve"> itself, she insists that the narrative of gendered corporeality dominating Western interpretation cannot be </w:t>
      </w:r>
      <w:proofErr w:type="spellStart"/>
      <w:r w:rsidRPr="002D6D46">
        <w:rPr>
          <w:rFonts w:ascii="Times New Roman" w:hAnsi="Times New Roman" w:cs="Times New Roman"/>
        </w:rPr>
        <w:t>universali</w:t>
      </w:r>
      <w:r w:rsidR="00E567EE"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and that Africa must be studied on its own terms. That argument has major consequences for imperial historiography. It means that historians cannot simply export Euro-American theories of womanhood, patriarchy, or separate spheres into colonial societies without asking whether those categories were themselves part of the colonial imposition. Gender, in other words, becomes most analytically useful when historians </w:t>
      </w:r>
      <w:proofErr w:type="spellStart"/>
      <w:r w:rsidRPr="002D6D46">
        <w:rPr>
          <w:rFonts w:ascii="Times New Roman" w:hAnsi="Times New Roman" w:cs="Times New Roman"/>
        </w:rPr>
        <w:t>historici</w:t>
      </w:r>
      <w:r w:rsidR="00E567EE" w:rsidRPr="002D6D46">
        <w:rPr>
          <w:rFonts w:ascii="Times New Roman" w:hAnsi="Times New Roman" w:cs="Times New Roman"/>
        </w:rPr>
        <w:t>s</w:t>
      </w:r>
      <w:r w:rsidRPr="002D6D46">
        <w:rPr>
          <w:rFonts w:ascii="Times New Roman" w:hAnsi="Times New Roman" w:cs="Times New Roman"/>
        </w:rPr>
        <w:t>e</w:t>
      </w:r>
      <w:proofErr w:type="spellEnd"/>
      <w:r w:rsidRPr="002D6D46">
        <w:rPr>
          <w:rFonts w:ascii="Times New Roman" w:hAnsi="Times New Roman" w:cs="Times New Roman"/>
        </w:rPr>
        <w:t xml:space="preserve"> it rather than presume it (</w:t>
      </w:r>
      <w:proofErr w:type="spellStart"/>
      <w:r w:rsidRPr="002D6D46">
        <w:rPr>
          <w:rFonts w:ascii="Times New Roman" w:hAnsi="Times New Roman" w:cs="Times New Roman"/>
        </w:rPr>
        <w:t>Oyěwùmí</w:t>
      </w:r>
      <w:proofErr w:type="spellEnd"/>
      <w:r w:rsidR="00E567EE" w:rsidRPr="002D6D46">
        <w:rPr>
          <w:rFonts w:ascii="Times New Roman" w:hAnsi="Times New Roman" w:cs="Times New Roman"/>
        </w:rPr>
        <w:t>,</w:t>
      </w:r>
      <w:r w:rsidRPr="002D6D46">
        <w:rPr>
          <w:rFonts w:ascii="Times New Roman" w:hAnsi="Times New Roman" w:cs="Times New Roman"/>
        </w:rPr>
        <w:t xml:space="preserve"> 2005). </w:t>
      </w:r>
    </w:p>
    <w:p w14:paraId="69DD31CF" w14:textId="1BCEB285" w:rsidR="000D716D" w:rsidRPr="002D6D46" w:rsidRDefault="00E567EE" w:rsidP="002D6D46">
      <w:pPr>
        <w:pStyle w:val="BodyText"/>
        <w:jc w:val="both"/>
        <w:rPr>
          <w:rFonts w:ascii="Times New Roman" w:hAnsi="Times New Roman" w:cs="Times New Roman"/>
        </w:rPr>
      </w:pPr>
      <w:r w:rsidRPr="002D6D46">
        <w:rPr>
          <w:rFonts w:ascii="Times New Roman" w:hAnsi="Times New Roman" w:cs="Times New Roman"/>
        </w:rPr>
        <w:t xml:space="preserve">Additionally, </w:t>
      </w:r>
      <w:r w:rsidR="00000000" w:rsidRPr="002D6D46">
        <w:rPr>
          <w:rFonts w:ascii="Times New Roman" w:hAnsi="Times New Roman" w:cs="Times New Roman"/>
        </w:rPr>
        <w:t>Spivak’s</w:t>
      </w:r>
      <w:r w:rsidRPr="002D6D46">
        <w:rPr>
          <w:rFonts w:ascii="Times New Roman" w:hAnsi="Times New Roman" w:cs="Times New Roman"/>
        </w:rPr>
        <w:t xml:space="preserve"> </w:t>
      </w:r>
      <w:r w:rsidR="00000000" w:rsidRPr="002D6D46">
        <w:rPr>
          <w:rFonts w:ascii="Times New Roman" w:hAnsi="Times New Roman" w:cs="Times New Roman"/>
        </w:rPr>
        <w:t>question about the female subaltern sharpened that warning. Her famous formulation that the female subaltern is “even more deeply in shadow” did not deny women’s action</w:t>
      </w:r>
      <w:r w:rsidRPr="002D6D46">
        <w:rPr>
          <w:rFonts w:ascii="Times New Roman" w:hAnsi="Times New Roman" w:cs="Times New Roman"/>
        </w:rPr>
        <w:t xml:space="preserve"> but</w:t>
      </w:r>
      <w:r w:rsidR="00000000" w:rsidRPr="002D6D46">
        <w:rPr>
          <w:rFonts w:ascii="Times New Roman" w:hAnsi="Times New Roman" w:cs="Times New Roman"/>
        </w:rPr>
        <w:t xml:space="preserve"> exposed the epistemic violence through which colonialist historiography and insurgent narratives alike tend to keep male agency central. Burton’s archive essay adds a related reminder that imperial archives shape historians’ imaginations and distribute visibility unevenly according to gender, race, class, and nationality. The consequence for imperial history is profound. Historians have incorporated gender most critically when they do not promise a simple recovery of authentic women’s voices from the file or report, but instead </w:t>
      </w:r>
      <w:proofErr w:type="spellStart"/>
      <w:r w:rsidR="00000000" w:rsidRPr="002D6D46">
        <w:rPr>
          <w:rFonts w:ascii="Times New Roman" w:hAnsi="Times New Roman" w:cs="Times New Roman"/>
        </w:rPr>
        <w:t>analy</w:t>
      </w:r>
      <w:r w:rsidRPr="002D6D46">
        <w:rPr>
          <w:rFonts w:ascii="Times New Roman" w:hAnsi="Times New Roman" w:cs="Times New Roman"/>
        </w:rPr>
        <w:t>s</w:t>
      </w:r>
      <w:r w:rsidR="00000000" w:rsidRPr="002D6D46">
        <w:rPr>
          <w:rFonts w:ascii="Times New Roman" w:hAnsi="Times New Roman" w:cs="Times New Roman"/>
        </w:rPr>
        <w:t>e</w:t>
      </w:r>
      <w:proofErr w:type="spellEnd"/>
      <w:r w:rsidR="00000000" w:rsidRPr="002D6D46">
        <w:rPr>
          <w:rFonts w:ascii="Times New Roman" w:hAnsi="Times New Roman" w:cs="Times New Roman"/>
        </w:rPr>
        <w:t xml:space="preserve"> how archives were built, what they classify, what they omit, and how those silences are themselves historical. Gender here ceases to be only a subject of inquiry and becomes a method for interrogating the making of evidence (Spivak</w:t>
      </w:r>
      <w:r w:rsidRPr="002D6D46">
        <w:rPr>
          <w:rFonts w:ascii="Times New Roman" w:hAnsi="Times New Roman" w:cs="Times New Roman"/>
        </w:rPr>
        <w:t>,</w:t>
      </w:r>
      <w:r w:rsidR="00000000" w:rsidRPr="002D6D46">
        <w:rPr>
          <w:rFonts w:ascii="Times New Roman" w:hAnsi="Times New Roman" w:cs="Times New Roman"/>
        </w:rPr>
        <w:t xml:space="preserve"> 1988; Burton</w:t>
      </w:r>
      <w:r w:rsidRPr="002D6D46">
        <w:rPr>
          <w:rFonts w:ascii="Times New Roman" w:hAnsi="Times New Roman" w:cs="Times New Roman"/>
        </w:rPr>
        <w:t xml:space="preserve">, </w:t>
      </w:r>
      <w:r w:rsidR="00000000" w:rsidRPr="002D6D46">
        <w:rPr>
          <w:rFonts w:ascii="Times New Roman" w:hAnsi="Times New Roman" w:cs="Times New Roman"/>
        </w:rPr>
        <w:t xml:space="preserve">2007). </w:t>
      </w:r>
    </w:p>
    <w:p w14:paraId="65CCB39B" w14:textId="01DD2638" w:rsidR="000D716D" w:rsidRPr="002D6D46" w:rsidRDefault="00F9796D" w:rsidP="002D6D46">
      <w:pPr>
        <w:pStyle w:val="BodyText"/>
        <w:jc w:val="both"/>
        <w:rPr>
          <w:rFonts w:ascii="Times New Roman" w:hAnsi="Times New Roman" w:cs="Times New Roman"/>
        </w:rPr>
      </w:pPr>
      <w:r w:rsidRPr="002D6D46">
        <w:rPr>
          <w:rFonts w:ascii="Times New Roman" w:hAnsi="Times New Roman" w:cs="Times New Roman"/>
        </w:rPr>
        <w:t>Hence, r</w:t>
      </w:r>
      <w:r w:rsidR="00000000" w:rsidRPr="002D6D46">
        <w:rPr>
          <w:rFonts w:ascii="Times New Roman" w:hAnsi="Times New Roman" w:cs="Times New Roman"/>
        </w:rPr>
        <w:t xml:space="preserve">ecent scholarship has built on these foundations by making the field more comparative, intersectional, and less narrowly British. </w:t>
      </w:r>
      <w:r w:rsidRPr="002D6D46">
        <w:rPr>
          <w:rFonts w:ascii="Times New Roman" w:hAnsi="Times New Roman" w:cs="Times New Roman"/>
        </w:rPr>
        <w:t>E</w:t>
      </w:r>
      <w:r w:rsidR="00000000" w:rsidRPr="002D6D46">
        <w:rPr>
          <w:rFonts w:ascii="Times New Roman" w:hAnsi="Times New Roman" w:cs="Times New Roman"/>
        </w:rPr>
        <w:t xml:space="preserve">arlier studies </w:t>
      </w:r>
      <w:proofErr w:type="spellStart"/>
      <w:r w:rsidR="00000000" w:rsidRPr="002D6D46">
        <w:rPr>
          <w:rFonts w:ascii="Times New Roman" w:hAnsi="Times New Roman" w:cs="Times New Roman"/>
        </w:rPr>
        <w:t>centred</w:t>
      </w:r>
      <w:proofErr w:type="spellEnd"/>
      <w:r w:rsidR="00000000" w:rsidRPr="002D6D46">
        <w:rPr>
          <w:rFonts w:ascii="Times New Roman" w:hAnsi="Times New Roman" w:cs="Times New Roman"/>
        </w:rPr>
        <w:t xml:space="preserve"> on women’s experiences, but later work expanded to masculinity, sexuality, intimacy, and the critique of binary categories such as male/female and </w:t>
      </w:r>
      <w:proofErr w:type="spellStart"/>
      <w:r w:rsidR="00000000" w:rsidRPr="002D6D46">
        <w:rPr>
          <w:rFonts w:ascii="Times New Roman" w:hAnsi="Times New Roman" w:cs="Times New Roman"/>
        </w:rPr>
        <w:t>coloni</w:t>
      </w:r>
      <w:r w:rsidRPr="002D6D46">
        <w:rPr>
          <w:rFonts w:ascii="Times New Roman" w:hAnsi="Times New Roman" w:cs="Times New Roman"/>
        </w:rPr>
        <w:t>s</w:t>
      </w:r>
      <w:r w:rsidR="00000000" w:rsidRPr="002D6D46">
        <w:rPr>
          <w:rFonts w:ascii="Times New Roman" w:hAnsi="Times New Roman" w:cs="Times New Roman"/>
        </w:rPr>
        <w:t>er</w:t>
      </w:r>
      <w:proofErr w:type="spellEnd"/>
      <w:r w:rsidR="00000000" w:rsidRPr="002D6D46">
        <w:rPr>
          <w:rFonts w:ascii="Times New Roman" w:hAnsi="Times New Roman" w:cs="Times New Roman"/>
        </w:rPr>
        <w:t>/</w:t>
      </w:r>
      <w:proofErr w:type="spellStart"/>
      <w:r w:rsidR="00000000" w:rsidRPr="002D6D46">
        <w:rPr>
          <w:rFonts w:ascii="Times New Roman" w:hAnsi="Times New Roman" w:cs="Times New Roman"/>
        </w:rPr>
        <w:t>coloni</w:t>
      </w:r>
      <w:r w:rsidRPr="002D6D46">
        <w:rPr>
          <w:rFonts w:ascii="Times New Roman" w:hAnsi="Times New Roman" w:cs="Times New Roman"/>
        </w:rPr>
        <w:t>s</w:t>
      </w:r>
      <w:r w:rsidR="00000000" w:rsidRPr="002D6D46">
        <w:rPr>
          <w:rFonts w:ascii="Times New Roman" w:hAnsi="Times New Roman" w:cs="Times New Roman"/>
        </w:rPr>
        <w:t>ed</w:t>
      </w:r>
      <w:proofErr w:type="spellEnd"/>
      <w:r w:rsidR="00000000" w:rsidRPr="002D6D46">
        <w:rPr>
          <w:rFonts w:ascii="Times New Roman" w:hAnsi="Times New Roman" w:cs="Times New Roman"/>
        </w:rPr>
        <w:t>. These developments also draw on what newer imperial histories learned from postcolonial and feminist theory</w:t>
      </w:r>
      <w:r w:rsidRPr="002D6D46">
        <w:rPr>
          <w:rFonts w:ascii="Times New Roman" w:hAnsi="Times New Roman" w:cs="Times New Roman"/>
        </w:rPr>
        <w:t xml:space="preserve"> </w:t>
      </w:r>
      <w:r w:rsidR="00000000" w:rsidRPr="002D6D46">
        <w:rPr>
          <w:rFonts w:ascii="Times New Roman" w:hAnsi="Times New Roman" w:cs="Times New Roman"/>
        </w:rPr>
        <w:t xml:space="preserve">that empires are made in the traffic between colony and metropole, through moving categories and “imperial formations,” and that analyses of gender must be entangled with race, class, </w:t>
      </w:r>
      <w:proofErr w:type="spellStart"/>
      <w:r w:rsidR="00000000" w:rsidRPr="002D6D46">
        <w:rPr>
          <w:rFonts w:ascii="Times New Roman" w:hAnsi="Times New Roman" w:cs="Times New Roman"/>
        </w:rPr>
        <w:t>labo</w:t>
      </w:r>
      <w:r w:rsidRPr="002D6D46">
        <w:rPr>
          <w:rFonts w:ascii="Times New Roman" w:hAnsi="Times New Roman" w:cs="Times New Roman"/>
        </w:rPr>
        <w:t>u</w:t>
      </w:r>
      <w:r w:rsidR="00000000" w:rsidRPr="002D6D46">
        <w:rPr>
          <w:rFonts w:ascii="Times New Roman" w:hAnsi="Times New Roman" w:cs="Times New Roman"/>
        </w:rPr>
        <w:t>r</w:t>
      </w:r>
      <w:proofErr w:type="spellEnd"/>
      <w:r w:rsidR="00000000" w:rsidRPr="002D6D46">
        <w:rPr>
          <w:rFonts w:ascii="Times New Roman" w:hAnsi="Times New Roman" w:cs="Times New Roman"/>
        </w:rPr>
        <w:t xml:space="preserve">, and sexuality. My own position is that this decentering has been the field’s greatest achievement. The best imperial history now uses gender not as a self-sufficient theme but as an instrument for exposing how empire </w:t>
      </w:r>
      <w:proofErr w:type="spellStart"/>
      <w:r w:rsidR="00000000" w:rsidRPr="002D6D46">
        <w:rPr>
          <w:rFonts w:ascii="Times New Roman" w:hAnsi="Times New Roman" w:cs="Times New Roman"/>
        </w:rPr>
        <w:t>organi</w:t>
      </w:r>
      <w:r w:rsidRPr="002D6D46">
        <w:rPr>
          <w:rFonts w:ascii="Times New Roman" w:hAnsi="Times New Roman" w:cs="Times New Roman"/>
        </w:rPr>
        <w:t>s</w:t>
      </w:r>
      <w:r w:rsidR="00000000" w:rsidRPr="002D6D46">
        <w:rPr>
          <w:rFonts w:ascii="Times New Roman" w:hAnsi="Times New Roman" w:cs="Times New Roman"/>
        </w:rPr>
        <w:t>ed</w:t>
      </w:r>
      <w:proofErr w:type="spellEnd"/>
      <w:r w:rsidR="00000000" w:rsidRPr="002D6D46">
        <w:rPr>
          <w:rFonts w:ascii="Times New Roman" w:hAnsi="Times New Roman" w:cs="Times New Roman"/>
        </w:rPr>
        <w:t xml:space="preserve"> difference across bodies, homes, courts, archives, and political imaginaries. Its remaining challenge is to preserve that relational breadth without collapsing local social worlds into a single </w:t>
      </w:r>
      <w:proofErr w:type="spellStart"/>
      <w:r w:rsidR="00000000" w:rsidRPr="002D6D46">
        <w:rPr>
          <w:rFonts w:ascii="Times New Roman" w:hAnsi="Times New Roman" w:cs="Times New Roman"/>
        </w:rPr>
        <w:t>transimperial</w:t>
      </w:r>
      <w:proofErr w:type="spellEnd"/>
      <w:r w:rsidR="00000000" w:rsidRPr="002D6D46">
        <w:rPr>
          <w:rFonts w:ascii="Times New Roman" w:hAnsi="Times New Roman" w:cs="Times New Roman"/>
        </w:rPr>
        <w:t xml:space="preserve"> story told in a Western feminist idiom</w:t>
      </w:r>
      <w:r w:rsidR="002D6D46" w:rsidRPr="002D6D46">
        <w:rPr>
          <w:rFonts w:ascii="Times New Roman" w:hAnsi="Times New Roman" w:cs="Times New Roman"/>
        </w:rPr>
        <w:t xml:space="preserve"> </w:t>
      </w:r>
      <w:r w:rsidR="00000000" w:rsidRPr="002D6D46">
        <w:rPr>
          <w:rFonts w:ascii="Times New Roman" w:hAnsi="Times New Roman" w:cs="Times New Roman"/>
        </w:rPr>
        <w:t>(Levine</w:t>
      </w:r>
      <w:r w:rsidR="002D6D46" w:rsidRPr="002D6D46">
        <w:rPr>
          <w:rFonts w:ascii="Times New Roman" w:hAnsi="Times New Roman" w:cs="Times New Roman"/>
        </w:rPr>
        <w:t>,</w:t>
      </w:r>
      <w:r w:rsidR="00000000" w:rsidRPr="002D6D46">
        <w:rPr>
          <w:rFonts w:ascii="Times New Roman" w:hAnsi="Times New Roman" w:cs="Times New Roman"/>
        </w:rPr>
        <w:t xml:space="preserve"> 2007). </w:t>
      </w:r>
    </w:p>
    <w:p w14:paraId="7913203D" w14:textId="2D3E1493" w:rsidR="000D716D" w:rsidRDefault="00000000" w:rsidP="002D6D46">
      <w:pPr>
        <w:pStyle w:val="BodyText"/>
        <w:jc w:val="both"/>
      </w:pPr>
      <w:r w:rsidRPr="002D6D46">
        <w:rPr>
          <w:rFonts w:ascii="Times New Roman" w:hAnsi="Times New Roman" w:cs="Times New Roman"/>
        </w:rPr>
        <w:lastRenderedPageBreak/>
        <w:t xml:space="preserve">To conclude, historians of empire have incorporated gender as a tool of analysis in three increasingly sophisticated ways. First, they exposed the exclusion of women from both imperial history and national history and </w:t>
      </w:r>
      <w:proofErr w:type="spellStart"/>
      <w:r w:rsidRPr="002D6D46">
        <w:rPr>
          <w:rFonts w:ascii="Times New Roman" w:hAnsi="Times New Roman" w:cs="Times New Roman"/>
        </w:rPr>
        <w:t>critici</w:t>
      </w:r>
      <w:r w:rsidR="002D6D46"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the recovery model when it reproduced colonial privilege. Second, they used gender to reinterpret the core operations of empire itself, from masculinity and imperial feminism to sexuality, domesticity, and the intimate-state nexus. Third, the most reflective historians subjected both archives and gender categories to postcolonial scrutiny, showing that imperial knowledge did not merely represent gender but helped to produce the very terms through which gender became thinkable. The result is that gender has become indispensable to imperial historiography not because every imperial episode can be reduced to sex difference, but because empire repeatedly made power legible through gendered distinctions and because gender analysis enables historians to see how those distinctions were constructed, contested, and </w:t>
      </w:r>
      <w:proofErr w:type="spellStart"/>
      <w:r w:rsidRPr="002D6D46">
        <w:rPr>
          <w:rFonts w:ascii="Times New Roman" w:hAnsi="Times New Roman" w:cs="Times New Roman"/>
        </w:rPr>
        <w:t>naturali</w:t>
      </w:r>
      <w:r w:rsidR="002D6D46" w:rsidRPr="002D6D46">
        <w:rPr>
          <w:rFonts w:ascii="Times New Roman" w:hAnsi="Times New Roman" w:cs="Times New Roman"/>
        </w:rPr>
        <w:t>s</w:t>
      </w:r>
      <w:r w:rsidRPr="002D6D46">
        <w:rPr>
          <w:rFonts w:ascii="Times New Roman" w:hAnsi="Times New Roman" w:cs="Times New Roman"/>
        </w:rPr>
        <w:t>ed</w:t>
      </w:r>
      <w:proofErr w:type="spellEnd"/>
      <w:r w:rsidRPr="002D6D46">
        <w:rPr>
          <w:rFonts w:ascii="Times New Roman" w:hAnsi="Times New Roman" w:cs="Times New Roman"/>
        </w:rPr>
        <w:t xml:space="preserve">. </w:t>
      </w:r>
    </w:p>
    <w:p w14:paraId="102F95F8" w14:textId="77777777" w:rsidR="002D6D46" w:rsidRDefault="002D6D46">
      <w:pPr>
        <w:pStyle w:val="Heading2"/>
      </w:pPr>
      <w:bookmarkStart w:id="4" w:name="harvard-style-bibliography"/>
      <w:bookmarkEnd w:id="3"/>
    </w:p>
    <w:p w14:paraId="0709B916" w14:textId="30D90207" w:rsidR="000D716D" w:rsidRPr="00E2133A" w:rsidRDefault="002D6D46" w:rsidP="00E2133A">
      <w:pPr>
        <w:pStyle w:val="Bibliography"/>
        <w:rPr>
          <w:rFonts w:ascii="Times New Roman" w:hAnsi="Times New Roman" w:cs="Times New Roman"/>
          <w:b/>
          <w:bCs/>
          <w:sz w:val="32"/>
          <w:szCs w:val="32"/>
        </w:rPr>
      </w:pPr>
      <w:r w:rsidRPr="00E2133A">
        <w:rPr>
          <w:rFonts w:ascii="Times New Roman" w:hAnsi="Times New Roman" w:cs="Times New Roman"/>
          <w:b/>
          <w:bCs/>
          <w:sz w:val="32"/>
          <w:szCs w:val="32"/>
        </w:rPr>
        <w:t>B</w:t>
      </w:r>
      <w:r w:rsidR="00000000" w:rsidRPr="00E2133A">
        <w:rPr>
          <w:rFonts w:ascii="Times New Roman" w:hAnsi="Times New Roman" w:cs="Times New Roman"/>
          <w:b/>
          <w:bCs/>
          <w:sz w:val="32"/>
          <w:szCs w:val="32"/>
        </w:rPr>
        <w:t>ibliography</w:t>
      </w:r>
    </w:p>
    <w:p w14:paraId="1B0E30CD"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Adams, M. 2006, ‘Colonial Policies and Women’s Participation in Public Life: The Case of British Southern Cameroons, 1950–1961’, </w:t>
      </w:r>
      <w:r w:rsidRPr="00E2133A">
        <w:rPr>
          <w:rFonts w:ascii="Times New Roman" w:hAnsi="Times New Roman" w:cs="Times New Roman"/>
          <w:i/>
          <w:iCs/>
        </w:rPr>
        <w:t>African Studies Quarterly</w:t>
      </w:r>
      <w:r w:rsidRPr="00E2133A">
        <w:rPr>
          <w:rFonts w:ascii="Times New Roman" w:hAnsi="Times New Roman" w:cs="Times New Roman"/>
        </w:rPr>
        <w:t>, vol. 8, no. 3.</w:t>
      </w:r>
    </w:p>
    <w:p w14:paraId="0A72D79B" w14:textId="796A3B83"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Burton, A. </w:t>
      </w:r>
      <w:r w:rsidR="00C31A6C" w:rsidRPr="00E2133A">
        <w:rPr>
          <w:rFonts w:ascii="Times New Roman" w:hAnsi="Times New Roman" w:cs="Times New Roman"/>
        </w:rPr>
        <w:t>2000</w:t>
      </w:r>
      <w:r w:rsidRPr="00E2133A">
        <w:rPr>
          <w:rFonts w:ascii="Times New Roman" w:hAnsi="Times New Roman" w:cs="Times New Roman"/>
        </w:rPr>
        <w:t xml:space="preserve">, </w:t>
      </w:r>
      <w:r w:rsidRPr="00E2133A">
        <w:rPr>
          <w:rFonts w:ascii="Times New Roman" w:hAnsi="Times New Roman" w:cs="Times New Roman"/>
          <w:i/>
          <w:iCs/>
        </w:rPr>
        <w:t>Burdens of History: British Feminists, Indian Women, and Imperial Culture, 1865–1915</w:t>
      </w:r>
      <w:r w:rsidRPr="00E2133A">
        <w:rPr>
          <w:rFonts w:ascii="Times New Roman" w:hAnsi="Times New Roman" w:cs="Times New Roman"/>
        </w:rPr>
        <w:t>, University of North Carolina Press, Chapel Hill.</w:t>
      </w:r>
    </w:p>
    <w:p w14:paraId="33BEA802"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Burton, A. 2007, ‘Archive Stories: Gender in the Making of Imperial and Colonial Histories’, in P. Levine (ed.), </w:t>
      </w:r>
      <w:r w:rsidRPr="00E2133A">
        <w:rPr>
          <w:rFonts w:ascii="Times New Roman" w:hAnsi="Times New Roman" w:cs="Times New Roman"/>
          <w:i/>
          <w:iCs/>
        </w:rPr>
        <w:t>Gender and Empire</w:t>
      </w:r>
      <w:r w:rsidRPr="00E2133A">
        <w:rPr>
          <w:rFonts w:ascii="Times New Roman" w:hAnsi="Times New Roman" w:cs="Times New Roman"/>
        </w:rPr>
        <w:t>, Oxford University Press, Oxford, pp. 281–294.</w:t>
      </w:r>
    </w:p>
    <w:p w14:paraId="344033A9"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Dobkin, M. 1968, ‘Colonialism and the Legal Status of Women in Francophonie Africa’, </w:t>
      </w:r>
      <w:r w:rsidRPr="00E2133A">
        <w:rPr>
          <w:rFonts w:ascii="Times New Roman" w:hAnsi="Times New Roman" w:cs="Times New Roman"/>
          <w:i/>
          <w:iCs/>
        </w:rPr>
        <w:t>Cahiers d’Études Africaines</w:t>
      </w:r>
      <w:r w:rsidRPr="00E2133A">
        <w:rPr>
          <w:rFonts w:ascii="Times New Roman" w:hAnsi="Times New Roman" w:cs="Times New Roman"/>
        </w:rPr>
        <w:t>, vol. 8, no. 31.</w:t>
      </w:r>
    </w:p>
    <w:p w14:paraId="1E0AB98E" w14:textId="35833EFC"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Fanon, F. 1965, </w:t>
      </w:r>
      <w:r w:rsidRPr="00E2133A">
        <w:rPr>
          <w:rFonts w:ascii="Times New Roman" w:hAnsi="Times New Roman" w:cs="Times New Roman"/>
          <w:i/>
          <w:iCs/>
        </w:rPr>
        <w:t>A Dying Colonialism</w:t>
      </w:r>
      <w:r w:rsidRPr="00E2133A">
        <w:rPr>
          <w:rFonts w:ascii="Times New Roman" w:hAnsi="Times New Roman" w:cs="Times New Roman"/>
        </w:rPr>
        <w:t>, Grove Press, New York.</w:t>
      </w:r>
    </w:p>
    <w:p w14:paraId="1C7D4A4A"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Haggis, J. 1998, ‘White Women and Colonialism: Towards a Non-recuperative History’, in C. Midgley (ed.), </w:t>
      </w:r>
      <w:r w:rsidRPr="00E2133A">
        <w:rPr>
          <w:rFonts w:ascii="Times New Roman" w:hAnsi="Times New Roman" w:cs="Times New Roman"/>
          <w:i/>
          <w:iCs/>
        </w:rPr>
        <w:t>Gender and Imperialism</w:t>
      </w:r>
      <w:r w:rsidRPr="00E2133A">
        <w:rPr>
          <w:rFonts w:ascii="Times New Roman" w:hAnsi="Times New Roman" w:cs="Times New Roman"/>
        </w:rPr>
        <w:t>, Manchester University Press, Manchester.</w:t>
      </w:r>
    </w:p>
    <w:p w14:paraId="0D97BA39"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Hall, C. 2002, </w:t>
      </w:r>
      <w:r w:rsidRPr="00E2133A">
        <w:rPr>
          <w:rFonts w:ascii="Times New Roman" w:hAnsi="Times New Roman" w:cs="Times New Roman"/>
          <w:i/>
          <w:iCs/>
        </w:rPr>
        <w:t>Civilising Subjects: Metropole and Colony in the English Imagination, 1830–1867</w:t>
      </w:r>
      <w:r w:rsidRPr="00E2133A">
        <w:rPr>
          <w:rFonts w:ascii="Times New Roman" w:hAnsi="Times New Roman" w:cs="Times New Roman"/>
        </w:rPr>
        <w:t>, University of Chicago Press, Chicago.</w:t>
      </w:r>
    </w:p>
    <w:p w14:paraId="11B152E2" w14:textId="2BD12E4F"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Kipling, R. 1899, ‘The White Man’s Burden’.</w:t>
      </w:r>
    </w:p>
    <w:p w14:paraId="5AC56EE8"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Levine, P. 2007, ‘What’s British about Gender and Empire? The Problem of Exceptionalism’, </w:t>
      </w:r>
      <w:r w:rsidRPr="00E2133A">
        <w:rPr>
          <w:rFonts w:ascii="Times New Roman" w:hAnsi="Times New Roman" w:cs="Times New Roman"/>
          <w:i/>
          <w:iCs/>
        </w:rPr>
        <w:t>Comparative Studies of South Asia, Africa and the Middle East</w:t>
      </w:r>
      <w:r w:rsidRPr="00E2133A">
        <w:rPr>
          <w:rFonts w:ascii="Times New Roman" w:hAnsi="Times New Roman" w:cs="Times New Roman"/>
        </w:rPr>
        <w:t>, vol. 27, no. 2, pp. 273–282.</w:t>
      </w:r>
    </w:p>
    <w:p w14:paraId="29C86FDF"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MacMaster, N. 2007, ‘The Colonial “Emancipation” of Algerian Women: The Marriage Law of 1959 and the Failure of Legislation on Women’s Rights in the Post-Independence Era’, </w:t>
      </w:r>
      <w:r w:rsidRPr="00E2133A">
        <w:rPr>
          <w:rFonts w:ascii="Times New Roman" w:hAnsi="Times New Roman" w:cs="Times New Roman"/>
          <w:i/>
          <w:iCs/>
        </w:rPr>
        <w:t>Stichproben</w:t>
      </w:r>
      <w:r w:rsidRPr="00E2133A">
        <w:rPr>
          <w:rFonts w:ascii="Times New Roman" w:hAnsi="Times New Roman" w:cs="Times New Roman"/>
        </w:rPr>
        <w:t>, vol. 7, no. 12, pp. 91–119.</w:t>
      </w:r>
    </w:p>
    <w:p w14:paraId="6DE5ABB9"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Midgley, C. (ed.) 1998, </w:t>
      </w:r>
      <w:r w:rsidRPr="00E2133A">
        <w:rPr>
          <w:rFonts w:ascii="Times New Roman" w:hAnsi="Times New Roman" w:cs="Times New Roman"/>
          <w:i/>
          <w:iCs/>
        </w:rPr>
        <w:t>Gender and Imperialism</w:t>
      </w:r>
      <w:r w:rsidRPr="00E2133A">
        <w:rPr>
          <w:rFonts w:ascii="Times New Roman" w:hAnsi="Times New Roman" w:cs="Times New Roman"/>
        </w:rPr>
        <w:t>, Manchester University Press, Manchester.</w:t>
      </w:r>
    </w:p>
    <w:p w14:paraId="1EF9DAE2"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Mills, J. S. 1898, </w:t>
      </w:r>
      <w:r w:rsidRPr="00E2133A">
        <w:rPr>
          <w:rFonts w:ascii="Times New Roman" w:hAnsi="Times New Roman" w:cs="Times New Roman"/>
          <w:i/>
          <w:iCs/>
        </w:rPr>
        <w:t>Mission Work in Sierra Leone, West Africa</w:t>
      </w:r>
      <w:r w:rsidRPr="00E2133A">
        <w:rPr>
          <w:rFonts w:ascii="Times New Roman" w:hAnsi="Times New Roman" w:cs="Times New Roman"/>
        </w:rPr>
        <w:t>, United Brethren Publishing House, Dayton, OH.</w:t>
      </w:r>
    </w:p>
    <w:p w14:paraId="572FA2B5" w14:textId="5A42A638" w:rsidR="000D716D" w:rsidRPr="00E2133A" w:rsidRDefault="00000000" w:rsidP="00E2133A">
      <w:pPr>
        <w:pStyle w:val="Bibliography"/>
        <w:rPr>
          <w:rFonts w:ascii="Times New Roman" w:hAnsi="Times New Roman" w:cs="Times New Roman"/>
        </w:rPr>
      </w:pPr>
      <w:proofErr w:type="spellStart"/>
      <w:r w:rsidRPr="00E2133A">
        <w:rPr>
          <w:rFonts w:ascii="Times New Roman" w:hAnsi="Times New Roman" w:cs="Times New Roman"/>
        </w:rPr>
        <w:lastRenderedPageBreak/>
        <w:t>Oyěwùmí</w:t>
      </w:r>
      <w:proofErr w:type="spellEnd"/>
      <w:r w:rsidRPr="00E2133A">
        <w:rPr>
          <w:rFonts w:ascii="Times New Roman" w:hAnsi="Times New Roman" w:cs="Times New Roman"/>
        </w:rPr>
        <w:t>, O. 2005, ‘</w:t>
      </w:r>
      <w:proofErr w:type="spellStart"/>
      <w:r w:rsidRPr="00E2133A">
        <w:rPr>
          <w:rFonts w:ascii="Times New Roman" w:hAnsi="Times New Roman" w:cs="Times New Roman"/>
        </w:rPr>
        <w:t>Visuali</w:t>
      </w:r>
      <w:r w:rsidR="00E2133A">
        <w:rPr>
          <w:rFonts w:ascii="Times New Roman" w:hAnsi="Times New Roman" w:cs="Times New Roman"/>
        </w:rPr>
        <w:t>s</w:t>
      </w:r>
      <w:r w:rsidRPr="00E2133A">
        <w:rPr>
          <w:rFonts w:ascii="Times New Roman" w:hAnsi="Times New Roman" w:cs="Times New Roman"/>
        </w:rPr>
        <w:t>ing</w:t>
      </w:r>
      <w:proofErr w:type="spellEnd"/>
      <w:r w:rsidRPr="00E2133A">
        <w:rPr>
          <w:rFonts w:ascii="Times New Roman" w:hAnsi="Times New Roman" w:cs="Times New Roman"/>
        </w:rPr>
        <w:t xml:space="preserve"> the Body: Western Theories and African Subjects’, in O. Oyěwùmí (ed.), </w:t>
      </w:r>
      <w:r w:rsidRPr="00E2133A">
        <w:rPr>
          <w:rFonts w:ascii="Times New Roman" w:hAnsi="Times New Roman" w:cs="Times New Roman"/>
          <w:i/>
          <w:iCs/>
        </w:rPr>
        <w:t>African Gender Studies: A Reader</w:t>
      </w:r>
      <w:r w:rsidRPr="00E2133A">
        <w:rPr>
          <w:rFonts w:ascii="Times New Roman" w:hAnsi="Times New Roman" w:cs="Times New Roman"/>
        </w:rPr>
        <w:t>, Palgrave Macmillan, New York, pp. 3–21.</w:t>
      </w:r>
    </w:p>
    <w:p w14:paraId="5981D457"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Scott, J. W. 1986, ‘Gender: A Useful Category of Historical Analysis’, </w:t>
      </w:r>
      <w:r w:rsidRPr="00E2133A">
        <w:rPr>
          <w:rFonts w:ascii="Times New Roman" w:hAnsi="Times New Roman" w:cs="Times New Roman"/>
          <w:i/>
          <w:iCs/>
        </w:rPr>
        <w:t>American Historical Review</w:t>
      </w:r>
      <w:r w:rsidRPr="00E2133A">
        <w:rPr>
          <w:rFonts w:ascii="Times New Roman" w:hAnsi="Times New Roman" w:cs="Times New Roman"/>
        </w:rPr>
        <w:t>, vol. 91, no. 5, pp. 1053–1075.</w:t>
      </w:r>
    </w:p>
    <w:p w14:paraId="64BBFE98"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Sinha, M. 1995, </w:t>
      </w:r>
      <w:r w:rsidRPr="00E2133A">
        <w:rPr>
          <w:rFonts w:ascii="Times New Roman" w:hAnsi="Times New Roman" w:cs="Times New Roman"/>
          <w:i/>
          <w:iCs/>
        </w:rPr>
        <w:t>Colonial Masculinity: The “Manly Englishman” and the “Effeminate Bengali” in the Late Nineteenth Century</w:t>
      </w:r>
      <w:r w:rsidRPr="00E2133A">
        <w:rPr>
          <w:rFonts w:ascii="Times New Roman" w:hAnsi="Times New Roman" w:cs="Times New Roman"/>
        </w:rPr>
        <w:t>, Manchester University Press, Manchester.</w:t>
      </w:r>
    </w:p>
    <w:p w14:paraId="1B230A20" w14:textId="77777777"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Spivak, G. C. 1988, ‘Can the Subaltern Speak?’, in C. Nelson &amp; L. Grossberg (eds.), </w:t>
      </w:r>
      <w:r w:rsidRPr="00E2133A">
        <w:rPr>
          <w:rFonts w:ascii="Times New Roman" w:hAnsi="Times New Roman" w:cs="Times New Roman"/>
          <w:i/>
          <w:iCs/>
        </w:rPr>
        <w:t>Marxism and the Interpretation of Culture</w:t>
      </w:r>
      <w:r w:rsidRPr="00E2133A">
        <w:rPr>
          <w:rFonts w:ascii="Times New Roman" w:hAnsi="Times New Roman" w:cs="Times New Roman"/>
        </w:rPr>
        <w:t>, University of Illinois Press, Urbana, pp. 271–313.</w:t>
      </w:r>
    </w:p>
    <w:p w14:paraId="55540564" w14:textId="68C87740" w:rsidR="000D716D" w:rsidRPr="00E2133A" w:rsidRDefault="00000000" w:rsidP="00E2133A">
      <w:pPr>
        <w:pStyle w:val="Bibliography"/>
        <w:rPr>
          <w:rFonts w:ascii="Times New Roman" w:hAnsi="Times New Roman" w:cs="Times New Roman"/>
        </w:rPr>
      </w:pPr>
      <w:r w:rsidRPr="00E2133A">
        <w:rPr>
          <w:rFonts w:ascii="Times New Roman" w:hAnsi="Times New Roman" w:cs="Times New Roman"/>
        </w:rPr>
        <w:t xml:space="preserve">Stoler, A. L. 2002, </w:t>
      </w:r>
      <w:r w:rsidRPr="00E2133A">
        <w:rPr>
          <w:rFonts w:ascii="Times New Roman" w:hAnsi="Times New Roman" w:cs="Times New Roman"/>
          <w:i/>
          <w:iCs/>
        </w:rPr>
        <w:t>Carnal Knowledge and Imperial Power: Race and the Intimate in Colonial Rule</w:t>
      </w:r>
      <w:r w:rsidRPr="00E2133A">
        <w:rPr>
          <w:rFonts w:ascii="Times New Roman" w:hAnsi="Times New Roman" w:cs="Times New Roman"/>
        </w:rPr>
        <w:t>, University of California Press, Berkeley.</w:t>
      </w:r>
      <w:bookmarkStart w:id="5" w:name="citations"/>
      <w:bookmarkEnd w:id="1"/>
      <w:bookmarkEnd w:id="2"/>
      <w:bookmarkEnd w:id="4"/>
      <w:bookmarkEnd w:id="5"/>
    </w:p>
    <w:sectPr w:rsidR="000D716D" w:rsidRPr="00E2133A">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11CC2542"/>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 w16cid:durableId="531460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16D"/>
    <w:rsid w:val="00006CAC"/>
    <w:rsid w:val="000D716D"/>
    <w:rsid w:val="001231EF"/>
    <w:rsid w:val="001A2660"/>
    <w:rsid w:val="00203819"/>
    <w:rsid w:val="002D6D46"/>
    <w:rsid w:val="00305DBF"/>
    <w:rsid w:val="006353EC"/>
    <w:rsid w:val="00C31A6C"/>
    <w:rsid w:val="00E2133A"/>
    <w:rsid w:val="00E567EE"/>
    <w:rsid w:val="00F9796D"/>
    <w:rsid w:val="00FE56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612C9"/>
  <w15:docId w15:val="{7032E7A0-E193-864F-995F-CCB613D52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character" w:styleId="FollowedHyperlink">
    <w:name w:val="FollowedHyperlink"/>
    <w:basedOn w:val="DefaultParagraphFont"/>
    <w:rsid w:val="001231E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2874</Words>
  <Characters>16383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Narantsatsralt Ganbaatar (2124049)</dc:creator>
  <cp:keywords/>
  <cp:lastModifiedBy>Narantsatsralt Ganbaatar (2124049)</cp:lastModifiedBy>
  <cp:revision>2</cp:revision>
  <cp:lastPrinted>2026-05-24T01:30:00Z</cp:lastPrinted>
  <dcterms:created xsi:type="dcterms:W3CDTF">2026-05-24T01:31:00Z</dcterms:created>
  <dcterms:modified xsi:type="dcterms:W3CDTF">2026-05-24T01:31:00Z</dcterms:modified>
  <dc:language>en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enerator">
    <vt:lpwstr>ChatGPT Deep Research</vt:lpwstr>
  </property>
</Properties>
</file>