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5396" w:rsidRPr="00925396" w:rsidRDefault="00EF3F8D" w:rsidP="00925396">
      <w:pPr>
        <w:overflowPunct w:val="0"/>
        <w:autoSpaceDE w:val="0"/>
        <w:autoSpaceDN w:val="0"/>
        <w:adjustRightInd w:val="0"/>
        <w:spacing w:after="0" w:line="240" w:lineRule="auto"/>
        <w:jc w:val="center"/>
        <w:textAlignment w:val="baseline"/>
        <w:rPr>
          <w:rFonts w:ascii="Arial" w:eastAsia="Times New Roman" w:hAnsi="Arial" w:cs="Arial"/>
          <w:b/>
          <w:sz w:val="28"/>
          <w:szCs w:val="28"/>
          <w:lang w:eastAsia="en-GB"/>
        </w:rPr>
      </w:pPr>
      <w:r>
        <w:rPr>
          <w:rFonts w:ascii="Arial" w:eastAsia="Times New Roman" w:hAnsi="Arial" w:cs="Arial"/>
          <w:b/>
          <w:sz w:val="28"/>
          <w:szCs w:val="28"/>
          <w:lang w:eastAsia="en-GB"/>
        </w:rPr>
        <w:t>TASK 3</w:t>
      </w:r>
    </w:p>
    <w:p w:rsidR="00925396" w:rsidRPr="00925396" w:rsidRDefault="00925396" w:rsidP="00925396">
      <w:pPr>
        <w:overflowPunct w:val="0"/>
        <w:autoSpaceDE w:val="0"/>
        <w:autoSpaceDN w:val="0"/>
        <w:adjustRightInd w:val="0"/>
        <w:spacing w:after="0" w:line="240" w:lineRule="auto"/>
        <w:jc w:val="center"/>
        <w:textAlignment w:val="baseline"/>
        <w:rPr>
          <w:rFonts w:ascii="Arial" w:eastAsia="Times New Roman" w:hAnsi="Arial" w:cs="Arial"/>
          <w:b/>
          <w:sz w:val="28"/>
          <w:szCs w:val="28"/>
          <w:lang w:eastAsia="en-GB"/>
        </w:rPr>
      </w:pPr>
      <w:r w:rsidRPr="00925396">
        <w:rPr>
          <w:rFonts w:ascii="Arial" w:eastAsia="Times New Roman" w:hAnsi="Arial" w:cs="Arial"/>
          <w:b/>
          <w:sz w:val="28"/>
          <w:szCs w:val="28"/>
          <w:lang w:eastAsia="en-GB"/>
        </w:rPr>
        <w:t>Safeguarding and working in complex situations – Case Study</w:t>
      </w:r>
    </w:p>
    <w:p w:rsidR="00925396" w:rsidRPr="00925396" w:rsidRDefault="00925396" w:rsidP="00925396">
      <w:pPr>
        <w:overflowPunct w:val="0"/>
        <w:autoSpaceDE w:val="0"/>
        <w:autoSpaceDN w:val="0"/>
        <w:adjustRightInd w:val="0"/>
        <w:spacing w:after="0" w:line="240" w:lineRule="auto"/>
        <w:textAlignment w:val="baseline"/>
        <w:rPr>
          <w:rFonts w:ascii="Arial" w:eastAsia="Times New Roman" w:hAnsi="Arial" w:cs="Arial"/>
          <w:b/>
          <w:sz w:val="24"/>
          <w:szCs w:val="24"/>
          <w:lang w:eastAsia="en-GB"/>
        </w:rPr>
      </w:pPr>
    </w:p>
    <w:p w:rsidR="00925396" w:rsidRPr="00925396" w:rsidRDefault="00925396" w:rsidP="00925396">
      <w:pPr>
        <w:overflowPunct w:val="0"/>
        <w:autoSpaceDE w:val="0"/>
        <w:autoSpaceDN w:val="0"/>
        <w:adjustRightInd w:val="0"/>
        <w:spacing w:after="0" w:line="240" w:lineRule="auto"/>
        <w:textAlignment w:val="baseline"/>
        <w:rPr>
          <w:rFonts w:ascii="Arial" w:eastAsia="Times New Roman" w:hAnsi="Arial" w:cs="Arial"/>
          <w:b/>
          <w:sz w:val="24"/>
          <w:szCs w:val="24"/>
          <w:lang w:eastAsia="en-GB"/>
        </w:rPr>
      </w:pPr>
      <w:r w:rsidRPr="00925396">
        <w:rPr>
          <w:rFonts w:ascii="Arial" w:eastAsia="Times New Roman" w:hAnsi="Arial" w:cs="Arial"/>
          <w:b/>
          <w:sz w:val="24"/>
          <w:szCs w:val="24"/>
          <w:lang w:eastAsia="en-GB"/>
        </w:rPr>
        <w:t>Guidance;</w:t>
      </w:r>
    </w:p>
    <w:p w:rsidR="00925396" w:rsidRPr="00925396" w:rsidRDefault="00925396" w:rsidP="00925396">
      <w:pPr>
        <w:overflowPunct w:val="0"/>
        <w:autoSpaceDE w:val="0"/>
        <w:autoSpaceDN w:val="0"/>
        <w:adjustRightInd w:val="0"/>
        <w:spacing w:after="0" w:line="240" w:lineRule="auto"/>
        <w:jc w:val="both"/>
        <w:textAlignment w:val="baseline"/>
        <w:rPr>
          <w:rFonts w:ascii="Arial" w:eastAsia="Times New Roman" w:hAnsi="Arial" w:cs="Arial"/>
          <w:i/>
          <w:iCs/>
          <w:color w:val="000000"/>
          <w:sz w:val="24"/>
          <w:szCs w:val="24"/>
          <w:lang w:eastAsia="en-GB"/>
        </w:rPr>
      </w:pPr>
      <w:r w:rsidRPr="00925396">
        <w:rPr>
          <w:rFonts w:ascii="Arial" w:eastAsia="Times New Roman" w:hAnsi="Arial" w:cs="Arial"/>
          <w:i/>
          <w:iCs/>
          <w:color w:val="000000"/>
          <w:sz w:val="24"/>
          <w:szCs w:val="24"/>
          <w:lang w:eastAsia="en-GB"/>
        </w:rPr>
        <w:t xml:space="preserve">Please ensure that you meet the National Occupational Standards and assigned Learning Outcomes for this task (see appendix 5 and 6 of the handbook). </w:t>
      </w:r>
    </w:p>
    <w:p w:rsidR="00925396" w:rsidRPr="00925396" w:rsidRDefault="00925396" w:rsidP="00925396">
      <w:pPr>
        <w:overflowPunct w:val="0"/>
        <w:autoSpaceDE w:val="0"/>
        <w:autoSpaceDN w:val="0"/>
        <w:adjustRightInd w:val="0"/>
        <w:spacing w:after="0" w:line="240" w:lineRule="auto"/>
        <w:jc w:val="both"/>
        <w:textAlignment w:val="baseline"/>
        <w:rPr>
          <w:rFonts w:ascii="Arial" w:eastAsia="Times New Roman" w:hAnsi="Arial" w:cs="Arial"/>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25396" w:rsidRPr="00925396" w:rsidTr="00925396">
        <w:tc>
          <w:tcPr>
            <w:tcW w:w="9016" w:type="dxa"/>
            <w:shd w:val="clear" w:color="auto" w:fill="auto"/>
          </w:tcPr>
          <w:p w:rsidR="00925396" w:rsidRPr="00925396" w:rsidRDefault="00925396" w:rsidP="00925396">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Question:</w:t>
            </w:r>
          </w:p>
          <w:p w:rsidR="00925396" w:rsidRPr="00925396" w:rsidRDefault="00925396" w:rsidP="00925396">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Complete a critically reflective case study based on an assessment that you have undertaken with others,</w:t>
            </w:r>
            <w:r w:rsidRPr="00925396">
              <w:rPr>
                <w:rFonts w:ascii="Arial" w:eastAsia="Times New Roman" w:hAnsi="Arial" w:cs="Arial"/>
                <w:bCs/>
                <w:color w:val="000000"/>
                <w:sz w:val="24"/>
                <w:szCs w:val="24"/>
                <w:lang w:eastAsia="en-GB"/>
              </w:rPr>
              <w:t xml:space="preserve"> </w:t>
            </w:r>
            <w:r w:rsidRPr="00925396">
              <w:rPr>
                <w:rFonts w:ascii="Arial" w:eastAsia="Times New Roman" w:hAnsi="Arial" w:cs="Arial"/>
                <w:color w:val="000000"/>
                <w:sz w:val="24"/>
                <w:szCs w:val="24"/>
                <w:lang w:eastAsia="en-GB"/>
              </w:rPr>
              <w:t xml:space="preserve">in your own area of work, concerning the safeguarding of either an adult or a child. You must demonstrate how the case relates to or could relate to safeguarding legislation, policies, strategies and procedures (including demonstrating an understanding of the </w:t>
            </w:r>
            <w:r w:rsidRPr="00925396">
              <w:rPr>
                <w:rFonts w:ascii="Arial" w:eastAsia="Arial" w:hAnsi="Arial" w:cs="Arial"/>
                <w:color w:val="000000"/>
                <w:sz w:val="24"/>
                <w:szCs w:val="24"/>
                <w:lang w:eastAsia="en-GB"/>
              </w:rPr>
              <w:t>interface between social services provision in Wales with the United Kingdom, the European Union (EU) and outside the EU)</w:t>
            </w:r>
            <w:r w:rsidRPr="00925396">
              <w:rPr>
                <w:rFonts w:ascii="Arial" w:eastAsia="Times New Roman" w:hAnsi="Arial" w:cs="Arial"/>
                <w:color w:val="000000"/>
                <w:sz w:val="24"/>
                <w:szCs w:val="24"/>
                <w:lang w:eastAsia="en-GB"/>
              </w:rPr>
              <w:t xml:space="preserve">. You must demonstrate your understanding of the integration of analysis in assessment, collaborative working and professional judgements in increasingly complex situations and the use of social work theories. You must refer to the specific dimensions of working in Wales. </w:t>
            </w:r>
          </w:p>
          <w:p w:rsidR="00925396" w:rsidRPr="00925396" w:rsidRDefault="00925396" w:rsidP="00925396">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925396" w:rsidRPr="00925396" w:rsidRDefault="00925396" w:rsidP="00925396">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925396" w:rsidRPr="00925396" w:rsidRDefault="00925396" w:rsidP="00925396">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r w:rsidRPr="00925396">
              <w:rPr>
                <w:rFonts w:ascii="Arial" w:eastAsia="Times New Roman" w:hAnsi="Arial" w:cs="Arial"/>
                <w:i/>
                <w:color w:val="000000"/>
                <w:sz w:val="24"/>
                <w:szCs w:val="24"/>
                <w:lang w:eastAsia="en-GB"/>
              </w:rPr>
              <w:t>4000 words</w:t>
            </w:r>
            <w:r w:rsidRPr="00925396">
              <w:rPr>
                <w:rFonts w:ascii="Arial" w:eastAsia="Times New Roman" w:hAnsi="Arial" w:cs="Arial"/>
                <w:color w:val="000000"/>
                <w:sz w:val="24"/>
                <w:szCs w:val="24"/>
                <w:lang w:eastAsia="en-GB"/>
              </w:rPr>
              <w:t xml:space="preserve"> </w:t>
            </w:r>
            <w:r w:rsidRPr="00925396">
              <w:rPr>
                <w:rFonts w:ascii="Arial" w:eastAsia="Times New Roman" w:hAnsi="Arial" w:cs="Arial"/>
                <w:i/>
                <w:color w:val="000000"/>
                <w:sz w:val="24"/>
                <w:szCs w:val="24"/>
                <w:lang w:eastAsia="en-GB"/>
              </w:rPr>
              <w:t>(+/- 10%: include your actual word count at the end of each section).</w:t>
            </w:r>
          </w:p>
          <w:p w:rsidR="00925396" w:rsidRPr="00925396" w:rsidRDefault="00925396" w:rsidP="00925396">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rsidR="00925396" w:rsidRPr="00925396" w:rsidRDefault="00925396" w:rsidP="00925396">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This section of the portfolio aims to critically reflect on a case study concerning the safeguarding of an adult and will focus on exploring procedures, legislation, and theories relevant to adult safeguarding.  The case study will reflect on a Section 126 assessment undertaken in partnership with the Adult Safeguarding Team, whilst undertaking a task as a duty social worker. The legislation for adults at risk in Wales is provided under the Social Services and Well-being (Wales) Act 2014 (SSWBA14) and accompanying All Wales Safeguarding Procedures, however in some circumstances other pieces of legislation such as Mental Health Act 1983 and/or Mental Capacity Act 2005 may also apply.</w:t>
            </w: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 xml:space="preserve">According to Social Care Wales (2019), the term ‘safeguarding’ refers to the protection of both adults and children from ‘abuse and neglect’. Code of practice for SSWBA14 Part 7, defines an ‘adult at risk’ as an adult who is ‘experiencing or is at risk of abuse or neglect, who has a need for care and support, and as a result of these needs is unable to protect themselves against abuse or neglect, or the risk of it. SSWBA14 uses the term ‘at risk’ to promote early intervention, meaning that abuse or neglect does not need to be present to trigger intervention (All Wales Safeguarding Procedures, 2019). In addition, safeguarding aims to educate </w:t>
            </w:r>
            <w:r w:rsidRPr="00925396">
              <w:rPr>
                <w:rFonts w:ascii="Arial" w:eastAsia="Times New Roman" w:hAnsi="Arial" w:cs="Arial"/>
                <w:color w:val="000000"/>
                <w:sz w:val="24"/>
                <w:szCs w:val="24"/>
                <w:lang w:eastAsia="en-GB"/>
              </w:rPr>
              <w:lastRenderedPageBreak/>
              <w:t xml:space="preserve">individuals and agencies involved with adults and children on how to identify the risks and how and where the concerns should be reported (SCW, 2022). Social Care Institute for Excellence (2023) elaborates that safeguarding adults aims to protect vulnerable individuals’ human rights and their well-being, ‘enable them to live free from harm, abuse and neglect’ (SCIE, 2022). The legislative basis for both children and adult’s safeguarding in Wales is section 7 of the Social Services and Wellbeing (Wales) Act 2014, and its principles are underpinned by the Human Rights Act 1998. The above is reflected in the principles of the SSWBA14 and All Wales Safeguarding Procedures (Age </w:t>
            </w:r>
            <w:proofErr w:type="spellStart"/>
            <w:r w:rsidRPr="00925396">
              <w:rPr>
                <w:rFonts w:ascii="Arial" w:eastAsia="Times New Roman" w:hAnsi="Arial" w:cs="Arial"/>
                <w:color w:val="000000"/>
                <w:sz w:val="24"/>
                <w:szCs w:val="24"/>
                <w:lang w:eastAsia="en-GB"/>
              </w:rPr>
              <w:t>Cymru</w:t>
            </w:r>
            <w:proofErr w:type="spellEnd"/>
            <w:r w:rsidRPr="00925396">
              <w:rPr>
                <w:rFonts w:ascii="Arial" w:eastAsia="Times New Roman" w:hAnsi="Arial" w:cs="Arial"/>
                <w:color w:val="000000"/>
                <w:sz w:val="24"/>
                <w:szCs w:val="24"/>
                <w:lang w:eastAsia="en-GB"/>
              </w:rPr>
              <w:t xml:space="preserve">, 2022), as well as Working Together to Safeguard People: code of Safeguarding Practice (Welsh Gov. 2023).Working together to Safeguard People, sets guidance for practitioners and organisations offering activities or services to adults and children in Wales. The above guidance aims to ensure professionals and organisations know their responsibilities to safeguard people and how to report safeguarding concerns (Welsh Gov. 2019). Under the legislation, institutions providing care and support have a duty to report concerns regarding the well-being of older individuals they support, and the below reflection will be based on section 126 of SSWBA14 following a safeguarding referral received from a care agency in regard to an older adult receiving care package. </w:t>
            </w: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 xml:space="preserve">For confidentiality purposes, the individual discussed will be referred to as 1 and the carer involved will be referred to as 2 respectively. 1 is a lady in her late 80’s. She moved to live in an urban area of North Wales following a hospital admission. She agreed to move closer to her relatives in order to recover and regain her independence. 1 has a physical condition affecting her mobility and ability to meet her own needs such as toileting, personal hygiene, nutrition, and medication. She also recently has been diagnosed with an age-related condition affecting her short-term and long-term memory. 1 has a package of care consisting of 4 care calls a day to support her care needs. The electronic system to detect fall is also in place, and enable the operator to notify the family or appropriate services if a fall occurs. On top of that, the family supports with shopping regular visits, and cognitive stimulation/social opportunities. 1 lives in an accommodation that meets her mobility needs and is privately owned by a family member. 1 found the support sufficient and would like to move back to her own home with similar support in place. 1 has an </w:t>
            </w:r>
            <w:r w:rsidRPr="00925396">
              <w:rPr>
                <w:rFonts w:ascii="Arial" w:eastAsia="Times New Roman" w:hAnsi="Arial" w:cs="Arial"/>
                <w:color w:val="000000"/>
                <w:sz w:val="24"/>
                <w:szCs w:val="24"/>
                <w:lang w:eastAsia="en-GB"/>
              </w:rPr>
              <w:lastRenderedPageBreak/>
              <w:t xml:space="preserve">allocated social worker to explore available options, although the social worker was out of the office at the time of the enquiry (Social Care Wales, 2017).  </w:t>
            </w: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 xml:space="preserve">Prior to hospital admission and increase in care needs, 1 was living independently in her own home in a rural area of North Wales known to be Welsh speaking community. 1 lived in the rural area for most of her adult life with her late husband, still her first and only language is English. It was therefore crucial to explore the preferred language as part of ‘Active Offer’ prior to the involvement, even though 1 was known to the service for a couple of months. (Gov.uk, 2015). Therefore a service via the medium of Welsh language has been offered via phone prior to the home visit to allow time to arrange for an interpreter.  1 confirmed that her only language is English and she has no barriers to communication. </w:t>
            </w: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The safeguarding referral from the care provider came to the Safeguarding Team, triggering the section 126 enquiry.  As 1 was already open for care and support to the team supporting people over 65 years old, the case was looked at on duty. The concerns were raised in relation to 1’s well-being and presentation.  For the last couple of weeks 1 was presenting with signs of emotional distress and challenging behaviours, she would scream and ask to go back home. The behaviours continued for a couple of weeks and were previously investigated by the allocated social worker, mental health practitioner and psychiatric consultant. Both mental health and physical health issues have been ruled out as a cause, and the behaviour was considered as a form of communication an expression of frustration and an attempt to gain control over the situation (The Challenging Behaviour Foundation, 2022). 1 was also attempting to leave the house, which was unsuccessful due to her limited mobility. 1 is at risk of falling and she mobilizes with the use of mobility equipment.</w:t>
            </w: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 xml:space="preserve">However as the concerns were ongoing, especially upon care visits, therefore the care agency reported them to the safeguarding team. As outlined in All Wales Safeguarding Procedures, safeguarding is everybody’s business and every relevant agency has a duty to report an adult at risk. The expectation is also for other organisations not listed as ‘relevant partners, such as third-sector organisations or private organisations (Welsh Gov. 2019). </w:t>
            </w: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lastRenderedPageBreak/>
              <w:t xml:space="preserve">All Wales Safeguarding Procedures puts a duty on the Local Authority to manage immediate concerns about the safety of adults at risk, as the safety of vulnerable adults is ‘paramount’. The referral indicated that 1 may be unintentionally detained in the accommodation by 2, who thought it wouldn’t be safer for 1 to live in close proximity to her family. An isolated location of 1’s home with no access to public transport, shops or family/neighbours to visit,  has been identified by 2 as a risk to 1 if she goes back home. 2 insisted that 1 should remain in an urban location permanently due to her care needs and available support from family. A community development and shared learning project called Rural Wisdom (2021) summarises that the rural characteristic of Wales may present specific challenges to care and support provision, and this needs to be acknowledged whilst planning for care and support and assessing needs. However, it is highlighted that the planning for care and support should strive to address the challenges and enable an individual to achieve their outcomes (SCW, 2017).  Boyd and Bee (2006) argue that the accessibility of social support is an important aspect, however, it should lead to the promotion of independence and further development in older age. Support that places an individual ‘in a position of dependency’ cannot lead to enablement and cannot be viewed as person-centred. </w:t>
            </w: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roofErr w:type="spellStart"/>
            <w:r w:rsidRPr="00925396">
              <w:rPr>
                <w:rFonts w:ascii="Arial" w:eastAsia="Times New Roman" w:hAnsi="Arial" w:cs="Arial"/>
                <w:color w:val="000000"/>
                <w:sz w:val="24"/>
                <w:szCs w:val="24"/>
                <w:lang w:eastAsia="en-GB"/>
              </w:rPr>
              <w:t>Sudbery</w:t>
            </w:r>
            <w:proofErr w:type="spellEnd"/>
            <w:r w:rsidRPr="00925396">
              <w:rPr>
                <w:rFonts w:ascii="Arial" w:eastAsia="Times New Roman" w:hAnsi="Arial" w:cs="Arial"/>
                <w:color w:val="000000"/>
                <w:sz w:val="24"/>
                <w:szCs w:val="24"/>
                <w:lang w:eastAsia="en-GB"/>
              </w:rPr>
              <w:t xml:space="preserve"> (2010), elaborates on the impact of family dynamics and the complexity of relationships on the care and support families provide to their older relatives. In this case, the main carer 2 has very strong views on what support 2 should be receiving. 2 also indicated that 1 lacks the mental capacity to make decisions about her care and support, as she experienced memory issues and confusion, however, this has not been confirmed by health professionals, previously assessing mental capacity. Therefore consent was sought from 1 to carry out the assessment and to contact the mental health team practitioner for additional information. According to Wales Safeguarding Procedures (2019), hypothesising and gathering Information from other agencies involved and information sharing is crucial on the initial stage of the assessment. The process should be transparent to the service user when possible, and consent should be sought. The ‘consent’ is defined by the procedures as ‘a person making an informed decision to give their consent’.  This reflects the principles of the SSWB Act in relation to individuals' voice and control as well as </w:t>
            </w:r>
            <w:r w:rsidRPr="00925396">
              <w:rPr>
                <w:rFonts w:ascii="Arial" w:eastAsia="Times New Roman" w:hAnsi="Arial" w:cs="Arial"/>
                <w:color w:val="000000"/>
                <w:sz w:val="24"/>
                <w:szCs w:val="24"/>
                <w:lang w:eastAsia="en-GB"/>
              </w:rPr>
              <w:lastRenderedPageBreak/>
              <w:t xml:space="preserve">MCA 05 principles regarding decision making, even if the decision may be seen as ‘unwise’ (SCIE, 2009). The consent to share information needs to be gained from individuals as outlined by The General Data Protection Regulation (GDPR) and again leads to greater control of individuals over their own personal information. This, however, does not prevent agencies from sharing information when there is a risk of abuse or neglect, and information can be shared without consent if this could increase the risk of harm to the individual or others (Welsh Gov.2019). (Welsh Gov. 2019). </w:t>
            </w: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 xml:space="preserve">Section 126 (1) of the SSWBA14 defines an Adult at Risk ‘as someone who has needs for care and support, who is experiencing or is at risk of abuse or neglect and as a result of their care needs – is unable to protect themselves.’ (Wales Safeguarding Procedures, 2023). Section 126 places a duty on the Local Authority to investigate and if necessary take actions to support and protect an Adult at Risk (Welsh Government, 2016). 1 meet the above criteria, however, there was no imminent risk of harm involved, </w:t>
            </w:r>
            <w:r w:rsidR="00D45FBD" w:rsidRPr="00925396">
              <w:rPr>
                <w:rFonts w:ascii="Arial" w:eastAsia="Times New Roman" w:hAnsi="Arial" w:cs="Arial"/>
                <w:color w:val="000000"/>
                <w:sz w:val="24"/>
                <w:szCs w:val="24"/>
                <w:lang w:eastAsia="en-GB"/>
              </w:rPr>
              <w:t>and therefore</w:t>
            </w:r>
            <w:r w:rsidRPr="00925396">
              <w:rPr>
                <w:rFonts w:ascii="Arial" w:eastAsia="Times New Roman" w:hAnsi="Arial" w:cs="Arial"/>
                <w:color w:val="000000"/>
                <w:sz w:val="24"/>
                <w:szCs w:val="24"/>
                <w:lang w:eastAsia="en-GB"/>
              </w:rPr>
              <w:t xml:space="preserve"> no police investigation was needed at this time. Wales Safeguarding Procedures requires the enquiry to be completed within 7 working days in multidisciplinary cooperation to ensure ‘factual accuracy’ and to determine what if any actions should be taken. Therefore at the initial stage of the investigation, the information has been gathered from both the referrer and from involved mental health practitioners, and the referrer to build a better picture of 1’s circumstances, family dynamic, and care needs. It was also crucial to clarify the level of involvement from mental health and whether there are any underlying health issues that could affect 1’s mental capacity at present (Safeguarding Wales, 2023).   </w:t>
            </w: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 xml:space="preserve">Indication that 1 may be deprived of her basic human rights and liberty to leave the property indicated a breach of Article 5 of the Human Rights Act 1998, which applies the right to liberty and security, and emphases ensuring that individuals are protected from an ‘unreasonable detention’ (Equality and Human Rights Commission, 2018). Human Rights Act is also reflected in Welsh legislation and principles of the Social Services and Wellbeing Act (Wales) 2014 and Mental Capacity Act 2005 and has been underpinning the assessment process (SCW, 2017; Gov.Uk, 2011). The rights of older people in Wales are actively promoted by </w:t>
            </w:r>
            <w:r w:rsidRPr="00925396">
              <w:rPr>
                <w:rFonts w:ascii="Arial" w:eastAsia="Times New Roman" w:hAnsi="Arial" w:cs="Arial"/>
                <w:color w:val="000000"/>
                <w:sz w:val="24"/>
                <w:szCs w:val="24"/>
                <w:lang w:eastAsia="en-GB"/>
              </w:rPr>
              <w:lastRenderedPageBreak/>
              <w:t xml:space="preserve">the Older People’s Commissioner for Wales. This includes the right to be treated with dignity and respect, and to be safeguarded and protected. As outlined in ‘Know your rights’ guidance for older people, thousands of older people in Wales experience ongoing or a single act of abuse/ neglect including ‘physical abuse; domestic violence; sexual abuse; psychological or emotional abuse; financial or material abuse; organisational or institutional abuse; neglect or acts of omission; and coercive control’ (Older People's Commissioner for Wales, 2023). </w:t>
            </w: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Section 126 of the SSWB (Wales) Act 2014 places a duty on the local authority and partner agencies to ensure the enquiry process is a person–centred and that all the necessary measures are put in place to speak to the individual as long as it doesn’t increase the risk to their safety. To ensure 1 can fully participate in the assessment a home visit was completed with 1 to explore what matters to 1, and to inform further planning. Prior to the visit an appropriate method of communication was explored and whether 1 experiences barriers to communication. It was established that 1 has no hearing impairment and is able to express her views and wishes verbally in English.  (</w:t>
            </w:r>
            <w:proofErr w:type="spellStart"/>
            <w:r w:rsidRPr="00925396">
              <w:rPr>
                <w:rFonts w:ascii="Arial" w:eastAsia="Times New Roman" w:hAnsi="Arial" w:cs="Arial"/>
                <w:color w:val="000000"/>
                <w:sz w:val="24"/>
                <w:szCs w:val="24"/>
                <w:lang w:eastAsia="en-GB"/>
              </w:rPr>
              <w:t>Klimova</w:t>
            </w:r>
            <w:proofErr w:type="spellEnd"/>
            <w:r w:rsidRPr="00925396">
              <w:rPr>
                <w:rFonts w:ascii="Arial" w:eastAsia="Times New Roman" w:hAnsi="Arial" w:cs="Arial"/>
                <w:color w:val="000000"/>
                <w:sz w:val="24"/>
                <w:szCs w:val="24"/>
                <w:lang w:eastAsia="en-GB"/>
              </w:rPr>
              <w:t xml:space="preserve"> and </w:t>
            </w:r>
            <w:proofErr w:type="spellStart"/>
            <w:r w:rsidRPr="00925396">
              <w:rPr>
                <w:rFonts w:ascii="Arial" w:eastAsia="Times New Roman" w:hAnsi="Arial" w:cs="Arial"/>
                <w:color w:val="000000"/>
                <w:sz w:val="24"/>
                <w:szCs w:val="24"/>
                <w:lang w:eastAsia="en-GB"/>
              </w:rPr>
              <w:t>Semradova</w:t>
            </w:r>
            <w:proofErr w:type="spellEnd"/>
            <w:r w:rsidRPr="00925396">
              <w:rPr>
                <w:rFonts w:ascii="Arial" w:eastAsia="Times New Roman" w:hAnsi="Arial" w:cs="Arial"/>
                <w:color w:val="000000"/>
                <w:sz w:val="24"/>
                <w:szCs w:val="24"/>
                <w:lang w:eastAsia="en-GB"/>
              </w:rPr>
              <w:t xml:space="preserve">, 2012). I allowed 1 to elaborate on her current circumstances, family members, and past memories, which allowed me to build a report with 1 quite quickly. </w:t>
            </w:r>
          </w:p>
          <w:p w:rsidR="00D45FBD" w:rsidRPr="00925396" w:rsidRDefault="00D45FBD"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The conversation took place in a quiet and familiar environment, with the use of 1’s preferred language and avoiding jargon. I kept the conversation casual and relaxed whilst focusing on 1’s personal circumstances. Establishing a positive working relationship with 1 in the early stage of a visit enabled me to gather information and ensure information sharing. This allowed me to understand 1’s situation and the complexity of her relationship with her children, as well as her sentiment toward her home (Thompson, 2015). Research shows that working in a relationship-based way contributes to more effective social work interventions. It was crucial to explore social and psychological factors contributing to 1’s difficulties and draw on ‘internal, often unconscious dynamics’ within 1’s support circle, particularly with 2. (</w:t>
            </w:r>
            <w:proofErr w:type="spellStart"/>
            <w:r w:rsidRPr="00925396">
              <w:rPr>
                <w:rFonts w:ascii="Arial" w:eastAsia="Times New Roman" w:hAnsi="Arial" w:cs="Arial"/>
                <w:color w:val="000000"/>
                <w:sz w:val="24"/>
                <w:szCs w:val="24"/>
                <w:lang w:eastAsia="en-GB"/>
              </w:rPr>
              <w:t>Ruch</w:t>
            </w:r>
            <w:proofErr w:type="spellEnd"/>
            <w:r w:rsidRPr="00925396">
              <w:rPr>
                <w:rFonts w:ascii="Arial" w:eastAsia="Times New Roman" w:hAnsi="Arial" w:cs="Arial"/>
                <w:color w:val="000000"/>
                <w:sz w:val="24"/>
                <w:szCs w:val="24"/>
                <w:lang w:eastAsia="en-GB"/>
              </w:rPr>
              <w:t xml:space="preserve">, </w:t>
            </w:r>
            <w:proofErr w:type="spellStart"/>
            <w:r w:rsidRPr="00925396">
              <w:rPr>
                <w:rFonts w:ascii="Arial" w:eastAsia="Times New Roman" w:hAnsi="Arial" w:cs="Arial"/>
                <w:color w:val="000000"/>
                <w:sz w:val="24"/>
                <w:szCs w:val="24"/>
                <w:lang w:eastAsia="en-GB"/>
              </w:rPr>
              <w:t>Turney</w:t>
            </w:r>
            <w:proofErr w:type="spellEnd"/>
            <w:r w:rsidRPr="00925396">
              <w:rPr>
                <w:rFonts w:ascii="Arial" w:eastAsia="Times New Roman" w:hAnsi="Arial" w:cs="Arial"/>
                <w:color w:val="000000"/>
                <w:sz w:val="24"/>
                <w:szCs w:val="24"/>
                <w:lang w:eastAsia="en-GB"/>
              </w:rPr>
              <w:t xml:space="preserve">, et al., 2010). The conversation enabled 1 to express her views and wishes, to validate her experience of being reliant on care of others, and to reflect on 2’s reasons for wanting her mother to be close, of which 1 was not fully aware. As a </w:t>
            </w:r>
            <w:r w:rsidRPr="00925396">
              <w:rPr>
                <w:rFonts w:ascii="Arial" w:eastAsia="Times New Roman" w:hAnsi="Arial" w:cs="Arial"/>
                <w:color w:val="000000"/>
                <w:sz w:val="24"/>
                <w:szCs w:val="24"/>
                <w:lang w:eastAsia="en-GB"/>
              </w:rPr>
              <w:lastRenderedPageBreak/>
              <w:t xml:space="preserve">result 1 was enabled to make an informed choice as to her future residence and reflect on the impact her family had on the choices she was making for herself. This clearly demonstrates the complexity of the ‘What’s Matters’ conversation and the importance of face-to-face interaction and environmental risk assessment as part of Section 126 enquiry in establishing further course of action (Wales Safeguarding Procedures, 2023). </w:t>
            </w: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 xml:space="preserve">Whilst working with Older Adults diagnosed with cognitive impairment or memory loss, which was a factor in 1’s case, a crucial part of 126 enquiry is to establish whether an individual has the mental capacity to make significant decisions, in this case on her care and accommodation (Wales Safeguarding Procedures, 2023). Mental capacity Assessment under Mental Capacity Act 2005 aims to ‘promote and safeguard decision-making’ by empowering individuals, when possible, to decide for themselves, but also to protect individuals who lack mental capacity by placing them at the centre of decision-making (SCW, 2023). One of the principles of the Mental Capacity Act 2005 states that an individual has to be assumed to have capacity until proven otherwise. 1 has been previously assessed by a social worker and mental health practitioner as having the mental capacity to decide on her care needs, however, it was acknowledged that this can be affected by ongoing infections. Research shows that common infections such as UTIs may impact cognitive performance in older people with underlying dementia and Alzheimer’s (Johns Hopkins Bloomberg School of Public Health, 2023). The infection has been ruled out by the General Practitioner prior to the assessment. It’s crucial to acknowledge that mental capacity assessment is not a one-off event, but a decision-specific and time-specific process. </w:t>
            </w: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 xml:space="preserve">Mental capacity needs to be assessed each time significant decisions are being made (Gov. </w:t>
            </w:r>
            <w:proofErr w:type="spellStart"/>
            <w:r w:rsidRPr="00925396">
              <w:rPr>
                <w:rFonts w:ascii="Arial" w:eastAsia="Times New Roman" w:hAnsi="Arial" w:cs="Arial"/>
                <w:color w:val="000000"/>
                <w:sz w:val="24"/>
                <w:szCs w:val="24"/>
                <w:lang w:eastAsia="en-GB"/>
              </w:rPr>
              <w:t>uk</w:t>
            </w:r>
            <w:proofErr w:type="spellEnd"/>
            <w:r w:rsidRPr="00925396">
              <w:rPr>
                <w:rFonts w:ascii="Arial" w:eastAsia="Times New Roman" w:hAnsi="Arial" w:cs="Arial"/>
                <w:color w:val="000000"/>
                <w:sz w:val="24"/>
                <w:szCs w:val="24"/>
                <w:lang w:eastAsia="en-GB"/>
              </w:rPr>
              <w:t xml:space="preserve">, 2007). Therefore as part of the visit, I have undertaken a mental capacity assessment to determine whether 1 can fully understand relevant information, retain information long enough in order to make an informed choice, weigh up relevant information, and communicate her decision. During the assessment there were no indications that 1 may lack the mental capacity to decide </w:t>
            </w:r>
            <w:r w:rsidRPr="00925396">
              <w:rPr>
                <w:rFonts w:ascii="Arial" w:eastAsia="Times New Roman" w:hAnsi="Arial" w:cs="Arial"/>
                <w:color w:val="000000"/>
                <w:sz w:val="24"/>
                <w:szCs w:val="24"/>
                <w:lang w:eastAsia="en-GB"/>
              </w:rPr>
              <w:lastRenderedPageBreak/>
              <w:t xml:space="preserve">on her care and accommodation needs, therefore she was able to fully participate in decision-making in </w:t>
            </w:r>
            <w:r w:rsidR="00D45FBD">
              <w:rPr>
                <w:rFonts w:ascii="Arial" w:eastAsia="Times New Roman" w:hAnsi="Arial" w:cs="Arial"/>
                <w:color w:val="000000"/>
                <w:sz w:val="24"/>
                <w:szCs w:val="24"/>
                <w:lang w:eastAsia="en-GB"/>
              </w:rPr>
              <w:t>relation to the further steps (</w:t>
            </w:r>
            <w:r w:rsidRPr="00925396">
              <w:rPr>
                <w:rFonts w:ascii="Arial" w:eastAsia="Times New Roman" w:hAnsi="Arial" w:cs="Arial"/>
                <w:color w:val="000000"/>
                <w:sz w:val="24"/>
                <w:szCs w:val="24"/>
                <w:lang w:eastAsia="en-GB"/>
              </w:rPr>
              <w:t xml:space="preserve">MCA05; </w:t>
            </w:r>
            <w:proofErr w:type="spellStart"/>
            <w:r w:rsidRPr="00925396">
              <w:rPr>
                <w:rFonts w:ascii="Arial" w:eastAsia="Times New Roman" w:hAnsi="Arial" w:cs="Arial"/>
                <w:color w:val="000000"/>
                <w:sz w:val="24"/>
                <w:szCs w:val="24"/>
                <w:lang w:eastAsia="en-GB"/>
              </w:rPr>
              <w:t>Gov</w:t>
            </w:r>
            <w:proofErr w:type="spellEnd"/>
            <w:r w:rsidRPr="00925396">
              <w:rPr>
                <w:rFonts w:ascii="Arial" w:eastAsia="Times New Roman" w:hAnsi="Arial" w:cs="Arial"/>
                <w:color w:val="000000"/>
                <w:sz w:val="24"/>
                <w:szCs w:val="24"/>
                <w:lang w:eastAsia="en-GB"/>
              </w:rPr>
              <w:t xml:space="preserve"> </w:t>
            </w:r>
            <w:proofErr w:type="spellStart"/>
            <w:r w:rsidRPr="00925396">
              <w:rPr>
                <w:rFonts w:ascii="Arial" w:eastAsia="Times New Roman" w:hAnsi="Arial" w:cs="Arial"/>
                <w:color w:val="000000"/>
                <w:sz w:val="24"/>
                <w:szCs w:val="24"/>
                <w:lang w:eastAsia="en-GB"/>
              </w:rPr>
              <w:t>Uk</w:t>
            </w:r>
            <w:proofErr w:type="spellEnd"/>
            <w:r w:rsidRPr="00925396">
              <w:rPr>
                <w:rFonts w:ascii="Arial" w:eastAsia="Times New Roman" w:hAnsi="Arial" w:cs="Arial"/>
                <w:color w:val="000000"/>
                <w:sz w:val="24"/>
                <w:szCs w:val="24"/>
                <w:lang w:eastAsia="en-GB"/>
              </w:rPr>
              <w:t xml:space="preserve">, 2007). </w:t>
            </w: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 xml:space="preserve">Mental capacity assessment is a vital part of the safeguarding process, as their outcome could significantly affect further steps. In opposite to the outcome of the assessment, if 1 was deemed lacking mental capacity to decide, the decision would have been made ‘in her best interest’.  Bearing in mind that 2 has a Lasting Power of Attorney for 1’s welfare, therefore she would be a decision-making person. Lasting power of Attorney (LPA) is a legal process defined by the Mental Capacity Act 2005, allowing designated persons or people to make significant decisions in relation to welfare, finance, and property, depending on the registration status, once an individual loses their mental capacity to manage their affairs. It is a requirement that the decisions need to consider an individual’s previous wishes and views and also needs to be made in their best interest. The professionals involved should oversee the decision, and if considered in breach of this principle or actively challenged by an individual who lacks capacity, a legal process should be triggered and the case could be then looked at by the Court of Protection (MCA05). </w:t>
            </w: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 xml:space="preserve">Whilst discussing her outcomes, 1 could open up about the impact 2 was having on her decisions, and 1 felt she had no power over her own life anymore. As outlined by Crawford and Walker (2009), transitions and changes individual goes through in their later life can be stressful and challenging. Social work involvement should strive to determine those challenges and enable growth and development. It was crucial to determine to what extent 1 has power and control over her own life and decisions being made for her and enable her to express her views and wishes (Gov. </w:t>
            </w:r>
            <w:proofErr w:type="spellStart"/>
            <w:r w:rsidRPr="00925396">
              <w:rPr>
                <w:rFonts w:ascii="Arial" w:eastAsia="Times New Roman" w:hAnsi="Arial" w:cs="Arial"/>
                <w:color w:val="000000"/>
                <w:sz w:val="24"/>
                <w:szCs w:val="24"/>
                <w:lang w:eastAsia="en-GB"/>
              </w:rPr>
              <w:t>uk</w:t>
            </w:r>
            <w:proofErr w:type="spellEnd"/>
            <w:r w:rsidRPr="00925396">
              <w:rPr>
                <w:rFonts w:ascii="Arial" w:eastAsia="Times New Roman" w:hAnsi="Arial" w:cs="Arial"/>
                <w:color w:val="000000"/>
                <w:sz w:val="24"/>
                <w:szCs w:val="24"/>
                <w:lang w:eastAsia="en-GB"/>
              </w:rPr>
              <w:t xml:space="preserve">. 2014). Thompson (2015) highlights the importance of partnership in working with individuals, their families, and other professionals to achieve the best outcomes for individuals. Thompson describes the partnership as a key principle in social work that allows tackling ‘power imbalance, institutionalisation, paternalism and adequate safeguard of the rights of service users’. I discussed with 1 her views and feelings about both staying close to her family and going back to live in her own bungalow, which enabled 1 to make a decision to go back home. </w:t>
            </w: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lastRenderedPageBreak/>
              <w:t xml:space="preserve">I explained to 1 that a meeting with all the professionals involved would take place in a few days to plan for care and support, and 1 expressed that she wouldn’t like her daughter to be present in the planning meeting, because of her strong views, however, she still wants 2 to be informed about the outcomes of the meeting and possibly remain involved into support. Following further discussion 1 agreed to the meeting being held in two parts, to give her the opportunity to discuss her arrangements with professionals in the first part of the meeting, and to present the arrangements to her daughter in the second part of the meeting. This shows that safeguarding may have preventative, protective, and empowering role at the same time (Thompson, 2015). This also highlights the importance of advocacy in social work. </w:t>
            </w: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 xml:space="preserve">The Code of Professional Practice for Social Care holds up advocacy as a fundamental value of the profession and a key in achieving social work aims such as social justice, equality, and upholding individual’s dignity (VCU, 2023). Through avocation of her views and wishes, 1 was empowered to regain control over her own life and to make her own decisions. Furthermore, by validating her own choices and reflecting on her circumstances, barriers, and strengths, 1 could overcome the problems and challenges experienced and regain independence, by being able to live in her own home (Thompson, 2015). As highlighted in Care and Support in Wales: National Population Assessment Report (2017), service provision should shift from a reactive long-term institutional approach and strive to promote ‘choice, dignity and independence’ reflecting individual’s strengths. It is also recognised that independence may contribute to a reduction of loneliness and general mental health improvement. At that stage, the status of the referral was qualified as no further actions for adult safeguarding.  The enquiry has been closed to safeguarding and remains open to the team supporting people over 65 years old for care and support. </w:t>
            </w: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 xml:space="preserve">Although the above 126 enquiry did not lead to further investigation and the need for a safeguarding conference, the undertaken actions at the initial stage of the enquiry show and importance of early intervention and prevention through multiagency response (WSP,2019). The 126 enquiry discussed above highlights also the importance of perceiving an individual as an expert on their own circumstances, and putting them at the centre of the decision-making process (Care </w:t>
            </w:r>
            <w:r w:rsidRPr="00925396">
              <w:rPr>
                <w:rFonts w:ascii="Arial" w:eastAsia="Times New Roman" w:hAnsi="Arial" w:cs="Arial"/>
                <w:color w:val="000000"/>
                <w:sz w:val="24"/>
                <w:szCs w:val="24"/>
                <w:lang w:eastAsia="en-GB"/>
              </w:rPr>
              <w:lastRenderedPageBreak/>
              <w:t>Council for Wales, 2017).   It also shows the uniformity of legislation in Wales through shaving common principles between SSWBA14, and the Mental Capacity Act 2005 and the significance of perceiving individuals as having mental capacity, until proven otherwise.  Professionals should always see and speak to an individual to make their own judgments, and promote voice and control by advocating for the individual’s views and wishes.   It is also crucial to highlight an individual’s right to make unwise decisions and they should not be judged through making them (MCA 05).</w:t>
            </w: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 xml:space="preserve">It is also recognised that being a subject of a safeguarding allegation can negatively impact the carer providing support to their elderly parent and their relationship, therefore the concerns have not been shared with 2 at this stage. The need to support 1 to achieve her outcomes has been discussed with 2 in a sensitive and non-judgmental way to maintain a working relationship with the carer. Furthermore, the referral to NEWIS has been offered to explore additional support for the carer.  It is recognised that carer stress and lack of support and respite might be significant factors in the risk of harm or neglect to the person being cared for (Local Safeguarding Association, 2022). </w:t>
            </w: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p>
          <w:p w:rsidR="00925396" w:rsidRPr="00925396" w:rsidRDefault="00925396" w:rsidP="00925396">
            <w:pPr>
              <w:overflowPunct w:val="0"/>
              <w:autoSpaceDE w:val="0"/>
              <w:autoSpaceDN w:val="0"/>
              <w:adjustRightInd w:val="0"/>
              <w:spacing w:after="0" w:line="360" w:lineRule="auto"/>
              <w:jc w:val="both"/>
              <w:textAlignment w:val="baseline"/>
              <w:rPr>
                <w:rFonts w:ascii="Arial" w:eastAsia="Times New Roman" w:hAnsi="Arial" w:cs="Arial"/>
                <w:color w:val="000000"/>
                <w:sz w:val="24"/>
                <w:szCs w:val="24"/>
                <w:lang w:eastAsia="en-GB"/>
              </w:rPr>
            </w:pPr>
            <w:r w:rsidRPr="00925396">
              <w:rPr>
                <w:rFonts w:ascii="Arial" w:eastAsia="Times New Roman" w:hAnsi="Arial" w:cs="Arial"/>
                <w:color w:val="000000"/>
                <w:sz w:val="24"/>
                <w:szCs w:val="24"/>
                <w:lang w:eastAsia="en-GB"/>
              </w:rPr>
              <w:t>(Word Count: 3</w:t>
            </w:r>
            <w:r w:rsidR="00D45FBD">
              <w:rPr>
                <w:rFonts w:ascii="Arial" w:eastAsia="Times New Roman" w:hAnsi="Arial" w:cs="Arial"/>
                <w:color w:val="000000"/>
                <w:sz w:val="24"/>
                <w:szCs w:val="24"/>
                <w:lang w:eastAsia="en-GB"/>
              </w:rPr>
              <w:t>,591</w:t>
            </w:r>
            <w:bookmarkStart w:id="0" w:name="_GoBack"/>
            <w:bookmarkEnd w:id="0"/>
            <w:r w:rsidRPr="00925396">
              <w:rPr>
                <w:rFonts w:ascii="Arial" w:eastAsia="Times New Roman" w:hAnsi="Arial" w:cs="Arial"/>
                <w:color w:val="000000"/>
                <w:sz w:val="24"/>
                <w:szCs w:val="24"/>
                <w:lang w:eastAsia="en-GB"/>
              </w:rPr>
              <w:t>)</w:t>
            </w:r>
          </w:p>
          <w:p w:rsidR="00925396" w:rsidRPr="00925396" w:rsidRDefault="00925396" w:rsidP="00925396">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eastAsia="en-GB"/>
              </w:rPr>
            </w:pPr>
          </w:p>
          <w:p w:rsidR="00925396" w:rsidRPr="00925396" w:rsidRDefault="00925396" w:rsidP="00925396">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tc>
      </w:tr>
    </w:tbl>
    <w:p w:rsidR="007A1A8A" w:rsidRDefault="007A1A8A"/>
    <w:sectPr w:rsidR="007A1A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DA6"/>
    <w:rsid w:val="002E2DA6"/>
    <w:rsid w:val="007A1A8A"/>
    <w:rsid w:val="00925396"/>
    <w:rsid w:val="00D45FBD"/>
    <w:rsid w:val="00EF3F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CDB34"/>
  <w15:chartTrackingRefBased/>
  <w15:docId w15:val="{8578CF42-DDA8-4C3F-8028-98A239CF0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F3F8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10</Pages>
  <Words>3504</Words>
  <Characters>19979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WCBC</Company>
  <LinksUpToDate>false</LinksUpToDate>
  <CharactersWithSpaces>23437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 Jujka</dc:creator>
  <cp:keywords/>
  <dc:description/>
  <cp:lastModifiedBy>Dominika Jujka</cp:lastModifiedBy>
  <cp:revision>3</cp:revision>
  <dcterms:created xsi:type="dcterms:W3CDTF">2023-10-20T19:10:00Z</dcterms:created>
  <dcterms:modified xsi:type="dcterms:W3CDTF">2023-10-20T19:29:00Z</dcterms:modified>
</cp:coreProperties>
</file>