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A1C463" w14:textId="77777777" w:rsidR="00C558B0" w:rsidRDefault="00C558B0" w:rsidP="00C558B0">
      <w:pPr>
        <w:spacing w:line="360" w:lineRule="auto"/>
        <w:rPr>
          <w:rFonts w:ascii="Arial" w:hAnsi="Arial" w:cs="Arial"/>
          <w:szCs w:val="24"/>
        </w:rPr>
      </w:pPr>
      <w:r>
        <w:rPr>
          <w:noProof/>
        </w:rPr>
        <w:drawing>
          <wp:anchor distT="0" distB="0" distL="114300" distR="114300" simplePos="0" relativeHeight="251659264" behindDoc="0" locked="0" layoutInCell="1" allowOverlap="1" wp14:anchorId="4DB84120" wp14:editId="30A74FCD">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3AF7F3B0" w14:textId="77777777" w:rsidR="00C558B0" w:rsidRDefault="00C558B0" w:rsidP="00C558B0">
      <w:pPr>
        <w:spacing w:line="360" w:lineRule="auto"/>
        <w:rPr>
          <w:rFonts w:ascii="Arial" w:hAnsi="Arial" w:cs="Arial"/>
          <w:szCs w:val="24"/>
        </w:rPr>
      </w:pPr>
    </w:p>
    <w:p w14:paraId="554C8C17" w14:textId="77777777" w:rsidR="00C558B0" w:rsidRDefault="00C558B0" w:rsidP="00C558B0">
      <w:pPr>
        <w:spacing w:line="360" w:lineRule="auto"/>
        <w:rPr>
          <w:rFonts w:ascii="Arial" w:hAnsi="Arial" w:cs="Arial"/>
          <w:szCs w:val="24"/>
        </w:rPr>
      </w:pPr>
    </w:p>
    <w:p w14:paraId="74A7306F" w14:textId="77777777" w:rsidR="00C558B0" w:rsidRDefault="00C558B0" w:rsidP="00C558B0">
      <w:pPr>
        <w:spacing w:line="360" w:lineRule="auto"/>
        <w:rPr>
          <w:rFonts w:ascii="Arial" w:hAnsi="Arial" w:cs="Arial"/>
          <w:szCs w:val="24"/>
        </w:rPr>
      </w:pPr>
    </w:p>
    <w:p w14:paraId="4CFA099C" w14:textId="77777777" w:rsidR="00C558B0" w:rsidRPr="00657E4C" w:rsidRDefault="00C558B0" w:rsidP="00C558B0">
      <w:pPr>
        <w:tabs>
          <w:tab w:val="left" w:pos="6540"/>
        </w:tabs>
        <w:spacing w:line="360" w:lineRule="auto"/>
        <w:rPr>
          <w:rFonts w:ascii="Arial" w:hAnsi="Arial" w:cs="Arial"/>
          <w:b/>
          <w:bCs/>
          <w:sz w:val="32"/>
          <w:szCs w:val="32"/>
        </w:rPr>
      </w:pPr>
    </w:p>
    <w:p w14:paraId="2F4F861B" w14:textId="01BD7E63" w:rsidR="00C558B0" w:rsidRPr="00657E4C" w:rsidRDefault="00C558B0" w:rsidP="00C558B0">
      <w:pPr>
        <w:tabs>
          <w:tab w:val="left" w:pos="6540"/>
        </w:tabs>
        <w:spacing w:line="360" w:lineRule="auto"/>
        <w:rPr>
          <w:rFonts w:ascii="Arial" w:hAnsi="Arial" w:cs="Arial"/>
          <w:b/>
          <w:bCs/>
          <w:sz w:val="32"/>
          <w:szCs w:val="32"/>
          <w:lang w:val="nl-NL"/>
        </w:rPr>
      </w:pPr>
      <w:r w:rsidRPr="00657E4C">
        <w:rPr>
          <w:rFonts w:ascii="Arial" w:hAnsi="Arial" w:cs="Arial"/>
          <w:b/>
          <w:bCs/>
          <w:sz w:val="32"/>
          <w:szCs w:val="32"/>
          <w:lang w:val="nl-NL"/>
        </w:rPr>
        <w:t>Student name:</w:t>
      </w:r>
      <w:r w:rsidR="00657E4C" w:rsidRPr="00657E4C">
        <w:rPr>
          <w:rFonts w:ascii="Arial" w:hAnsi="Arial" w:cs="Arial"/>
          <w:b/>
          <w:bCs/>
          <w:sz w:val="32"/>
          <w:szCs w:val="32"/>
          <w:lang w:val="nl-NL"/>
        </w:rPr>
        <w:t xml:space="preserve"> MUSA BAMWINE</w:t>
      </w:r>
    </w:p>
    <w:p w14:paraId="18D88AE2" w14:textId="773B31E1" w:rsidR="00C558B0" w:rsidRPr="00657E4C" w:rsidRDefault="00C558B0" w:rsidP="00C558B0">
      <w:pPr>
        <w:tabs>
          <w:tab w:val="left" w:pos="6540"/>
        </w:tabs>
        <w:spacing w:line="360" w:lineRule="auto"/>
        <w:rPr>
          <w:rFonts w:ascii="Arial" w:hAnsi="Arial" w:cs="Arial"/>
          <w:b/>
          <w:bCs/>
          <w:sz w:val="32"/>
          <w:szCs w:val="32"/>
          <w:lang w:val="nl-NL"/>
        </w:rPr>
      </w:pPr>
      <w:r w:rsidRPr="00657E4C">
        <w:rPr>
          <w:rFonts w:ascii="Arial" w:hAnsi="Arial" w:cs="Arial"/>
          <w:b/>
          <w:bCs/>
          <w:sz w:val="32"/>
          <w:szCs w:val="32"/>
          <w:lang w:val="nl-NL"/>
        </w:rPr>
        <w:t>Student ID:</w:t>
      </w:r>
      <w:r w:rsidR="00657E4C" w:rsidRPr="00657E4C">
        <w:rPr>
          <w:rFonts w:ascii="Arial" w:hAnsi="Arial" w:cs="Arial"/>
          <w:b/>
          <w:bCs/>
          <w:sz w:val="32"/>
          <w:szCs w:val="32"/>
          <w:lang w:val="nl-NL"/>
        </w:rPr>
        <w:t xml:space="preserve"> 2425291</w:t>
      </w:r>
    </w:p>
    <w:p w14:paraId="4654C81C" w14:textId="77777777" w:rsidR="00C558B0" w:rsidRPr="00657E4C" w:rsidRDefault="00C558B0" w:rsidP="00C558B0">
      <w:pPr>
        <w:tabs>
          <w:tab w:val="left" w:pos="6540"/>
        </w:tabs>
        <w:spacing w:line="360" w:lineRule="auto"/>
        <w:rPr>
          <w:rFonts w:ascii="Arial" w:hAnsi="Arial" w:cs="Arial"/>
          <w:b/>
          <w:bCs/>
          <w:sz w:val="32"/>
          <w:szCs w:val="32"/>
          <w:lang w:val="nl-NL"/>
        </w:rPr>
      </w:pPr>
    </w:p>
    <w:p w14:paraId="18485E82" w14:textId="77777777" w:rsidR="00657E4C" w:rsidRPr="00657E4C" w:rsidRDefault="00C558B0" w:rsidP="00657E4C">
      <w:pPr>
        <w:pStyle w:val="Heading3"/>
        <w:shd w:val="clear" w:color="auto" w:fill="FFFFFF"/>
        <w:spacing w:before="0"/>
        <w:rPr>
          <w:rFonts w:ascii="Arial" w:eastAsia="Times New Roman" w:hAnsi="Arial" w:cs="Arial"/>
          <w:b/>
          <w:bCs/>
          <w:color w:val="1D2125"/>
          <w:sz w:val="32"/>
          <w:szCs w:val="32"/>
          <w:lang w:eastAsia="en-GB"/>
        </w:rPr>
      </w:pPr>
      <w:r w:rsidRPr="00657E4C">
        <w:rPr>
          <w:rFonts w:ascii="Arial" w:hAnsi="Arial" w:cs="Arial"/>
          <w:b/>
          <w:bCs/>
          <w:sz w:val="32"/>
          <w:szCs w:val="32"/>
          <w:lang w:val="nl-NL"/>
        </w:rPr>
        <w:t xml:space="preserve">Module name: </w:t>
      </w:r>
      <w:r w:rsidR="00657E4C" w:rsidRPr="00657E4C">
        <w:rPr>
          <w:rFonts w:ascii="Arial" w:eastAsia="Times New Roman" w:hAnsi="Arial" w:cs="Arial"/>
          <w:b/>
          <w:bCs/>
          <w:color w:val="1D2125"/>
          <w:sz w:val="32"/>
          <w:szCs w:val="32"/>
          <w:lang w:eastAsia="en-GB"/>
        </w:rPr>
        <w:t>Principles of Health and Social Care Practice</w:t>
      </w:r>
    </w:p>
    <w:p w14:paraId="3D8DA301" w14:textId="2B5E5BF9" w:rsidR="00C558B0" w:rsidRPr="00657E4C" w:rsidRDefault="00C558B0" w:rsidP="00C558B0">
      <w:pPr>
        <w:tabs>
          <w:tab w:val="left" w:pos="6540"/>
        </w:tabs>
        <w:spacing w:line="360" w:lineRule="auto"/>
        <w:rPr>
          <w:rFonts w:ascii="Arial" w:hAnsi="Arial" w:cs="Arial"/>
          <w:b/>
          <w:bCs/>
          <w:sz w:val="32"/>
          <w:szCs w:val="32"/>
          <w:lang w:val="nl-NL"/>
        </w:rPr>
      </w:pPr>
    </w:p>
    <w:p w14:paraId="5B6DA8C1" w14:textId="77777777" w:rsidR="00657E4C" w:rsidRPr="00657E4C" w:rsidRDefault="00C558B0" w:rsidP="00657E4C">
      <w:pPr>
        <w:pStyle w:val="Heading3"/>
        <w:shd w:val="clear" w:color="auto" w:fill="FFFFFF"/>
        <w:spacing w:before="0"/>
        <w:rPr>
          <w:rFonts w:ascii="Arial" w:eastAsia="Times New Roman" w:hAnsi="Arial" w:cs="Arial"/>
          <w:b/>
          <w:bCs/>
          <w:color w:val="1D2125"/>
          <w:sz w:val="32"/>
          <w:szCs w:val="32"/>
          <w:lang w:eastAsia="en-GB"/>
        </w:rPr>
      </w:pPr>
      <w:r w:rsidRPr="00657E4C">
        <w:rPr>
          <w:rFonts w:ascii="Arial" w:hAnsi="Arial" w:cs="Arial"/>
          <w:b/>
          <w:bCs/>
          <w:sz w:val="32"/>
          <w:szCs w:val="32"/>
        </w:rPr>
        <w:t>Module code:</w:t>
      </w:r>
      <w:r w:rsidR="00657E4C" w:rsidRPr="00657E4C">
        <w:rPr>
          <w:rFonts w:ascii="Arial" w:hAnsi="Arial" w:cs="Arial"/>
          <w:b/>
          <w:bCs/>
          <w:sz w:val="32"/>
          <w:szCs w:val="32"/>
        </w:rPr>
        <w:t xml:space="preserve"> </w:t>
      </w:r>
      <w:r w:rsidR="00657E4C" w:rsidRPr="00657E4C">
        <w:rPr>
          <w:rFonts w:ascii="Arial" w:eastAsia="Times New Roman" w:hAnsi="Arial" w:cs="Arial"/>
          <w:b/>
          <w:bCs/>
          <w:color w:val="1D2125"/>
          <w:sz w:val="32"/>
          <w:szCs w:val="32"/>
          <w:lang w:eastAsia="en-GB"/>
        </w:rPr>
        <w:t>BMHP5016</w:t>
      </w:r>
    </w:p>
    <w:p w14:paraId="7DB3261D" w14:textId="18EFDFF0" w:rsidR="00C558B0" w:rsidRPr="00657E4C" w:rsidRDefault="00C558B0" w:rsidP="00C558B0">
      <w:pPr>
        <w:tabs>
          <w:tab w:val="left" w:pos="6540"/>
        </w:tabs>
        <w:spacing w:line="360" w:lineRule="auto"/>
        <w:rPr>
          <w:rFonts w:ascii="Arial" w:hAnsi="Arial" w:cs="Arial"/>
          <w:b/>
          <w:bCs/>
          <w:sz w:val="32"/>
          <w:szCs w:val="32"/>
        </w:rPr>
      </w:pPr>
    </w:p>
    <w:p w14:paraId="5CCA350C" w14:textId="5175557D" w:rsidR="00C558B0" w:rsidRPr="00657E4C" w:rsidRDefault="00C558B0" w:rsidP="00C558B0">
      <w:pPr>
        <w:tabs>
          <w:tab w:val="left" w:pos="6540"/>
        </w:tabs>
        <w:spacing w:line="360" w:lineRule="auto"/>
        <w:rPr>
          <w:rFonts w:ascii="Arial" w:hAnsi="Arial" w:cs="Arial"/>
          <w:b/>
          <w:bCs/>
          <w:sz w:val="32"/>
          <w:szCs w:val="32"/>
        </w:rPr>
      </w:pPr>
      <w:r w:rsidRPr="00657E4C">
        <w:rPr>
          <w:rFonts w:ascii="Arial" w:hAnsi="Arial" w:cs="Arial"/>
          <w:b/>
          <w:bCs/>
          <w:sz w:val="32"/>
          <w:szCs w:val="32"/>
        </w:rPr>
        <w:t>Lecturer name:</w:t>
      </w:r>
      <w:r w:rsidR="00657E4C" w:rsidRPr="00657E4C">
        <w:rPr>
          <w:rFonts w:ascii="Arial" w:hAnsi="Arial" w:cs="Arial"/>
          <w:b/>
          <w:bCs/>
          <w:sz w:val="32"/>
          <w:szCs w:val="32"/>
        </w:rPr>
        <w:t xml:space="preserve"> MARK KANE </w:t>
      </w:r>
    </w:p>
    <w:p w14:paraId="5461F9C8" w14:textId="77777777" w:rsidR="00C558B0" w:rsidRDefault="00C558B0" w:rsidP="00C558B0">
      <w:pPr>
        <w:tabs>
          <w:tab w:val="left" w:pos="6540"/>
        </w:tabs>
        <w:spacing w:line="360" w:lineRule="auto"/>
        <w:rPr>
          <w:rFonts w:ascii="Arial" w:hAnsi="Arial" w:cs="Arial"/>
          <w:sz w:val="28"/>
          <w:szCs w:val="28"/>
        </w:rPr>
      </w:pPr>
    </w:p>
    <w:p w14:paraId="6405EF14" w14:textId="1DCE996F" w:rsidR="006D2F2D" w:rsidRPr="004A5A64" w:rsidRDefault="006D2F2D" w:rsidP="00153C69">
      <w:pPr>
        <w:spacing w:line="360" w:lineRule="auto"/>
        <w:rPr>
          <w:sz w:val="23"/>
          <w:szCs w:val="23"/>
        </w:rPr>
      </w:pPr>
      <w:r w:rsidRPr="004A5A64">
        <w:rPr>
          <w:sz w:val="23"/>
          <w:szCs w:val="23"/>
        </w:rPr>
        <w:br w:type="page"/>
      </w:r>
    </w:p>
    <w:p w14:paraId="5F44B964" w14:textId="5E455BDD" w:rsidR="00317E3D" w:rsidRPr="00153C69" w:rsidRDefault="006D2F2D" w:rsidP="00153C69">
      <w:pPr>
        <w:pStyle w:val="Heading1"/>
        <w:spacing w:line="360" w:lineRule="auto"/>
        <w:jc w:val="both"/>
        <w:rPr>
          <w:rFonts w:ascii="Arial" w:hAnsi="Arial" w:cs="Arial"/>
          <w:b/>
          <w:bCs/>
          <w:sz w:val="24"/>
          <w:szCs w:val="24"/>
        </w:rPr>
      </w:pPr>
      <w:r w:rsidRPr="00153C69">
        <w:rPr>
          <w:rFonts w:ascii="Arial" w:hAnsi="Arial" w:cs="Arial"/>
          <w:b/>
          <w:bCs/>
          <w:sz w:val="24"/>
          <w:szCs w:val="24"/>
        </w:rPr>
        <w:lastRenderedPageBreak/>
        <w:t>Introduction</w:t>
      </w:r>
    </w:p>
    <w:p w14:paraId="75E649E0" w14:textId="5059E734" w:rsidR="005A272C" w:rsidRPr="00153C69" w:rsidRDefault="005A272C" w:rsidP="00153C69">
      <w:pPr>
        <w:pStyle w:val="NormalWeb"/>
        <w:spacing w:line="360" w:lineRule="auto"/>
        <w:jc w:val="both"/>
        <w:rPr>
          <w:rFonts w:ascii="Arial" w:hAnsi="Arial" w:cs="Arial"/>
        </w:rPr>
      </w:pPr>
      <w:r w:rsidRPr="00153C69">
        <w:rPr>
          <w:rFonts w:ascii="Arial" w:hAnsi="Arial" w:cs="Arial"/>
        </w:rPr>
        <w:t xml:space="preserve">Person-centred care (PCP) is a fundamental concept in health and social care that emphasises treating individuals with dignity, respect, and as active participants in their own care. The concept emerged from humanistic psychology, particularly the work of </w:t>
      </w:r>
      <w:r w:rsidRPr="00153C69">
        <w:rPr>
          <w:rStyle w:val="whitespace-normal"/>
          <w:rFonts w:ascii="Arial" w:hAnsi="Arial" w:cs="Arial"/>
        </w:rPr>
        <w:t>Carl Rogers</w:t>
      </w:r>
      <w:r w:rsidRPr="00153C69">
        <w:rPr>
          <w:rFonts w:ascii="Arial" w:hAnsi="Arial" w:cs="Arial"/>
        </w:rPr>
        <w:t xml:space="preserve"> in the mid-20th century. Rogers proposed that individuals have the capacity for self-healing and personal growth when supported in an environment characterised by empathy, unconditional positive regard, and genuineness. These principles laid the foundation for PCP, shifting care away from paternalistic models—where professionals made decisions on behalf of patients—towards a more collaborative and empowering approach. (Young et al., 2025)</w:t>
      </w:r>
    </w:p>
    <w:p w14:paraId="4B981486" w14:textId="2D731009" w:rsidR="005A272C" w:rsidRPr="00153C69" w:rsidRDefault="00F40215" w:rsidP="00153C69">
      <w:pPr>
        <w:pStyle w:val="NormalWeb"/>
        <w:spacing w:line="360" w:lineRule="auto"/>
        <w:jc w:val="both"/>
        <w:rPr>
          <w:rFonts w:ascii="Arial" w:hAnsi="Arial" w:cs="Arial"/>
        </w:rPr>
      </w:pPr>
      <w:r w:rsidRPr="00153C69">
        <w:rPr>
          <w:rFonts w:ascii="Arial" w:hAnsi="Arial" w:cs="Arial"/>
          <w:noProof/>
        </w:rPr>
        <mc:AlternateContent>
          <mc:Choice Requires="wps">
            <w:drawing>
              <wp:anchor distT="0" distB="0" distL="114300" distR="114300" simplePos="0" relativeHeight="251660288" behindDoc="0" locked="0" layoutInCell="1" allowOverlap="1" wp14:anchorId="323AF1E0" wp14:editId="319A83B3">
                <wp:simplePos x="0" y="0"/>
                <wp:positionH relativeFrom="margin">
                  <wp:posOffset>412750</wp:posOffset>
                </wp:positionH>
                <wp:positionV relativeFrom="paragraph">
                  <wp:posOffset>3083560</wp:posOffset>
                </wp:positionV>
                <wp:extent cx="3130550" cy="292100"/>
                <wp:effectExtent l="0" t="0" r="12700" b="12700"/>
                <wp:wrapNone/>
                <wp:docPr id="1701091183" name="Rectangle 3"/>
                <wp:cNvGraphicFramePr/>
                <a:graphic xmlns:a="http://schemas.openxmlformats.org/drawingml/2006/main">
                  <a:graphicData uri="http://schemas.microsoft.com/office/word/2010/wordprocessingShape">
                    <wps:wsp>
                      <wps:cNvSpPr/>
                      <wps:spPr>
                        <a:xfrm rot="10800000" flipV="1">
                          <a:off x="0" y="0"/>
                          <a:ext cx="3130550" cy="29210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017FBE47" w14:textId="05C11D0A" w:rsidR="00F40215" w:rsidRPr="008E4332" w:rsidRDefault="00F40215" w:rsidP="00F40215">
                            <w:pPr>
                              <w:jc w:val="center"/>
                              <w:rPr>
                                <w:u w:val="single"/>
                              </w:rPr>
                            </w:pPr>
                            <w:r w:rsidRPr="008E4332">
                              <w:rPr>
                                <w:u w:val="single"/>
                              </w:rPr>
                              <w:t xml:space="preserve">Illustration of </w:t>
                            </w:r>
                            <w:proofErr w:type="gramStart"/>
                            <w:r w:rsidRPr="008E4332">
                              <w:rPr>
                                <w:u w:val="single"/>
                              </w:rPr>
                              <w:t xml:space="preserve">person </w:t>
                            </w:r>
                            <w:r w:rsidR="008E4332" w:rsidRPr="008E4332">
                              <w:rPr>
                                <w:u w:val="single"/>
                              </w:rPr>
                              <w:t>centr</w:t>
                            </w:r>
                            <w:r w:rsidR="008E4332">
                              <w:rPr>
                                <w:u w:val="single"/>
                              </w:rPr>
                              <w:t>ed</w:t>
                            </w:r>
                            <w:proofErr w:type="gramEnd"/>
                            <w:r w:rsidRPr="008E4332">
                              <w:rPr>
                                <w:u w:val="single"/>
                              </w:rPr>
                              <w:t xml:space="preserve"> care </w:t>
                            </w:r>
                            <w:r w:rsidR="008E4332">
                              <w:rPr>
                                <w:u w:val="single"/>
                              </w:rPr>
                              <w:t>(PCP)</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23AF1E0" id="Rectangle 3" o:spid="_x0000_s1026" style="position:absolute;left:0;text-align:left;margin-left:32.5pt;margin-top:242.8pt;width:246.5pt;height:23pt;rotation:180;flip:y;z-index:25166028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" fillcolor="#4472c4 [3204]" strokecolor="#09101d [484]" strokeweight="1pt">
                <v:textbox>
                  <w:txbxContent>
                    <w:p w14:paraId="017FBE47" w14:textId="05C11D0A" w:rsidR="00F40215" w:rsidRPr="008E4332" w:rsidRDefault="00F40215" w:rsidP="00F40215">
                      <w:pPr>
                        <w:jc w:val="center"/>
                        <w:rPr>
                          <w:u w:val="single"/>
                        </w:rPr>
                      </w:pPr>
                      <w:r w:rsidRPr="008E4332">
                        <w:rPr>
                          <w:u w:val="single"/>
                        </w:rPr>
                        <w:t xml:space="preserve">Illustration of </w:t>
                      </w:r>
                      <w:proofErr w:type="gramStart"/>
                      <w:r w:rsidRPr="008E4332">
                        <w:rPr>
                          <w:u w:val="single"/>
                        </w:rPr>
                        <w:t xml:space="preserve">person </w:t>
                      </w:r>
                      <w:r w:rsidR="008E4332" w:rsidRPr="008E4332">
                        <w:rPr>
                          <w:u w:val="single"/>
                        </w:rPr>
                        <w:t>centr</w:t>
                      </w:r>
                      <w:r w:rsidR="008E4332">
                        <w:rPr>
                          <w:u w:val="single"/>
                        </w:rPr>
                        <w:t>ed</w:t>
                      </w:r>
                      <w:proofErr w:type="gramEnd"/>
                      <w:r w:rsidRPr="008E4332">
                        <w:rPr>
                          <w:u w:val="single"/>
                        </w:rPr>
                        <w:t xml:space="preserve"> care </w:t>
                      </w:r>
                      <w:r w:rsidR="008E4332">
                        <w:rPr>
                          <w:u w:val="single"/>
                        </w:rPr>
                        <w:t>(PCP)</w:t>
                      </w:r>
                    </w:p>
                  </w:txbxContent>
                </v:textbox>
                <w10:wrap anchorx="margin"/>
              </v:rect>
            </w:pict>
          </mc:Fallback>
        </mc:AlternateContent>
      </w:r>
      <w:r w:rsidR="005A272C" w:rsidRPr="00153C69">
        <w:rPr>
          <w:rFonts w:ascii="Arial" w:hAnsi="Arial" w:cs="Arial"/>
          <w:noProof/>
        </w:rPr>
        <mc:AlternateContent>
          <mc:Choice Requires="wps">
            <w:drawing>
              <wp:inline distT="0" distB="0" distL="0" distR="0" wp14:anchorId="49684389" wp14:editId="50E4E07A">
                <wp:extent cx="304800" cy="304800"/>
                <wp:effectExtent l="0" t="0" r="0" b="0"/>
                <wp:docPr id="592595137" name="AutoShape 3" descr="PERSON CENTERED PLANNING IN AUTISM BY ANGELA WINSTANLEY - MEET SHIP..."/>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FBD1D5E" id="AutoShape 3" o:spid="_x0000_s1026" alt="PERSON CENTERED PLANNING IN AUTISM BY ANGELA WINSTANLEY - MEET SHIP..."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r w:rsidR="005A272C" w:rsidRPr="00153C69">
        <w:rPr>
          <w:rFonts w:ascii="Arial" w:hAnsi="Arial" w:cs="Arial"/>
          <w:noProof/>
        </w:rPr>
        <w:drawing>
          <wp:inline distT="0" distB="0" distL="0" distR="0" wp14:anchorId="6F41CB3C" wp14:editId="60D369D1">
            <wp:extent cx="3451225" cy="3092450"/>
            <wp:effectExtent l="0" t="0" r="0" b="0"/>
            <wp:docPr id="2363604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471146" cy="3110300"/>
                    </a:xfrm>
                    <a:prstGeom prst="rect">
                      <a:avLst/>
                    </a:prstGeom>
                    <a:noFill/>
                  </pic:spPr>
                </pic:pic>
              </a:graphicData>
            </a:graphic>
          </wp:inline>
        </w:drawing>
      </w:r>
    </w:p>
    <w:p w14:paraId="46FC3703" w14:textId="77777777" w:rsidR="008E4332" w:rsidRPr="00153C69" w:rsidRDefault="008E4332" w:rsidP="00153C69">
      <w:pPr>
        <w:pStyle w:val="NormalWeb"/>
        <w:spacing w:line="360" w:lineRule="auto"/>
        <w:jc w:val="both"/>
        <w:rPr>
          <w:rFonts w:ascii="Arial" w:hAnsi="Arial" w:cs="Arial"/>
        </w:rPr>
      </w:pPr>
    </w:p>
    <w:p w14:paraId="1EAD0E56" w14:textId="77777777" w:rsidR="005A272C" w:rsidRPr="00153C69" w:rsidRDefault="005A272C" w:rsidP="00153C69">
      <w:pPr>
        <w:pStyle w:val="NormalWeb"/>
        <w:spacing w:line="360" w:lineRule="auto"/>
        <w:jc w:val="both"/>
        <w:rPr>
          <w:rFonts w:ascii="Arial" w:hAnsi="Arial" w:cs="Arial"/>
        </w:rPr>
      </w:pPr>
      <w:r w:rsidRPr="00153C69">
        <w:rPr>
          <w:rFonts w:ascii="Arial" w:hAnsi="Arial" w:cs="Arial"/>
        </w:rPr>
        <w:t xml:space="preserve">Over time, PCP has evolved into a core principle within modern healthcare systems, especially in the </w:t>
      </w:r>
      <w:r w:rsidRPr="00153C69">
        <w:rPr>
          <w:rStyle w:val="whitespace-normal"/>
          <w:rFonts w:ascii="Arial" w:hAnsi="Arial" w:cs="Arial"/>
        </w:rPr>
        <w:t>United Kingdom</w:t>
      </w:r>
      <w:r w:rsidRPr="00153C69">
        <w:rPr>
          <w:rFonts w:ascii="Arial" w:hAnsi="Arial" w:cs="Arial"/>
        </w:rPr>
        <w:t xml:space="preserve">. Its development has been influenced by policy and legislation such as the </w:t>
      </w:r>
      <w:r w:rsidRPr="00153C69">
        <w:rPr>
          <w:rStyle w:val="whitespace-normal"/>
          <w:rFonts w:ascii="Arial" w:hAnsi="Arial" w:cs="Arial"/>
        </w:rPr>
        <w:t>Care Act 2014</w:t>
      </w:r>
      <w:r w:rsidRPr="00153C69">
        <w:rPr>
          <w:rFonts w:ascii="Arial" w:hAnsi="Arial" w:cs="Arial"/>
        </w:rPr>
        <w:t xml:space="preserve">, which places individual wellbeing, choice, and control at the centre of care delivery. More recently, the </w:t>
      </w:r>
      <w:r w:rsidRPr="00153C69">
        <w:rPr>
          <w:rStyle w:val="whitespace-normal"/>
          <w:rFonts w:ascii="Arial" w:hAnsi="Arial" w:cs="Arial"/>
        </w:rPr>
        <w:t>Health and Care Act 2022</w:t>
      </w:r>
      <w:r w:rsidRPr="00153C69">
        <w:rPr>
          <w:rFonts w:ascii="Arial" w:hAnsi="Arial" w:cs="Arial"/>
        </w:rPr>
        <w:t xml:space="preserve"> has reinforced integrated care systems, encouraging collaboration across services while maintaining a focus on individual needs. PCP now extends beyond individual interactions to include shared decision-making, personalised care planning, and co-production with service users, as highlighted in research such as Blackburn (2026).</w:t>
      </w:r>
    </w:p>
    <w:p w14:paraId="700BCBBC" w14:textId="3030BB11" w:rsidR="005A272C" w:rsidRPr="00153C69" w:rsidRDefault="005A272C" w:rsidP="00153C69">
      <w:pPr>
        <w:pStyle w:val="NormalWeb"/>
        <w:spacing w:line="360" w:lineRule="auto"/>
        <w:jc w:val="both"/>
        <w:rPr>
          <w:rFonts w:ascii="Arial" w:hAnsi="Arial" w:cs="Arial"/>
        </w:rPr>
      </w:pPr>
      <w:r w:rsidRPr="00153C69">
        <w:rPr>
          <w:rFonts w:ascii="Arial" w:hAnsi="Arial" w:cs="Arial"/>
        </w:rPr>
        <w:lastRenderedPageBreak/>
        <w:t xml:space="preserve">The theoretical underpinning of PCP is also closely linked to </w:t>
      </w:r>
      <w:r w:rsidRPr="00153C69">
        <w:rPr>
          <w:rStyle w:val="whitespace-normal"/>
          <w:rFonts w:ascii="Arial" w:hAnsi="Arial" w:cs="Arial"/>
        </w:rPr>
        <w:t>Maslow’s Hierarchy of Needs</w:t>
      </w:r>
      <w:r w:rsidRPr="00153C69">
        <w:rPr>
          <w:rFonts w:ascii="Arial" w:hAnsi="Arial" w:cs="Arial"/>
        </w:rPr>
        <w:t>, which suggests that individuals must have their basic physiological and safety needs met before achieving higher levels of wellbeing, such as self-esteem and self-actualisation. In practice, this means that healthcare professionals must address not only physical health but also emotional, social, and psychological needs to deliver truly holistic care.</w:t>
      </w:r>
      <w:r w:rsidR="00153C69" w:rsidRPr="00153C69">
        <w:rPr>
          <w:rFonts w:ascii="Arial" w:hAnsi="Arial" w:cs="Arial"/>
        </w:rPr>
        <w:t xml:space="preserve"> </w:t>
      </w:r>
      <w:r w:rsidR="00153C69" w:rsidRPr="00153C69">
        <w:rPr>
          <w:rFonts w:ascii="Arial" w:hAnsi="Arial" w:cs="Arial"/>
        </w:rPr>
        <w:t>(Ingard et al., 2026)</w:t>
      </w:r>
    </w:p>
    <w:p w14:paraId="0F93EAFA" w14:textId="77777777" w:rsidR="005A272C" w:rsidRPr="00153C69" w:rsidRDefault="005A272C" w:rsidP="00153C69">
      <w:pPr>
        <w:pStyle w:val="NormalWeb"/>
        <w:spacing w:line="360" w:lineRule="auto"/>
        <w:jc w:val="both"/>
        <w:rPr>
          <w:rFonts w:ascii="Arial" w:hAnsi="Arial" w:cs="Arial"/>
        </w:rPr>
      </w:pPr>
      <w:r w:rsidRPr="00153C69">
        <w:rPr>
          <w:rFonts w:ascii="Arial" w:hAnsi="Arial" w:cs="Arial"/>
        </w:rPr>
        <w:t>Despite its widespread acceptance, PCP has faced several critiques. One key criticism is that it can be difficult to implement consistently in real-world settings due to time constraints, staffing shortages, and organisational pressures. In busy healthcare environments, professionals may struggle to provide fully individualised care, leading to what some describe as “tokenistic” PCP, where the concept is acknowledged but not fully practiced. Additionally, critics argue that not all patients wish to be actively involved in decision-making, and some may prefer a more directive approach from healthcare professionals.</w:t>
      </w:r>
    </w:p>
    <w:p w14:paraId="38AA4014" w14:textId="77777777" w:rsidR="005A272C" w:rsidRPr="00153C69" w:rsidRDefault="005A272C" w:rsidP="00153C69">
      <w:pPr>
        <w:pStyle w:val="NormalWeb"/>
        <w:spacing w:line="360" w:lineRule="auto"/>
        <w:jc w:val="both"/>
        <w:rPr>
          <w:rFonts w:ascii="Arial" w:hAnsi="Arial" w:cs="Arial"/>
        </w:rPr>
      </w:pPr>
      <w:r w:rsidRPr="00153C69">
        <w:rPr>
          <w:rFonts w:ascii="Arial" w:hAnsi="Arial" w:cs="Arial"/>
        </w:rPr>
        <w:t xml:space="preserve">In response to these critiques, there has been a stronger emphasis on training, reflective practice, and organisational support to ensure that PCP is meaningful and sustainable. Professional bodies such as the </w:t>
      </w:r>
      <w:r w:rsidRPr="00153C69">
        <w:rPr>
          <w:rStyle w:val="whitespace-normal"/>
          <w:rFonts w:ascii="Arial" w:hAnsi="Arial" w:cs="Arial"/>
        </w:rPr>
        <w:t>Nursing and Midwifery Council</w:t>
      </w:r>
      <w:r w:rsidRPr="00153C69">
        <w:rPr>
          <w:rFonts w:ascii="Arial" w:hAnsi="Arial" w:cs="Arial"/>
        </w:rPr>
        <w:t xml:space="preserve"> have incorporated PCP into their codes of conduct, reinforcing accountability and patient-centred values. Furthermore, healthcare systems are increasingly adopting flexible approaches that recognise individual preferences, allowing care to be tailored to the level of involvement each person desires.</w:t>
      </w:r>
    </w:p>
    <w:p w14:paraId="76690F23" w14:textId="437C1AEC" w:rsidR="005A272C" w:rsidRPr="00153C69" w:rsidRDefault="005A272C" w:rsidP="00153C69">
      <w:pPr>
        <w:pStyle w:val="NormalWeb"/>
        <w:spacing w:line="360" w:lineRule="auto"/>
        <w:jc w:val="both"/>
        <w:rPr>
          <w:rFonts w:ascii="Arial" w:hAnsi="Arial" w:cs="Arial"/>
        </w:rPr>
      </w:pPr>
      <w:r w:rsidRPr="00153C69">
        <w:rPr>
          <w:rFonts w:ascii="Arial" w:hAnsi="Arial" w:cs="Arial"/>
        </w:rPr>
        <w:t>Overall, PCP has developed from a psychological theory into a central pillar of modern healthcare practice. While challenges remain in its implementation, ongoing policy support, education, and professional commitment continue to strengthen its role in improving care quality and patient outcomes</w:t>
      </w:r>
      <w:r w:rsidR="00153C69" w:rsidRPr="00153C69">
        <w:rPr>
          <w:rFonts w:ascii="Arial" w:hAnsi="Arial" w:cs="Arial"/>
        </w:rPr>
        <w:t>.</w:t>
      </w:r>
    </w:p>
    <w:p w14:paraId="2654400B" w14:textId="77777777" w:rsidR="00153C69" w:rsidRPr="00153C69" w:rsidRDefault="00153C69" w:rsidP="00153C69">
      <w:pPr>
        <w:pStyle w:val="NormalWeb"/>
        <w:spacing w:line="360" w:lineRule="auto"/>
        <w:jc w:val="both"/>
        <w:rPr>
          <w:rFonts w:ascii="Arial" w:hAnsi="Arial" w:cs="Arial"/>
        </w:rPr>
      </w:pPr>
    </w:p>
    <w:p w14:paraId="1D085C16" w14:textId="77777777" w:rsidR="00153C69" w:rsidRPr="00153C69" w:rsidRDefault="00153C69" w:rsidP="00153C69">
      <w:pPr>
        <w:pStyle w:val="NormalWeb"/>
        <w:spacing w:line="360" w:lineRule="auto"/>
        <w:jc w:val="both"/>
        <w:rPr>
          <w:rFonts w:ascii="Arial" w:hAnsi="Arial" w:cs="Arial"/>
        </w:rPr>
      </w:pPr>
    </w:p>
    <w:p w14:paraId="6E8926A1" w14:textId="77777777" w:rsidR="00153C69" w:rsidRPr="00153C69" w:rsidRDefault="00153C69" w:rsidP="00153C69">
      <w:pPr>
        <w:pStyle w:val="NormalWeb"/>
        <w:spacing w:line="360" w:lineRule="auto"/>
        <w:jc w:val="both"/>
        <w:rPr>
          <w:rFonts w:ascii="Arial" w:hAnsi="Arial" w:cs="Arial"/>
        </w:rPr>
      </w:pPr>
    </w:p>
    <w:p w14:paraId="5D913FF3" w14:textId="77777777" w:rsidR="00153C69" w:rsidRPr="00153C69" w:rsidRDefault="00153C69" w:rsidP="00153C69">
      <w:pPr>
        <w:pStyle w:val="NormalWeb"/>
        <w:spacing w:line="360" w:lineRule="auto"/>
        <w:jc w:val="both"/>
        <w:rPr>
          <w:rFonts w:ascii="Arial" w:hAnsi="Arial" w:cs="Arial"/>
        </w:rPr>
      </w:pPr>
    </w:p>
    <w:p w14:paraId="7F26A0DE" w14:textId="77777777" w:rsidR="00153C69" w:rsidRPr="00153C69" w:rsidRDefault="00153C69" w:rsidP="00153C69">
      <w:pPr>
        <w:pStyle w:val="NormalWeb"/>
        <w:spacing w:line="360" w:lineRule="auto"/>
        <w:jc w:val="both"/>
        <w:rPr>
          <w:rFonts w:ascii="Arial" w:hAnsi="Arial" w:cs="Arial"/>
        </w:rPr>
      </w:pPr>
    </w:p>
    <w:p w14:paraId="6B607C9D" w14:textId="77777777" w:rsidR="00153C69" w:rsidRPr="00153C69" w:rsidRDefault="00153C69" w:rsidP="00153C69">
      <w:pPr>
        <w:pStyle w:val="NormalWeb"/>
        <w:spacing w:line="360" w:lineRule="auto"/>
        <w:jc w:val="both"/>
        <w:rPr>
          <w:rFonts w:ascii="Arial" w:hAnsi="Arial" w:cs="Arial"/>
        </w:rPr>
      </w:pPr>
    </w:p>
    <w:p w14:paraId="0D6C3747" w14:textId="77777777" w:rsidR="00153C69" w:rsidRPr="00153C69" w:rsidRDefault="00153C69" w:rsidP="00153C69">
      <w:pPr>
        <w:pStyle w:val="NormalWeb"/>
        <w:spacing w:line="360" w:lineRule="auto"/>
        <w:jc w:val="both"/>
        <w:rPr>
          <w:rFonts w:ascii="Arial" w:hAnsi="Arial" w:cs="Arial"/>
        </w:rPr>
      </w:pPr>
      <w:r w:rsidRPr="00153C69">
        <w:rPr>
          <w:rFonts w:ascii="Arial" w:hAnsi="Arial" w:cs="Arial"/>
          <w:b/>
          <w:bCs/>
        </w:rPr>
        <w:t xml:space="preserve">The </w:t>
      </w:r>
      <w:r w:rsidRPr="00153C69">
        <w:rPr>
          <w:rStyle w:val="whitespace-normal"/>
          <w:rFonts w:ascii="Arial" w:hAnsi="Arial" w:cs="Arial"/>
          <w:b/>
          <w:bCs/>
        </w:rPr>
        <w:t>Social Model of Disability</w:t>
      </w:r>
      <w:r w:rsidRPr="00153C69">
        <w:rPr>
          <w:rFonts w:ascii="Arial" w:hAnsi="Arial" w:cs="Arial"/>
        </w:rPr>
        <w:t xml:space="preserve"> is a theoretical framework that distinguishes between impairment (a person’s physical, sensory, or cognitive condition) and disability, which it defines as the social barriers that restrict participation in society. First articulated by activists and scholars such as </w:t>
      </w:r>
      <w:r w:rsidRPr="00153C69">
        <w:rPr>
          <w:rStyle w:val="whitespace-normal"/>
          <w:rFonts w:ascii="Arial" w:hAnsi="Arial" w:cs="Arial"/>
        </w:rPr>
        <w:t>Michael Oliver</w:t>
      </w:r>
      <w:r w:rsidRPr="00153C69">
        <w:rPr>
          <w:rFonts w:ascii="Arial" w:hAnsi="Arial" w:cs="Arial"/>
        </w:rPr>
        <w:t xml:space="preserve">, the model challenges earlier approaches like the medical model, which locates disability solely within the individual as a problem to be treated or cured. Instead, the social model argues that disability is produced by inaccessible environments, discriminatory attitudes, and institutional exclusion. For example, a wheelchair user is not inherently “disabled” by their impairment but becomes disabled when buildings lack ramps or lifts. This perspective shifts responsibility from the individual to society, emphasizing the need for structural change. As Oliver (1990) argues, disability should be understood as a form of social oppression rather than a personal tragedy. This reconceptualization has been foundational in disability studies and has informed policy frameworks, including the </w:t>
      </w:r>
      <w:r w:rsidRPr="00153C69">
        <w:rPr>
          <w:rStyle w:val="whitespace-normal"/>
          <w:rFonts w:ascii="Arial" w:hAnsi="Arial" w:cs="Arial"/>
        </w:rPr>
        <w:t>World Health Organization</w:t>
      </w:r>
      <w:r w:rsidRPr="00153C69">
        <w:rPr>
          <w:rFonts w:ascii="Arial" w:hAnsi="Arial" w:cs="Arial"/>
        </w:rPr>
        <w:t xml:space="preserve"> International Classification of Functioning, Disability and Health (ICF), which integrates social and environmental dimensions of disability (WHO, 2001).</w:t>
      </w:r>
    </w:p>
    <w:p w14:paraId="56409B6D" w14:textId="77777777" w:rsidR="00153C69" w:rsidRPr="00153C69" w:rsidRDefault="00153C69" w:rsidP="00153C69">
      <w:pPr>
        <w:pStyle w:val="NormalWeb"/>
        <w:spacing w:line="360" w:lineRule="auto"/>
        <w:jc w:val="both"/>
        <w:rPr>
          <w:rFonts w:ascii="Arial" w:hAnsi="Arial" w:cs="Arial"/>
        </w:rPr>
      </w:pPr>
      <w:r w:rsidRPr="00153C69">
        <w:rPr>
          <w:rFonts w:ascii="Arial" w:hAnsi="Arial" w:cs="Arial"/>
        </w:rPr>
        <w:t xml:space="preserve">The importance of the social model lies in its transformative impact on both theory and practice. By reframing disability as a societal issue, it has empowered disabled people to advocate for rights, accessibility, and inclusion, contributing to global movements for equality such as the </w:t>
      </w:r>
      <w:r w:rsidRPr="00153C69">
        <w:rPr>
          <w:rStyle w:val="whitespace-normal"/>
          <w:rFonts w:ascii="Arial" w:hAnsi="Arial" w:cs="Arial"/>
        </w:rPr>
        <w:t>United Nations</w:t>
      </w:r>
      <w:r w:rsidRPr="00153C69">
        <w:rPr>
          <w:rFonts w:ascii="Arial" w:hAnsi="Arial" w:cs="Arial"/>
        </w:rPr>
        <w:t xml:space="preserve"> Convention on the Rights of Persons with Disabilities (CRPD). This model underpins legislation and policies that promote inclusive design, anti-discrimination measures, and equal opportunities in education and employment. Furthermore, it has influenced professional practices across fields such as social work, education, and healthcare by encouraging practitioners to focus on removing barriers rather than “fixing” individuals. Critics note that the model may underplay the lived experience of impairment, including pain or medical needs (Shakespeare, 2006), yet its core contribution remains vital: it challenges deeply rooted assumptions about normality and ability. In an increasingly diverse society, the social model provides a critical lens for understanding inequality and promoting social justice. It is particularly relevant in contemporary discussions about inclusive </w:t>
      </w:r>
      <w:r w:rsidRPr="00153C69">
        <w:rPr>
          <w:rFonts w:ascii="Arial" w:hAnsi="Arial" w:cs="Arial"/>
        </w:rPr>
        <w:lastRenderedPageBreak/>
        <w:t>environments, digital accessibility, and intersectionality, where disability intersects with factors such as race, gender, and class. Ultimately, the model’s emphasis on collective responsibility and systemic change makes it an essential framework for creating a more equitable and inclusive society.</w:t>
      </w:r>
    </w:p>
    <w:p w14:paraId="7DAC268B" w14:textId="732E675F" w:rsidR="00153C69" w:rsidRPr="00153C69" w:rsidRDefault="003E4ED4" w:rsidP="00153C69">
      <w:pPr>
        <w:pStyle w:val="NormalWeb"/>
        <w:spacing w:line="360" w:lineRule="auto"/>
        <w:jc w:val="both"/>
        <w:rPr>
          <w:rFonts w:ascii="Arial" w:hAnsi="Arial" w:cs="Arial"/>
        </w:rPr>
      </w:pPr>
      <w:r w:rsidRPr="00153C69">
        <w:rPr>
          <w:rFonts w:ascii="Arial" w:hAnsi="Arial" w:cs="Arial"/>
          <w:b/>
          <w:bCs/>
        </w:rPr>
        <w:t>T</w:t>
      </w:r>
      <w:r w:rsidR="006D2F2D" w:rsidRPr="00153C69">
        <w:rPr>
          <w:rFonts w:ascii="Arial" w:hAnsi="Arial" w:cs="Arial"/>
          <w:b/>
          <w:bCs/>
        </w:rPr>
        <w:t xml:space="preserve">he </w:t>
      </w:r>
      <w:r w:rsidRPr="00153C69">
        <w:rPr>
          <w:rFonts w:ascii="Arial" w:hAnsi="Arial" w:cs="Arial"/>
          <w:b/>
          <w:bCs/>
        </w:rPr>
        <w:t xml:space="preserve">development of the </w:t>
      </w:r>
      <w:r w:rsidR="006D2F2D" w:rsidRPr="00153C69">
        <w:rPr>
          <w:rFonts w:ascii="Arial" w:hAnsi="Arial" w:cs="Arial"/>
          <w:b/>
          <w:bCs/>
        </w:rPr>
        <w:t xml:space="preserve">chosen </w:t>
      </w:r>
      <w:r w:rsidR="00A14675" w:rsidRPr="00153C69">
        <w:rPr>
          <w:rFonts w:ascii="Arial" w:hAnsi="Arial" w:cs="Arial"/>
          <w:b/>
          <w:bCs/>
        </w:rPr>
        <w:t xml:space="preserve">concept </w:t>
      </w:r>
    </w:p>
    <w:p w14:paraId="6393DEA5" w14:textId="3E3B22A0" w:rsidR="00153C69" w:rsidRPr="00153C69" w:rsidRDefault="00153C69" w:rsidP="00153C69">
      <w:pPr>
        <w:pStyle w:val="NormalWeb"/>
        <w:spacing w:line="360" w:lineRule="auto"/>
        <w:jc w:val="both"/>
        <w:rPr>
          <w:rFonts w:ascii="Arial" w:hAnsi="Arial" w:cs="Arial"/>
        </w:rPr>
      </w:pPr>
      <w:r w:rsidRPr="00153C69">
        <w:rPr>
          <w:rFonts w:ascii="Arial" w:hAnsi="Arial" w:cs="Arial"/>
        </w:rPr>
        <w:t xml:space="preserve">The </w:t>
      </w:r>
      <w:r w:rsidRPr="00153C69">
        <w:rPr>
          <w:rStyle w:val="whitespace-normal"/>
          <w:rFonts w:ascii="Arial" w:hAnsi="Arial" w:cs="Arial"/>
        </w:rPr>
        <w:t>Social Model of Disability</w:t>
      </w:r>
      <w:r w:rsidRPr="00153C69">
        <w:rPr>
          <w:rFonts w:ascii="Arial" w:hAnsi="Arial" w:cs="Arial"/>
        </w:rPr>
        <w:t xml:space="preserve"> emerged in the 1970s from activism led by disabled people, particularly through the </w:t>
      </w:r>
      <w:r w:rsidRPr="00153C69">
        <w:rPr>
          <w:rStyle w:val="whitespace-normal"/>
          <w:rFonts w:ascii="Arial" w:hAnsi="Arial" w:cs="Arial"/>
        </w:rPr>
        <w:t>Union of the Physically Impaired Against Segregation</w:t>
      </w:r>
      <w:r w:rsidRPr="00153C69">
        <w:rPr>
          <w:rFonts w:ascii="Arial" w:hAnsi="Arial" w:cs="Arial"/>
        </w:rPr>
        <w:t xml:space="preserve"> (UPIAS). This group rejected dominant medical interpretations of disability and argued that social exclusion—not impairment—creates disability. Early formulations were later developed academically by </w:t>
      </w:r>
      <w:r w:rsidRPr="00153C69">
        <w:rPr>
          <w:rStyle w:val="whitespace-normal"/>
          <w:rFonts w:ascii="Arial" w:hAnsi="Arial" w:cs="Arial"/>
        </w:rPr>
        <w:t>Michael Oliver</w:t>
      </w:r>
      <w:r w:rsidRPr="00153C69">
        <w:rPr>
          <w:rFonts w:ascii="Arial" w:hAnsi="Arial" w:cs="Arial"/>
        </w:rPr>
        <w:t>, who formalised the model and distinguished between impairment and disability (Oliver, 1990). This marked a major shift from individualised explanations toward a structural understanding of inequality.</w:t>
      </w:r>
    </w:p>
    <w:p w14:paraId="3AD1464B" w14:textId="77777777" w:rsidR="00153C69" w:rsidRPr="00153C69" w:rsidRDefault="00153C69" w:rsidP="00153C69">
      <w:pPr>
        <w:pStyle w:val="NormalWeb"/>
        <w:spacing w:line="360" w:lineRule="auto"/>
        <w:jc w:val="both"/>
        <w:rPr>
          <w:rFonts w:ascii="Arial" w:hAnsi="Arial" w:cs="Arial"/>
        </w:rPr>
      </w:pPr>
      <w:r w:rsidRPr="00153C69">
        <w:rPr>
          <w:rFonts w:ascii="Arial" w:hAnsi="Arial" w:cs="Arial"/>
        </w:rPr>
        <w:t xml:space="preserve">As the model developed through the 1980s and 1990s, it became central to disability studies and policy debates. It influenced legal and institutional reforms, including anti-discrimination legislation and accessibility standards. The model expanded beyond physical barriers to include attitudinal and systemic obstacles, shaping frameworks such as those promoted by the </w:t>
      </w:r>
      <w:r w:rsidRPr="00153C69">
        <w:rPr>
          <w:rStyle w:val="whitespace-normal"/>
          <w:rFonts w:ascii="Arial" w:hAnsi="Arial" w:cs="Arial"/>
        </w:rPr>
        <w:t>United Nations</w:t>
      </w:r>
      <w:r w:rsidRPr="00153C69">
        <w:rPr>
          <w:rFonts w:ascii="Arial" w:hAnsi="Arial" w:cs="Arial"/>
        </w:rPr>
        <w:t xml:space="preserve"> in disability rights conventions (Barnes, 2003). Its growth reflected broader social movements advocating equality and human rights.</w:t>
      </w:r>
    </w:p>
    <w:p w14:paraId="098289BC" w14:textId="77777777" w:rsidR="00153C69" w:rsidRPr="00153C69" w:rsidRDefault="00153C69" w:rsidP="00153C69">
      <w:pPr>
        <w:pStyle w:val="NormalWeb"/>
        <w:spacing w:line="360" w:lineRule="auto"/>
        <w:jc w:val="both"/>
        <w:rPr>
          <w:rFonts w:ascii="Arial" w:hAnsi="Arial" w:cs="Arial"/>
        </w:rPr>
      </w:pPr>
      <w:r w:rsidRPr="00153C69">
        <w:rPr>
          <w:rFonts w:ascii="Arial" w:hAnsi="Arial" w:cs="Arial"/>
        </w:rPr>
        <w:t xml:space="preserve">Despite its influence, the social model has faced significant critiques. Scholars such as </w:t>
      </w:r>
      <w:r w:rsidRPr="00153C69">
        <w:rPr>
          <w:rStyle w:val="whitespace-normal"/>
          <w:rFonts w:ascii="Arial" w:hAnsi="Arial" w:cs="Arial"/>
        </w:rPr>
        <w:t>Tom Shakespeare</w:t>
      </w:r>
      <w:r w:rsidRPr="00153C69">
        <w:rPr>
          <w:rFonts w:ascii="Arial" w:hAnsi="Arial" w:cs="Arial"/>
        </w:rPr>
        <w:t xml:space="preserve"> argue that it underplays the lived reality of impairment, including pain, illness, and medical needs (Shakespeare, 2006). Critics also suggest that the strict separation between impairment and disability is overly simplistic and does not fully capture complex individual experiences, particularly in cases of chronic illness or mental health conditions.</w:t>
      </w:r>
    </w:p>
    <w:p w14:paraId="6FEAA6A5" w14:textId="77777777" w:rsidR="00153C69" w:rsidRPr="00153C69" w:rsidRDefault="00153C69" w:rsidP="00153C69">
      <w:pPr>
        <w:pStyle w:val="NormalWeb"/>
        <w:spacing w:line="360" w:lineRule="auto"/>
        <w:jc w:val="both"/>
        <w:rPr>
          <w:rFonts w:ascii="Arial" w:hAnsi="Arial" w:cs="Arial"/>
        </w:rPr>
      </w:pPr>
      <w:r w:rsidRPr="00153C69">
        <w:rPr>
          <w:rFonts w:ascii="Arial" w:hAnsi="Arial" w:cs="Arial"/>
        </w:rPr>
        <w:t xml:space="preserve">In response, the model has evolved into more nuanced approaches, including biopsychosocial perspectives that integrate both social and medical dimensions. While implementation has improved accessibility and awareness, challenges remain, such as inconsistent policy enforcement and persistent social stigma (WHO, 2001). These </w:t>
      </w:r>
      <w:r w:rsidRPr="00153C69">
        <w:rPr>
          <w:rFonts w:ascii="Arial" w:hAnsi="Arial" w:cs="Arial"/>
        </w:rPr>
        <w:lastRenderedPageBreak/>
        <w:t>limitations highlight that, although transformative, the model requires adaptation to address diverse and intersectional experiences of disability.</w:t>
      </w:r>
    </w:p>
    <w:p w14:paraId="6D46818E" w14:textId="3B0CDC22" w:rsidR="006D2F2D" w:rsidRPr="00153C69" w:rsidRDefault="006D2F2D" w:rsidP="00153C69">
      <w:pPr>
        <w:spacing w:line="360" w:lineRule="auto"/>
        <w:jc w:val="both"/>
        <w:rPr>
          <w:rFonts w:ascii="Arial" w:hAnsi="Arial" w:cs="Arial"/>
          <w:b/>
          <w:bCs/>
          <w:szCs w:val="24"/>
        </w:rPr>
      </w:pPr>
      <w:r w:rsidRPr="00153C69">
        <w:rPr>
          <w:rFonts w:ascii="Arial" w:hAnsi="Arial" w:cs="Arial"/>
          <w:b/>
          <w:bCs/>
          <w:szCs w:val="24"/>
        </w:rPr>
        <w:t xml:space="preserve">Application of the </w:t>
      </w:r>
      <w:r w:rsidR="00A14675" w:rsidRPr="00153C69">
        <w:rPr>
          <w:rFonts w:ascii="Arial" w:hAnsi="Arial" w:cs="Arial"/>
          <w:b/>
          <w:bCs/>
          <w:szCs w:val="24"/>
        </w:rPr>
        <w:t>concept</w:t>
      </w:r>
      <w:r w:rsidRPr="00153C69">
        <w:rPr>
          <w:rFonts w:ascii="Arial" w:hAnsi="Arial" w:cs="Arial"/>
          <w:b/>
          <w:bCs/>
          <w:szCs w:val="24"/>
        </w:rPr>
        <w:t xml:space="preserve"> in practice</w:t>
      </w:r>
    </w:p>
    <w:p w14:paraId="4EAD412F" w14:textId="77777777" w:rsidR="00153C69" w:rsidRPr="00153C69" w:rsidRDefault="00153C69" w:rsidP="00153C69">
      <w:pPr>
        <w:pStyle w:val="NormalWeb"/>
        <w:spacing w:line="360" w:lineRule="auto"/>
        <w:jc w:val="both"/>
        <w:rPr>
          <w:rFonts w:ascii="Arial" w:hAnsi="Arial" w:cs="Arial"/>
        </w:rPr>
      </w:pPr>
      <w:r w:rsidRPr="00153C69">
        <w:rPr>
          <w:rFonts w:ascii="Arial" w:hAnsi="Arial" w:cs="Arial"/>
        </w:rPr>
        <w:t xml:space="preserve">The </w:t>
      </w:r>
      <w:r w:rsidRPr="00153C69">
        <w:rPr>
          <w:rStyle w:val="whitespace-normal"/>
          <w:rFonts w:ascii="Arial" w:hAnsi="Arial" w:cs="Arial"/>
        </w:rPr>
        <w:t>Social Model of Disability</w:t>
      </w:r>
      <w:r w:rsidRPr="00153C69">
        <w:rPr>
          <w:rFonts w:ascii="Arial" w:hAnsi="Arial" w:cs="Arial"/>
        </w:rPr>
        <w:t xml:space="preserve"> has significantly influenced health and social care by shifting focus from individual impairment to societal barriers. In practice, this has led to policies that prioritise accessibility, independence, and inclusion rather than institutionalisation or purely medical treatment (Oliver, 1990). Health and social care services increasingly aim to remove environmental and attitudinal obstacles that restrict participation.</w:t>
      </w:r>
    </w:p>
    <w:p w14:paraId="67AA93BE" w14:textId="77777777" w:rsidR="00153C69" w:rsidRPr="00153C69" w:rsidRDefault="00153C69" w:rsidP="00153C69">
      <w:pPr>
        <w:pStyle w:val="NormalWeb"/>
        <w:spacing w:line="360" w:lineRule="auto"/>
        <w:jc w:val="both"/>
        <w:rPr>
          <w:rFonts w:ascii="Arial" w:hAnsi="Arial" w:cs="Arial"/>
        </w:rPr>
      </w:pPr>
      <w:r w:rsidRPr="00153C69">
        <w:rPr>
          <w:rFonts w:ascii="Arial" w:hAnsi="Arial" w:cs="Arial"/>
        </w:rPr>
        <w:t xml:space="preserve">One major application is in disability rights legislation and policy frameworks influenced by organisations such as the </w:t>
      </w:r>
      <w:r w:rsidRPr="00153C69">
        <w:rPr>
          <w:rStyle w:val="whitespace-normal"/>
          <w:rFonts w:ascii="Arial" w:hAnsi="Arial" w:cs="Arial"/>
        </w:rPr>
        <w:t>United Nations</w:t>
      </w:r>
      <w:r w:rsidRPr="00153C69">
        <w:rPr>
          <w:rFonts w:ascii="Arial" w:hAnsi="Arial" w:cs="Arial"/>
        </w:rPr>
        <w:t>. The Convention on the Rights of Persons with Disabilities promotes equal access to healthcare, education, and employment, encouraging services to adopt inclusive and person-centred approaches (UN, 2006). This has reshaped care delivery to emphasise empowerment and autonomy.</w:t>
      </w:r>
    </w:p>
    <w:p w14:paraId="15F2E0E7" w14:textId="77777777" w:rsidR="00153C69" w:rsidRPr="00153C69" w:rsidRDefault="00153C69" w:rsidP="00153C69">
      <w:pPr>
        <w:pStyle w:val="NormalWeb"/>
        <w:spacing w:line="360" w:lineRule="auto"/>
        <w:jc w:val="both"/>
        <w:rPr>
          <w:rFonts w:ascii="Arial" w:hAnsi="Arial" w:cs="Arial"/>
        </w:rPr>
      </w:pPr>
      <w:r w:rsidRPr="00153C69">
        <w:rPr>
          <w:rFonts w:ascii="Arial" w:hAnsi="Arial" w:cs="Arial"/>
        </w:rPr>
        <w:t>In practice, the model is evident in person-centred care planning, where individuals are involved in decisions about their support needs. Social care services now emphasise independent living, community-based support, and accessible environments rather than segregated care settings (Barnes, 2003). Healthcare providers are also encouraged to address communication barriers and provide reasonable adjustments.</w:t>
      </w:r>
    </w:p>
    <w:p w14:paraId="21AAC195" w14:textId="77777777" w:rsidR="00153C69" w:rsidRPr="00153C69" w:rsidRDefault="00153C69" w:rsidP="00153C69">
      <w:pPr>
        <w:pStyle w:val="NormalWeb"/>
        <w:spacing w:line="360" w:lineRule="auto"/>
        <w:jc w:val="both"/>
        <w:rPr>
          <w:rFonts w:ascii="Arial" w:hAnsi="Arial" w:cs="Arial"/>
        </w:rPr>
      </w:pPr>
      <w:r w:rsidRPr="00153C69">
        <w:rPr>
          <w:rFonts w:ascii="Arial" w:hAnsi="Arial" w:cs="Arial"/>
        </w:rPr>
        <w:t>However, implementing the model has presented challenges. Health systems still rely heavily on the medical model, creating tension between treating impairment and addressing social barriers. Limited funding, inadequate training, and inconsistent policy application can restrict the effectiveness of inclusive practices (Shakespeare, 2006). These gaps can result in unequal access to services.</w:t>
      </w:r>
    </w:p>
    <w:p w14:paraId="2ED1256E" w14:textId="77777777" w:rsidR="00153C69" w:rsidRPr="00153C69" w:rsidRDefault="00153C69" w:rsidP="00153C69">
      <w:pPr>
        <w:pStyle w:val="NormalWeb"/>
        <w:spacing w:line="360" w:lineRule="auto"/>
        <w:jc w:val="both"/>
        <w:rPr>
          <w:rFonts w:ascii="Arial" w:hAnsi="Arial" w:cs="Arial"/>
        </w:rPr>
      </w:pPr>
      <w:r w:rsidRPr="00153C69">
        <w:rPr>
          <w:rFonts w:ascii="Arial" w:hAnsi="Arial" w:cs="Arial"/>
        </w:rPr>
        <w:t xml:space="preserve">Despite these challenges, the social model remains a guiding framework in modern care. Organisations like the </w:t>
      </w:r>
      <w:r w:rsidRPr="00153C69">
        <w:rPr>
          <w:rStyle w:val="whitespace-normal"/>
          <w:rFonts w:ascii="Arial" w:hAnsi="Arial" w:cs="Arial"/>
        </w:rPr>
        <w:t>World Health Organization</w:t>
      </w:r>
      <w:r w:rsidRPr="00153C69">
        <w:rPr>
          <w:rFonts w:ascii="Arial" w:hAnsi="Arial" w:cs="Arial"/>
        </w:rPr>
        <w:t xml:space="preserve"> promote integrated approaches that combine medical and social perspectives (WHO, 2001). While not </w:t>
      </w:r>
      <w:r w:rsidRPr="00153C69">
        <w:rPr>
          <w:rFonts w:ascii="Arial" w:hAnsi="Arial" w:cs="Arial"/>
        </w:rPr>
        <w:lastRenderedPageBreak/>
        <w:t>without limitations, the model continues to drive progress toward equitable and inclusive health and social care systems.</w:t>
      </w:r>
    </w:p>
    <w:p w14:paraId="72FFECFB" w14:textId="1B09A3F7" w:rsidR="006D2F2D" w:rsidRPr="00153C69" w:rsidRDefault="006D2F2D" w:rsidP="00153C69">
      <w:pPr>
        <w:spacing w:line="360" w:lineRule="auto"/>
        <w:jc w:val="both"/>
        <w:rPr>
          <w:rFonts w:ascii="Arial" w:hAnsi="Arial" w:cs="Arial"/>
          <w:b/>
          <w:bCs/>
          <w:szCs w:val="24"/>
        </w:rPr>
      </w:pPr>
      <w:r w:rsidRPr="00153C69">
        <w:rPr>
          <w:rFonts w:ascii="Arial" w:hAnsi="Arial" w:cs="Arial"/>
          <w:b/>
          <w:bCs/>
          <w:szCs w:val="24"/>
        </w:rPr>
        <w:t>Recommendations for</w:t>
      </w:r>
      <w:r w:rsidR="003E4ED4" w:rsidRPr="00153C69">
        <w:rPr>
          <w:rFonts w:ascii="Arial" w:hAnsi="Arial" w:cs="Arial"/>
          <w:b/>
          <w:bCs/>
          <w:szCs w:val="24"/>
        </w:rPr>
        <w:t xml:space="preserve"> policy</w:t>
      </w:r>
      <w:r w:rsidRPr="00153C69">
        <w:rPr>
          <w:rFonts w:ascii="Arial" w:hAnsi="Arial" w:cs="Arial"/>
          <w:b/>
          <w:bCs/>
          <w:szCs w:val="24"/>
        </w:rPr>
        <w:t xml:space="preserve"> and practice</w:t>
      </w:r>
    </w:p>
    <w:p w14:paraId="6042F33F" w14:textId="77777777" w:rsidR="00153C69" w:rsidRPr="00153C69" w:rsidRDefault="00153C69" w:rsidP="00153C69">
      <w:pPr>
        <w:pStyle w:val="NormalWeb"/>
        <w:spacing w:line="360" w:lineRule="auto"/>
        <w:jc w:val="both"/>
        <w:rPr>
          <w:rFonts w:ascii="Arial" w:hAnsi="Arial" w:cs="Arial"/>
        </w:rPr>
      </w:pPr>
      <w:r w:rsidRPr="00153C69">
        <w:rPr>
          <w:rFonts w:ascii="Arial" w:hAnsi="Arial" w:cs="Arial"/>
        </w:rPr>
        <w:t xml:space="preserve">To strengthen the application of the </w:t>
      </w:r>
      <w:r w:rsidRPr="00153C69">
        <w:rPr>
          <w:rStyle w:val="whitespace-normal"/>
          <w:rFonts w:ascii="Arial" w:hAnsi="Arial" w:cs="Arial"/>
        </w:rPr>
        <w:t>Social Model of Disability</w:t>
      </w:r>
      <w:r w:rsidRPr="00153C69">
        <w:rPr>
          <w:rFonts w:ascii="Arial" w:hAnsi="Arial" w:cs="Arial"/>
        </w:rPr>
        <w:t xml:space="preserve"> in health and social care, policy should prioritise consistent implementation of accessibility standards across all services. This includes ensuring physical environments, communication methods, and digital systems are inclusive and barrier-free. Governments and organisations should enforce existing legislation more effectively to reduce inequalities in service access (Oliver, 1990).</w:t>
      </w:r>
    </w:p>
    <w:p w14:paraId="037A9447" w14:textId="77777777" w:rsidR="00153C69" w:rsidRPr="00153C69" w:rsidRDefault="00153C69" w:rsidP="00153C69">
      <w:pPr>
        <w:pStyle w:val="NormalWeb"/>
        <w:spacing w:line="360" w:lineRule="auto"/>
        <w:jc w:val="both"/>
        <w:rPr>
          <w:rFonts w:ascii="Arial" w:hAnsi="Arial" w:cs="Arial"/>
        </w:rPr>
      </w:pPr>
      <w:r w:rsidRPr="00153C69">
        <w:rPr>
          <w:rFonts w:ascii="Arial" w:hAnsi="Arial" w:cs="Arial"/>
        </w:rPr>
        <w:t>A key recommendation is increased investment in workforce training to embed both the social model and person-centred care into everyday practice. Professionals should be equipped to recognise and challenge structural barriers while supporting individual needs. Continuous professional development and reflective practice can help reduce tokenistic approaches and improve care quality (Shakespeare, 2006).</w:t>
      </w:r>
    </w:p>
    <w:p w14:paraId="109719D9" w14:textId="77777777" w:rsidR="00153C69" w:rsidRPr="00153C69" w:rsidRDefault="00153C69" w:rsidP="00153C69">
      <w:pPr>
        <w:pStyle w:val="NormalWeb"/>
        <w:spacing w:line="360" w:lineRule="auto"/>
        <w:jc w:val="both"/>
        <w:rPr>
          <w:rFonts w:ascii="Arial" w:hAnsi="Arial" w:cs="Arial"/>
        </w:rPr>
      </w:pPr>
      <w:r w:rsidRPr="00153C69">
        <w:rPr>
          <w:rFonts w:ascii="Arial" w:hAnsi="Arial" w:cs="Arial"/>
        </w:rPr>
        <w:t xml:space="preserve">Collaboration between service users and providers should also be strengthened through co-production. Involving individuals in designing and evaluating services ensures that care systems reflect real needs and preferences. This aligns with rights-based approaches promoted by organisations such as the </w:t>
      </w:r>
      <w:r w:rsidRPr="00153C69">
        <w:rPr>
          <w:rStyle w:val="whitespace-normal"/>
          <w:rFonts w:ascii="Arial" w:hAnsi="Arial" w:cs="Arial"/>
        </w:rPr>
        <w:t>United Nations</w:t>
      </w:r>
      <w:r w:rsidRPr="00153C69">
        <w:rPr>
          <w:rFonts w:ascii="Arial" w:hAnsi="Arial" w:cs="Arial"/>
        </w:rPr>
        <w:t>, enhancing empowerment and autonomy in care delivery (UN, 2006).</w:t>
      </w:r>
    </w:p>
    <w:p w14:paraId="0FC75A33" w14:textId="77777777" w:rsidR="00153C69" w:rsidRPr="00153C69" w:rsidRDefault="00153C69" w:rsidP="00153C69">
      <w:pPr>
        <w:pStyle w:val="NormalWeb"/>
        <w:spacing w:line="360" w:lineRule="auto"/>
        <w:jc w:val="both"/>
        <w:rPr>
          <w:rFonts w:ascii="Arial" w:hAnsi="Arial" w:cs="Arial"/>
        </w:rPr>
      </w:pPr>
      <w:r w:rsidRPr="00153C69">
        <w:rPr>
          <w:rFonts w:ascii="Arial" w:hAnsi="Arial" w:cs="Arial"/>
        </w:rPr>
        <w:t xml:space="preserve">Finally, integrating social and medical perspectives is essential for holistic care. While the social model highlights structural barriers, combining it with frameworks from the </w:t>
      </w:r>
      <w:r w:rsidRPr="00153C69">
        <w:rPr>
          <w:rStyle w:val="whitespace-normal"/>
          <w:rFonts w:ascii="Arial" w:hAnsi="Arial" w:cs="Arial"/>
        </w:rPr>
        <w:t>World Health Organization</w:t>
      </w:r>
      <w:r w:rsidRPr="00153C69">
        <w:rPr>
          <w:rFonts w:ascii="Arial" w:hAnsi="Arial" w:cs="Arial"/>
        </w:rPr>
        <w:t xml:space="preserve"> can ensure that both environmental and health needs are addressed. This balanced approach can improve outcomes, reduce disparities, and support sustainable, inclusive health and social care systems (WHO, 2001).</w:t>
      </w:r>
    </w:p>
    <w:p w14:paraId="21817F57" w14:textId="77777777" w:rsidR="00153C69" w:rsidRPr="00153C69" w:rsidRDefault="00153C69" w:rsidP="00153C69">
      <w:pPr>
        <w:spacing w:line="360" w:lineRule="auto"/>
        <w:jc w:val="both"/>
        <w:rPr>
          <w:rFonts w:ascii="Arial" w:hAnsi="Arial" w:cs="Arial"/>
          <w:b/>
          <w:bCs/>
          <w:szCs w:val="24"/>
        </w:rPr>
      </w:pPr>
    </w:p>
    <w:p w14:paraId="72C17673" w14:textId="77777777" w:rsidR="00153C69" w:rsidRPr="00153C69" w:rsidRDefault="00153C69" w:rsidP="00153C69">
      <w:pPr>
        <w:spacing w:line="360" w:lineRule="auto"/>
        <w:jc w:val="both"/>
        <w:rPr>
          <w:rFonts w:ascii="Arial" w:hAnsi="Arial" w:cs="Arial"/>
          <w:b/>
          <w:bCs/>
          <w:szCs w:val="24"/>
        </w:rPr>
      </w:pPr>
    </w:p>
    <w:p w14:paraId="683E9796" w14:textId="77777777" w:rsidR="00153C69" w:rsidRPr="00153C69" w:rsidRDefault="00153C69" w:rsidP="00153C69">
      <w:pPr>
        <w:spacing w:line="360" w:lineRule="auto"/>
        <w:jc w:val="both"/>
        <w:rPr>
          <w:rFonts w:ascii="Arial" w:hAnsi="Arial" w:cs="Arial"/>
          <w:b/>
          <w:bCs/>
          <w:szCs w:val="24"/>
        </w:rPr>
      </w:pPr>
    </w:p>
    <w:p w14:paraId="667C354A" w14:textId="77777777" w:rsidR="00153C69" w:rsidRPr="00153C69" w:rsidRDefault="00153C69" w:rsidP="00153C69">
      <w:pPr>
        <w:spacing w:line="360" w:lineRule="auto"/>
        <w:jc w:val="both"/>
        <w:rPr>
          <w:rFonts w:ascii="Arial" w:hAnsi="Arial" w:cs="Arial"/>
          <w:b/>
          <w:bCs/>
          <w:szCs w:val="24"/>
        </w:rPr>
      </w:pPr>
    </w:p>
    <w:p w14:paraId="5A4D465C" w14:textId="5E7C6D5B" w:rsidR="006524ED" w:rsidRPr="00153C69" w:rsidRDefault="006D2F2D" w:rsidP="00153C69">
      <w:pPr>
        <w:spacing w:line="360" w:lineRule="auto"/>
        <w:jc w:val="both"/>
        <w:rPr>
          <w:rFonts w:ascii="Arial" w:hAnsi="Arial" w:cs="Arial"/>
          <w:b/>
          <w:bCs/>
          <w:szCs w:val="24"/>
        </w:rPr>
      </w:pPr>
      <w:r w:rsidRPr="00153C69">
        <w:rPr>
          <w:rFonts w:ascii="Arial" w:hAnsi="Arial" w:cs="Arial"/>
          <w:b/>
          <w:bCs/>
          <w:szCs w:val="24"/>
        </w:rPr>
        <w:lastRenderedPageBreak/>
        <w:t>Conclusion</w:t>
      </w:r>
    </w:p>
    <w:p w14:paraId="7850FFDB" w14:textId="77777777" w:rsidR="00153C69" w:rsidRPr="00153C69" w:rsidRDefault="00153C69" w:rsidP="00153C69">
      <w:pPr>
        <w:pStyle w:val="NormalWeb"/>
        <w:spacing w:line="360" w:lineRule="auto"/>
        <w:jc w:val="both"/>
        <w:rPr>
          <w:rFonts w:ascii="Arial" w:hAnsi="Arial" w:cs="Arial"/>
        </w:rPr>
      </w:pPr>
      <w:r w:rsidRPr="00153C69">
        <w:rPr>
          <w:rFonts w:ascii="Arial" w:hAnsi="Arial" w:cs="Arial"/>
        </w:rPr>
        <w:t xml:space="preserve">The </w:t>
      </w:r>
      <w:r w:rsidRPr="00153C69">
        <w:rPr>
          <w:rStyle w:val="whitespace-normal"/>
          <w:rFonts w:ascii="Arial" w:hAnsi="Arial" w:cs="Arial"/>
        </w:rPr>
        <w:t>Social Model of Disability</w:t>
      </w:r>
      <w:r w:rsidRPr="00153C69">
        <w:rPr>
          <w:rFonts w:ascii="Arial" w:hAnsi="Arial" w:cs="Arial"/>
        </w:rPr>
        <w:t xml:space="preserve"> and person-centred care emphasise dignity, inclusion, and removing societal barriers. Both frameworks shift focus from individual deficits to empowering individuals and improving accessibility within health and social care systems (Oliver, 1990).</w:t>
      </w:r>
    </w:p>
    <w:p w14:paraId="567467CC" w14:textId="77777777" w:rsidR="00153C69" w:rsidRPr="00153C69" w:rsidRDefault="00153C69" w:rsidP="00153C69">
      <w:pPr>
        <w:pStyle w:val="NormalWeb"/>
        <w:spacing w:line="360" w:lineRule="auto"/>
        <w:jc w:val="both"/>
        <w:rPr>
          <w:rFonts w:ascii="Arial" w:hAnsi="Arial" w:cs="Arial"/>
        </w:rPr>
      </w:pPr>
      <w:r w:rsidRPr="00153C69">
        <w:rPr>
          <w:rFonts w:ascii="Arial" w:hAnsi="Arial" w:cs="Arial"/>
        </w:rPr>
        <w:t xml:space="preserve">Despite challenges in implementation, these approaches remain essential for promoting equitable, holistic, and rights-based care, supported by ongoing policy development and professional practice improvements </w:t>
      </w:r>
    </w:p>
    <w:p w14:paraId="6191299C" w14:textId="77777777" w:rsidR="006524ED" w:rsidRPr="00153C69" w:rsidRDefault="006524ED" w:rsidP="00153C69">
      <w:pPr>
        <w:pStyle w:val="ListParagraph"/>
        <w:spacing w:line="360" w:lineRule="auto"/>
        <w:ind w:left="0"/>
        <w:jc w:val="both"/>
        <w:rPr>
          <w:rFonts w:ascii="Arial" w:hAnsi="Arial" w:cs="Arial"/>
          <w:szCs w:val="24"/>
        </w:rPr>
      </w:pPr>
    </w:p>
    <w:p w14:paraId="3C5AC4C5" w14:textId="77777777" w:rsidR="003E4ED4" w:rsidRPr="00153C69" w:rsidRDefault="003E4ED4" w:rsidP="00153C69">
      <w:pPr>
        <w:spacing w:line="360" w:lineRule="auto"/>
        <w:jc w:val="both"/>
        <w:rPr>
          <w:rFonts w:ascii="Arial" w:hAnsi="Arial" w:cs="Arial"/>
          <w:b/>
          <w:bCs/>
          <w:szCs w:val="24"/>
        </w:rPr>
      </w:pPr>
    </w:p>
    <w:p w14:paraId="01FBCF57" w14:textId="77777777" w:rsidR="00153C69" w:rsidRPr="00153C69" w:rsidRDefault="00153C69" w:rsidP="00153C69">
      <w:pPr>
        <w:spacing w:line="360" w:lineRule="auto"/>
        <w:jc w:val="both"/>
        <w:rPr>
          <w:rFonts w:ascii="Arial" w:hAnsi="Arial" w:cs="Arial"/>
          <w:b/>
          <w:bCs/>
          <w:szCs w:val="24"/>
        </w:rPr>
      </w:pPr>
    </w:p>
    <w:p w14:paraId="2DF47C50" w14:textId="77777777" w:rsidR="00153C69" w:rsidRPr="00153C69" w:rsidRDefault="00153C69" w:rsidP="00153C69">
      <w:pPr>
        <w:spacing w:line="360" w:lineRule="auto"/>
        <w:jc w:val="both"/>
        <w:rPr>
          <w:rFonts w:ascii="Arial" w:hAnsi="Arial" w:cs="Arial"/>
          <w:b/>
          <w:bCs/>
          <w:szCs w:val="24"/>
        </w:rPr>
      </w:pPr>
    </w:p>
    <w:p w14:paraId="62A1B056" w14:textId="77777777" w:rsidR="003E4ED4" w:rsidRPr="00153C69" w:rsidRDefault="003E4ED4" w:rsidP="00153C69">
      <w:pPr>
        <w:spacing w:line="360" w:lineRule="auto"/>
        <w:jc w:val="both"/>
        <w:rPr>
          <w:rFonts w:ascii="Arial" w:hAnsi="Arial" w:cs="Arial"/>
          <w:b/>
          <w:bCs/>
          <w:szCs w:val="24"/>
        </w:rPr>
      </w:pPr>
    </w:p>
    <w:p w14:paraId="5B855950" w14:textId="77777777" w:rsidR="003E4ED4" w:rsidRPr="00153C69" w:rsidRDefault="003E4ED4" w:rsidP="00153C69">
      <w:pPr>
        <w:spacing w:line="360" w:lineRule="auto"/>
        <w:jc w:val="both"/>
        <w:rPr>
          <w:rFonts w:ascii="Arial" w:hAnsi="Arial" w:cs="Arial"/>
          <w:b/>
          <w:bCs/>
          <w:szCs w:val="24"/>
        </w:rPr>
      </w:pPr>
    </w:p>
    <w:p w14:paraId="385B6D8B" w14:textId="77777777" w:rsidR="00153C69" w:rsidRPr="00153C69" w:rsidRDefault="00153C69" w:rsidP="00153C69">
      <w:pPr>
        <w:spacing w:line="360" w:lineRule="auto"/>
        <w:jc w:val="both"/>
        <w:rPr>
          <w:rFonts w:ascii="Arial" w:hAnsi="Arial" w:cs="Arial"/>
          <w:b/>
          <w:bCs/>
          <w:szCs w:val="24"/>
        </w:rPr>
      </w:pPr>
    </w:p>
    <w:p w14:paraId="079109BF" w14:textId="77777777" w:rsidR="00153C69" w:rsidRPr="00153C69" w:rsidRDefault="00153C69" w:rsidP="00153C69">
      <w:pPr>
        <w:spacing w:line="360" w:lineRule="auto"/>
        <w:jc w:val="both"/>
        <w:rPr>
          <w:rFonts w:ascii="Arial" w:hAnsi="Arial" w:cs="Arial"/>
          <w:b/>
          <w:bCs/>
          <w:szCs w:val="24"/>
        </w:rPr>
      </w:pPr>
    </w:p>
    <w:p w14:paraId="57C200DE" w14:textId="77777777" w:rsidR="00153C69" w:rsidRPr="00153C69" w:rsidRDefault="00153C69" w:rsidP="00153C69">
      <w:pPr>
        <w:spacing w:line="360" w:lineRule="auto"/>
        <w:jc w:val="both"/>
        <w:rPr>
          <w:rFonts w:ascii="Arial" w:hAnsi="Arial" w:cs="Arial"/>
          <w:b/>
          <w:bCs/>
          <w:szCs w:val="24"/>
        </w:rPr>
      </w:pPr>
    </w:p>
    <w:p w14:paraId="78274ABB" w14:textId="77777777" w:rsidR="00153C69" w:rsidRPr="00153C69" w:rsidRDefault="00153C69" w:rsidP="00153C69">
      <w:pPr>
        <w:spacing w:line="360" w:lineRule="auto"/>
        <w:jc w:val="both"/>
        <w:rPr>
          <w:rFonts w:ascii="Arial" w:hAnsi="Arial" w:cs="Arial"/>
          <w:b/>
          <w:bCs/>
          <w:szCs w:val="24"/>
        </w:rPr>
      </w:pPr>
    </w:p>
    <w:p w14:paraId="1B503B62" w14:textId="77777777" w:rsidR="00153C69" w:rsidRPr="00153C69" w:rsidRDefault="00153C69" w:rsidP="00153C69">
      <w:pPr>
        <w:spacing w:line="360" w:lineRule="auto"/>
        <w:jc w:val="both"/>
        <w:rPr>
          <w:rFonts w:ascii="Arial" w:hAnsi="Arial" w:cs="Arial"/>
          <w:b/>
          <w:bCs/>
          <w:szCs w:val="24"/>
        </w:rPr>
      </w:pPr>
    </w:p>
    <w:p w14:paraId="3841EF6E" w14:textId="77777777" w:rsidR="00153C69" w:rsidRPr="00153C69" w:rsidRDefault="00153C69" w:rsidP="00153C69">
      <w:pPr>
        <w:spacing w:line="360" w:lineRule="auto"/>
        <w:jc w:val="both"/>
        <w:rPr>
          <w:rFonts w:ascii="Arial" w:hAnsi="Arial" w:cs="Arial"/>
          <w:b/>
          <w:bCs/>
          <w:szCs w:val="24"/>
        </w:rPr>
      </w:pPr>
    </w:p>
    <w:p w14:paraId="7661B7E8" w14:textId="77777777" w:rsidR="00153C69" w:rsidRPr="00153C69" w:rsidRDefault="00153C69" w:rsidP="00153C69">
      <w:pPr>
        <w:spacing w:line="360" w:lineRule="auto"/>
        <w:jc w:val="both"/>
        <w:rPr>
          <w:rFonts w:ascii="Arial" w:hAnsi="Arial" w:cs="Arial"/>
          <w:b/>
          <w:bCs/>
          <w:szCs w:val="24"/>
        </w:rPr>
      </w:pPr>
    </w:p>
    <w:p w14:paraId="2EB0B479" w14:textId="77777777" w:rsidR="00153C69" w:rsidRPr="00153C69" w:rsidRDefault="00153C69" w:rsidP="00153C69">
      <w:pPr>
        <w:spacing w:line="360" w:lineRule="auto"/>
        <w:jc w:val="both"/>
        <w:rPr>
          <w:rFonts w:ascii="Arial" w:hAnsi="Arial" w:cs="Arial"/>
          <w:b/>
          <w:bCs/>
          <w:szCs w:val="24"/>
        </w:rPr>
      </w:pPr>
    </w:p>
    <w:p w14:paraId="761F5FFF" w14:textId="77777777" w:rsidR="00153C69" w:rsidRPr="00153C69" w:rsidRDefault="00153C69" w:rsidP="00153C69">
      <w:pPr>
        <w:spacing w:line="360" w:lineRule="auto"/>
        <w:jc w:val="both"/>
        <w:rPr>
          <w:rFonts w:ascii="Arial" w:hAnsi="Arial" w:cs="Arial"/>
          <w:b/>
          <w:bCs/>
          <w:sz w:val="23"/>
          <w:szCs w:val="23"/>
        </w:rPr>
      </w:pPr>
    </w:p>
    <w:p w14:paraId="5F316331" w14:textId="77777777" w:rsidR="00153C69" w:rsidRPr="00153C69" w:rsidRDefault="00153C69" w:rsidP="00153C69">
      <w:pPr>
        <w:spacing w:line="360" w:lineRule="auto"/>
        <w:jc w:val="both"/>
        <w:rPr>
          <w:rFonts w:ascii="Arial" w:hAnsi="Arial" w:cs="Arial"/>
          <w:b/>
          <w:bCs/>
          <w:sz w:val="23"/>
          <w:szCs w:val="23"/>
        </w:rPr>
      </w:pPr>
    </w:p>
    <w:p w14:paraId="5F440ADA" w14:textId="77777777" w:rsidR="00153C69" w:rsidRDefault="00153C69" w:rsidP="00153C69">
      <w:pPr>
        <w:spacing w:line="360" w:lineRule="auto"/>
        <w:jc w:val="both"/>
        <w:rPr>
          <w:rFonts w:ascii="Arial" w:hAnsi="Arial" w:cs="Arial"/>
          <w:b/>
          <w:bCs/>
          <w:sz w:val="28"/>
          <w:szCs w:val="28"/>
        </w:rPr>
      </w:pPr>
    </w:p>
    <w:p w14:paraId="5A789721" w14:textId="279A232C" w:rsidR="006D2F2D" w:rsidRPr="00153C69" w:rsidRDefault="006D2F2D" w:rsidP="00153C69">
      <w:pPr>
        <w:spacing w:line="360" w:lineRule="auto"/>
        <w:jc w:val="both"/>
        <w:rPr>
          <w:rFonts w:ascii="Arial" w:hAnsi="Arial" w:cs="Arial"/>
          <w:b/>
          <w:bCs/>
          <w:sz w:val="28"/>
          <w:szCs w:val="28"/>
        </w:rPr>
      </w:pPr>
      <w:r w:rsidRPr="00153C69">
        <w:rPr>
          <w:rFonts w:ascii="Arial" w:hAnsi="Arial" w:cs="Arial"/>
          <w:b/>
          <w:bCs/>
          <w:sz w:val="28"/>
          <w:szCs w:val="28"/>
        </w:rPr>
        <w:lastRenderedPageBreak/>
        <w:t>Reference</w:t>
      </w:r>
      <w:r w:rsidR="003E4ED4" w:rsidRPr="00153C69">
        <w:rPr>
          <w:rFonts w:ascii="Arial" w:hAnsi="Arial" w:cs="Arial"/>
          <w:b/>
          <w:bCs/>
          <w:sz w:val="28"/>
          <w:szCs w:val="28"/>
        </w:rPr>
        <w:t>s</w:t>
      </w:r>
    </w:p>
    <w:p w14:paraId="3D523DF7" w14:textId="77777777" w:rsidR="00153C69" w:rsidRPr="00153C69" w:rsidRDefault="00153C69" w:rsidP="00153C69">
      <w:pPr>
        <w:pStyle w:val="NormalWeb"/>
        <w:numPr>
          <w:ilvl w:val="0"/>
          <w:numId w:val="5"/>
        </w:numPr>
        <w:spacing w:line="360" w:lineRule="auto"/>
        <w:jc w:val="both"/>
        <w:rPr>
          <w:rFonts w:ascii="Arial" w:hAnsi="Arial" w:cs="Arial"/>
        </w:rPr>
      </w:pPr>
      <w:r w:rsidRPr="00153C69">
        <w:rPr>
          <w:rFonts w:ascii="Arial" w:hAnsi="Arial" w:cs="Arial"/>
        </w:rPr>
        <w:t xml:space="preserve">Barnes, C. (2003) </w:t>
      </w:r>
      <w:r w:rsidRPr="00153C69">
        <w:rPr>
          <w:rStyle w:val="Emphasis"/>
          <w:rFonts w:ascii="Arial" w:hAnsi="Arial" w:cs="Arial"/>
        </w:rPr>
        <w:t>Disability</w:t>
      </w:r>
      <w:r w:rsidRPr="00153C69">
        <w:rPr>
          <w:rFonts w:ascii="Arial" w:hAnsi="Arial" w:cs="Arial"/>
        </w:rPr>
        <w:t>. Cambridge: Polity Press.</w:t>
      </w:r>
    </w:p>
    <w:p w14:paraId="172000E1" w14:textId="77777777" w:rsidR="00153C69" w:rsidRPr="00153C69" w:rsidRDefault="00153C69" w:rsidP="00153C69">
      <w:pPr>
        <w:pStyle w:val="NormalWeb"/>
        <w:numPr>
          <w:ilvl w:val="0"/>
          <w:numId w:val="5"/>
        </w:numPr>
        <w:spacing w:line="360" w:lineRule="auto"/>
        <w:jc w:val="both"/>
        <w:rPr>
          <w:rFonts w:ascii="Arial" w:hAnsi="Arial" w:cs="Arial"/>
        </w:rPr>
      </w:pPr>
      <w:r w:rsidRPr="00153C69">
        <w:rPr>
          <w:rFonts w:ascii="Arial" w:hAnsi="Arial" w:cs="Arial"/>
        </w:rPr>
        <w:t xml:space="preserve">Bergman, A. et al. (2026) ‘Older persons’ lived experiences of being playful in nursing home settings – a phenomenological reflective lifeworld research study’, </w:t>
      </w:r>
      <w:r w:rsidRPr="00153C69">
        <w:rPr>
          <w:rStyle w:val="Emphasis"/>
          <w:rFonts w:ascii="Arial" w:hAnsi="Arial" w:cs="Arial"/>
        </w:rPr>
        <w:t>International Journal of Qualitative Studies on Health and Well-being</w:t>
      </w:r>
      <w:r w:rsidRPr="00153C69">
        <w:rPr>
          <w:rFonts w:ascii="Arial" w:hAnsi="Arial" w:cs="Arial"/>
        </w:rPr>
        <w:t xml:space="preserve">, 21(1), p. 2645255. Available at: </w:t>
      </w:r>
      <w:hyperlink r:id="rId10" w:tgtFrame="_new" w:history="1">
        <w:r w:rsidRPr="00153C69">
          <w:rPr>
            <w:rStyle w:val="Hyperlink"/>
            <w:rFonts w:ascii="Arial" w:hAnsi="Arial" w:cs="Arial"/>
          </w:rPr>
          <w:t>https://doi.org/10.1080/17482631.2026.2645255</w:t>
        </w:r>
      </w:hyperlink>
    </w:p>
    <w:p w14:paraId="41CE6A8A" w14:textId="77777777" w:rsidR="00153C69" w:rsidRPr="00153C69" w:rsidRDefault="00153C69" w:rsidP="00153C69">
      <w:pPr>
        <w:pStyle w:val="NormalWeb"/>
        <w:numPr>
          <w:ilvl w:val="0"/>
          <w:numId w:val="5"/>
        </w:numPr>
        <w:spacing w:line="360" w:lineRule="auto"/>
        <w:jc w:val="both"/>
        <w:rPr>
          <w:rFonts w:ascii="Arial" w:hAnsi="Arial" w:cs="Arial"/>
        </w:rPr>
      </w:pPr>
      <w:r w:rsidRPr="00153C69">
        <w:rPr>
          <w:rFonts w:ascii="Arial" w:hAnsi="Arial" w:cs="Arial"/>
        </w:rPr>
        <w:t xml:space="preserve">Bhatti, Y. (2026) </w:t>
      </w:r>
      <w:r w:rsidRPr="00153C69">
        <w:rPr>
          <w:rStyle w:val="Emphasis"/>
          <w:rFonts w:ascii="Arial" w:hAnsi="Arial" w:cs="Arial"/>
        </w:rPr>
        <w:t>The Oxford handbook of healthcare innovation</w:t>
      </w:r>
      <w:r w:rsidRPr="00153C69">
        <w:rPr>
          <w:rFonts w:ascii="Arial" w:hAnsi="Arial" w:cs="Arial"/>
        </w:rPr>
        <w:t xml:space="preserve">. 1st </w:t>
      </w:r>
      <w:proofErr w:type="spellStart"/>
      <w:r w:rsidRPr="00153C69">
        <w:rPr>
          <w:rFonts w:ascii="Arial" w:hAnsi="Arial" w:cs="Arial"/>
        </w:rPr>
        <w:t>edn</w:t>
      </w:r>
      <w:proofErr w:type="spellEnd"/>
      <w:r w:rsidRPr="00153C69">
        <w:rPr>
          <w:rFonts w:ascii="Arial" w:hAnsi="Arial" w:cs="Arial"/>
        </w:rPr>
        <w:t>. Oxford: Oxford University Press.</w:t>
      </w:r>
    </w:p>
    <w:p w14:paraId="26DA0FD1" w14:textId="77777777" w:rsidR="00153C69" w:rsidRPr="00153C69" w:rsidRDefault="00153C69" w:rsidP="00153C69">
      <w:pPr>
        <w:pStyle w:val="NormalWeb"/>
        <w:numPr>
          <w:ilvl w:val="0"/>
          <w:numId w:val="5"/>
        </w:numPr>
        <w:spacing w:line="360" w:lineRule="auto"/>
        <w:jc w:val="both"/>
        <w:rPr>
          <w:rFonts w:ascii="Arial" w:hAnsi="Arial" w:cs="Arial"/>
        </w:rPr>
      </w:pPr>
      <w:r w:rsidRPr="00153C69">
        <w:rPr>
          <w:rFonts w:ascii="Arial" w:hAnsi="Arial" w:cs="Arial"/>
        </w:rPr>
        <w:t xml:space="preserve">Bishop, G.M. et al. (2026) ‘Incorporating lived experience into public health data science to improve contextualization and understanding of health inequalities for people with disability’, </w:t>
      </w:r>
      <w:r w:rsidRPr="00153C69">
        <w:rPr>
          <w:rStyle w:val="Emphasis"/>
          <w:rFonts w:ascii="Arial" w:hAnsi="Arial" w:cs="Arial"/>
        </w:rPr>
        <w:t>Journal of Health Equity</w:t>
      </w:r>
      <w:r w:rsidRPr="00153C69">
        <w:rPr>
          <w:rFonts w:ascii="Arial" w:hAnsi="Arial" w:cs="Arial"/>
        </w:rPr>
        <w:t xml:space="preserve">, 3(1). Available at: </w:t>
      </w:r>
      <w:hyperlink r:id="rId11" w:tgtFrame="_new" w:history="1">
        <w:r w:rsidRPr="00153C69">
          <w:rPr>
            <w:rStyle w:val="Hyperlink"/>
            <w:rFonts w:ascii="Arial" w:hAnsi="Arial" w:cs="Arial"/>
          </w:rPr>
          <w:t>https://doi.org/10.1080/29944694.2026.2626172</w:t>
        </w:r>
      </w:hyperlink>
    </w:p>
    <w:p w14:paraId="169D9D0B" w14:textId="77777777" w:rsidR="00153C69" w:rsidRPr="00153C69" w:rsidRDefault="00153C69" w:rsidP="00153C69">
      <w:pPr>
        <w:pStyle w:val="NormalWeb"/>
        <w:numPr>
          <w:ilvl w:val="0"/>
          <w:numId w:val="5"/>
        </w:numPr>
        <w:spacing w:line="360" w:lineRule="auto"/>
        <w:jc w:val="both"/>
        <w:rPr>
          <w:rFonts w:ascii="Arial" w:hAnsi="Arial" w:cs="Arial"/>
        </w:rPr>
      </w:pPr>
      <w:proofErr w:type="spellStart"/>
      <w:r w:rsidRPr="00153C69">
        <w:rPr>
          <w:rFonts w:ascii="Arial" w:hAnsi="Arial" w:cs="Arial"/>
        </w:rPr>
        <w:t>Chottin</w:t>
      </w:r>
      <w:proofErr w:type="spellEnd"/>
      <w:r w:rsidRPr="00153C69">
        <w:rPr>
          <w:rFonts w:ascii="Arial" w:hAnsi="Arial" w:cs="Arial"/>
        </w:rPr>
        <w:t xml:space="preserve">, M. and Doria, C. (2026) </w:t>
      </w:r>
      <w:r w:rsidRPr="00153C69">
        <w:rPr>
          <w:rStyle w:val="Emphasis"/>
          <w:rFonts w:ascii="Arial" w:hAnsi="Arial" w:cs="Arial"/>
        </w:rPr>
        <w:t xml:space="preserve">Handicap, </w:t>
      </w:r>
      <w:proofErr w:type="spellStart"/>
      <w:r w:rsidRPr="00153C69">
        <w:rPr>
          <w:rStyle w:val="Emphasis"/>
          <w:rFonts w:ascii="Arial" w:hAnsi="Arial" w:cs="Arial"/>
        </w:rPr>
        <w:t>déficience</w:t>
      </w:r>
      <w:proofErr w:type="spellEnd"/>
      <w:r w:rsidRPr="00153C69">
        <w:rPr>
          <w:rStyle w:val="Emphasis"/>
          <w:rFonts w:ascii="Arial" w:hAnsi="Arial" w:cs="Arial"/>
        </w:rPr>
        <w:t xml:space="preserve">, </w:t>
      </w:r>
      <w:proofErr w:type="spellStart"/>
      <w:r w:rsidRPr="00153C69">
        <w:rPr>
          <w:rStyle w:val="Emphasis"/>
          <w:rFonts w:ascii="Arial" w:hAnsi="Arial" w:cs="Arial"/>
        </w:rPr>
        <w:t>différence</w:t>
      </w:r>
      <w:proofErr w:type="spellEnd"/>
      <w:r w:rsidRPr="00153C69">
        <w:rPr>
          <w:rStyle w:val="Emphasis"/>
          <w:rFonts w:ascii="Arial" w:hAnsi="Arial" w:cs="Arial"/>
        </w:rPr>
        <w:t xml:space="preserve">: </w:t>
      </w:r>
      <w:proofErr w:type="spellStart"/>
      <w:r w:rsidRPr="00153C69">
        <w:rPr>
          <w:rStyle w:val="Emphasis"/>
          <w:rFonts w:ascii="Arial" w:hAnsi="Arial" w:cs="Arial"/>
        </w:rPr>
        <w:t>une</w:t>
      </w:r>
      <w:proofErr w:type="spellEnd"/>
      <w:r w:rsidRPr="00153C69">
        <w:rPr>
          <w:rStyle w:val="Emphasis"/>
          <w:rFonts w:ascii="Arial" w:hAnsi="Arial" w:cs="Arial"/>
        </w:rPr>
        <w:t xml:space="preserve"> introduction aux disability studies</w:t>
      </w:r>
      <w:r w:rsidRPr="00153C69">
        <w:rPr>
          <w:rFonts w:ascii="Arial" w:hAnsi="Arial" w:cs="Arial"/>
        </w:rPr>
        <w:t>. Lyon: ENS Éditions.</w:t>
      </w:r>
    </w:p>
    <w:p w14:paraId="379E79DA" w14:textId="77777777" w:rsidR="00153C69" w:rsidRPr="00153C69" w:rsidRDefault="00153C69" w:rsidP="00153C69">
      <w:pPr>
        <w:pStyle w:val="NormalWeb"/>
        <w:numPr>
          <w:ilvl w:val="0"/>
          <w:numId w:val="5"/>
        </w:numPr>
        <w:spacing w:line="360" w:lineRule="auto"/>
        <w:jc w:val="both"/>
        <w:rPr>
          <w:rFonts w:ascii="Arial" w:hAnsi="Arial" w:cs="Arial"/>
        </w:rPr>
      </w:pPr>
      <w:r w:rsidRPr="00153C69">
        <w:rPr>
          <w:rFonts w:ascii="Arial" w:hAnsi="Arial" w:cs="Arial"/>
        </w:rPr>
        <w:t xml:space="preserve">Gardner, R.M. et al. (2025) </w:t>
      </w:r>
      <w:r w:rsidRPr="00153C69">
        <w:rPr>
          <w:rStyle w:val="Emphasis"/>
          <w:rFonts w:ascii="Arial" w:hAnsi="Arial" w:cs="Arial"/>
        </w:rPr>
        <w:t xml:space="preserve">Leadership and management practices in human services organizations: </w:t>
      </w:r>
      <w:proofErr w:type="spellStart"/>
      <w:r w:rsidRPr="00153C69">
        <w:rPr>
          <w:rStyle w:val="Emphasis"/>
          <w:rFonts w:ascii="Arial" w:hAnsi="Arial" w:cs="Arial"/>
        </w:rPr>
        <w:t>EnvisionSMART</w:t>
      </w:r>
      <w:proofErr w:type="spellEnd"/>
      <w:r w:rsidRPr="00153C69">
        <w:rPr>
          <w:rStyle w:val="Emphasis"/>
          <w:rFonts w:ascii="Arial" w:hAnsi="Arial" w:cs="Arial"/>
        </w:rPr>
        <w:t xml:space="preserve">™: a </w:t>
      </w:r>
      <w:proofErr w:type="spellStart"/>
      <w:r w:rsidRPr="00153C69">
        <w:rPr>
          <w:rStyle w:val="Emphasis"/>
          <w:rFonts w:ascii="Arial" w:hAnsi="Arial" w:cs="Arial"/>
        </w:rPr>
        <w:t>Melmark</w:t>
      </w:r>
      <w:proofErr w:type="spellEnd"/>
      <w:r w:rsidRPr="00153C69">
        <w:rPr>
          <w:rStyle w:val="Emphasis"/>
          <w:rFonts w:ascii="Arial" w:hAnsi="Arial" w:cs="Arial"/>
        </w:rPr>
        <w:t xml:space="preserve"> model of administration and operation</w:t>
      </w:r>
      <w:r w:rsidRPr="00153C69">
        <w:rPr>
          <w:rFonts w:ascii="Arial" w:hAnsi="Arial" w:cs="Arial"/>
        </w:rPr>
        <w:t xml:space="preserve">. 1st </w:t>
      </w:r>
      <w:proofErr w:type="spellStart"/>
      <w:r w:rsidRPr="00153C69">
        <w:rPr>
          <w:rFonts w:ascii="Arial" w:hAnsi="Arial" w:cs="Arial"/>
        </w:rPr>
        <w:t>edn</w:t>
      </w:r>
      <w:proofErr w:type="spellEnd"/>
      <w:r w:rsidRPr="00153C69">
        <w:rPr>
          <w:rFonts w:ascii="Arial" w:hAnsi="Arial" w:cs="Arial"/>
        </w:rPr>
        <w:t>. Amsterdam: Elsevier.</w:t>
      </w:r>
    </w:p>
    <w:p w14:paraId="55B56547" w14:textId="77777777" w:rsidR="00153C69" w:rsidRPr="00153C69" w:rsidRDefault="00153C69" w:rsidP="00153C69">
      <w:pPr>
        <w:pStyle w:val="NormalWeb"/>
        <w:numPr>
          <w:ilvl w:val="0"/>
          <w:numId w:val="5"/>
        </w:numPr>
        <w:spacing w:line="360" w:lineRule="auto"/>
        <w:jc w:val="both"/>
        <w:rPr>
          <w:rFonts w:ascii="Arial" w:hAnsi="Arial" w:cs="Arial"/>
        </w:rPr>
      </w:pPr>
      <w:proofErr w:type="spellStart"/>
      <w:r w:rsidRPr="00153C69">
        <w:rPr>
          <w:rFonts w:ascii="Arial" w:hAnsi="Arial" w:cs="Arial"/>
        </w:rPr>
        <w:t>Gharaibeh</w:t>
      </w:r>
      <w:proofErr w:type="spellEnd"/>
      <w:r w:rsidRPr="00153C69">
        <w:rPr>
          <w:rFonts w:ascii="Arial" w:hAnsi="Arial" w:cs="Arial"/>
        </w:rPr>
        <w:t xml:space="preserve">, F.A. et al. (2025) </w:t>
      </w:r>
      <w:r w:rsidRPr="00153C69">
        <w:rPr>
          <w:rStyle w:val="Emphasis"/>
          <w:rFonts w:ascii="Arial" w:hAnsi="Arial" w:cs="Arial"/>
        </w:rPr>
        <w:t>Sustainability, AI and innovation: proceedings of the Applied Research in Humanities &amp; Social Sciences (ARHSS 2023)</w:t>
      </w:r>
      <w:r w:rsidRPr="00153C69">
        <w:rPr>
          <w:rFonts w:ascii="Arial" w:hAnsi="Arial" w:cs="Arial"/>
        </w:rPr>
        <w:t xml:space="preserve">. Singapore: Springer Nature. Available at: </w:t>
      </w:r>
      <w:hyperlink r:id="rId12" w:tgtFrame="_new" w:history="1">
        <w:r w:rsidRPr="00153C69">
          <w:rPr>
            <w:rStyle w:val="Hyperlink"/>
            <w:rFonts w:ascii="Arial" w:hAnsi="Arial" w:cs="Arial"/>
          </w:rPr>
          <w:t>https://doi.org/10.1007/978-981-96-2532-1</w:t>
        </w:r>
      </w:hyperlink>
    </w:p>
    <w:p w14:paraId="2AFB40C4" w14:textId="77777777" w:rsidR="00153C69" w:rsidRPr="00153C69" w:rsidRDefault="00153C69" w:rsidP="00153C69">
      <w:pPr>
        <w:pStyle w:val="NormalWeb"/>
        <w:numPr>
          <w:ilvl w:val="0"/>
          <w:numId w:val="5"/>
        </w:numPr>
        <w:spacing w:line="360" w:lineRule="auto"/>
        <w:jc w:val="both"/>
        <w:rPr>
          <w:rFonts w:ascii="Arial" w:hAnsi="Arial" w:cs="Arial"/>
        </w:rPr>
      </w:pPr>
      <w:r w:rsidRPr="00153C69">
        <w:rPr>
          <w:rFonts w:ascii="Arial" w:hAnsi="Arial" w:cs="Arial"/>
        </w:rPr>
        <w:t xml:space="preserve">Glasby, J. (2026) </w:t>
      </w:r>
      <w:r w:rsidRPr="00153C69">
        <w:rPr>
          <w:rStyle w:val="Emphasis"/>
          <w:rFonts w:ascii="Arial" w:hAnsi="Arial" w:cs="Arial"/>
        </w:rPr>
        <w:t>Understanding health and social care</w:t>
      </w:r>
      <w:r w:rsidRPr="00153C69">
        <w:rPr>
          <w:rFonts w:ascii="Arial" w:hAnsi="Arial" w:cs="Arial"/>
        </w:rPr>
        <w:t xml:space="preserve">. 4th </w:t>
      </w:r>
      <w:proofErr w:type="spellStart"/>
      <w:r w:rsidRPr="00153C69">
        <w:rPr>
          <w:rFonts w:ascii="Arial" w:hAnsi="Arial" w:cs="Arial"/>
        </w:rPr>
        <w:t>edn</w:t>
      </w:r>
      <w:proofErr w:type="spellEnd"/>
      <w:r w:rsidRPr="00153C69">
        <w:rPr>
          <w:rFonts w:ascii="Arial" w:hAnsi="Arial" w:cs="Arial"/>
        </w:rPr>
        <w:t>. Bristol: Policy Press.</w:t>
      </w:r>
    </w:p>
    <w:p w14:paraId="03F06F3B" w14:textId="77777777" w:rsidR="00153C69" w:rsidRPr="00153C69" w:rsidRDefault="00153C69" w:rsidP="00153C69">
      <w:pPr>
        <w:pStyle w:val="NormalWeb"/>
        <w:numPr>
          <w:ilvl w:val="0"/>
          <w:numId w:val="5"/>
        </w:numPr>
        <w:spacing w:line="360" w:lineRule="auto"/>
        <w:jc w:val="both"/>
        <w:rPr>
          <w:rFonts w:ascii="Arial" w:hAnsi="Arial" w:cs="Arial"/>
        </w:rPr>
      </w:pPr>
      <w:r w:rsidRPr="00153C69">
        <w:rPr>
          <w:rFonts w:ascii="Arial" w:hAnsi="Arial" w:cs="Arial"/>
        </w:rPr>
        <w:t xml:space="preserve">Haimi, M. (2026) </w:t>
      </w:r>
      <w:r w:rsidRPr="00153C69">
        <w:rPr>
          <w:rStyle w:val="Emphasis"/>
          <w:rFonts w:ascii="Arial" w:hAnsi="Arial" w:cs="Arial"/>
        </w:rPr>
        <w:t>The role of telemedicine in transforming healthcare delivery: capabilities and barriers</w:t>
      </w:r>
      <w:r w:rsidRPr="00153C69">
        <w:rPr>
          <w:rFonts w:ascii="Arial" w:hAnsi="Arial" w:cs="Arial"/>
        </w:rPr>
        <w:t xml:space="preserve">. Basel: MDPI. Available at: </w:t>
      </w:r>
      <w:hyperlink r:id="rId13" w:tgtFrame="_new" w:history="1">
        <w:r w:rsidRPr="00153C69">
          <w:rPr>
            <w:rStyle w:val="Hyperlink"/>
            <w:rFonts w:ascii="Arial" w:hAnsi="Arial" w:cs="Arial"/>
          </w:rPr>
          <w:t>https://doi.org/10.3390/books978-3-7258-6347-1</w:t>
        </w:r>
      </w:hyperlink>
    </w:p>
    <w:p w14:paraId="39E7DD9C" w14:textId="77777777" w:rsidR="00153C69" w:rsidRPr="00153C69" w:rsidRDefault="00153C69" w:rsidP="00153C69">
      <w:pPr>
        <w:pStyle w:val="NormalWeb"/>
        <w:numPr>
          <w:ilvl w:val="0"/>
          <w:numId w:val="5"/>
        </w:numPr>
        <w:spacing w:line="360" w:lineRule="auto"/>
        <w:jc w:val="both"/>
        <w:rPr>
          <w:rFonts w:ascii="Arial" w:hAnsi="Arial" w:cs="Arial"/>
        </w:rPr>
      </w:pPr>
      <w:r w:rsidRPr="00153C69">
        <w:rPr>
          <w:rFonts w:ascii="Arial" w:hAnsi="Arial" w:cs="Arial"/>
        </w:rPr>
        <w:t xml:space="preserve">Ingvarsson, E. et al. (2026) ‘Legislative compliance in coordinated care transitions: a mixed-method study of healthcare professionals’ documentation and older adults’ experiences’, </w:t>
      </w:r>
      <w:r w:rsidRPr="00153C69">
        <w:rPr>
          <w:rStyle w:val="Emphasis"/>
          <w:rFonts w:ascii="Arial" w:hAnsi="Arial" w:cs="Arial"/>
        </w:rPr>
        <w:t>International Journal of Qualitative Studies on Health and Well-being</w:t>
      </w:r>
      <w:r w:rsidRPr="00153C69">
        <w:rPr>
          <w:rFonts w:ascii="Arial" w:hAnsi="Arial" w:cs="Arial"/>
        </w:rPr>
        <w:t xml:space="preserve">, 21(1), p. 2615154. Available at: </w:t>
      </w:r>
      <w:hyperlink r:id="rId14" w:tgtFrame="_new" w:history="1">
        <w:r w:rsidRPr="00153C69">
          <w:rPr>
            <w:rStyle w:val="Hyperlink"/>
            <w:rFonts w:ascii="Arial" w:hAnsi="Arial" w:cs="Arial"/>
          </w:rPr>
          <w:t>https://doi.org/10.1080/17482631.2026.2615154</w:t>
        </w:r>
      </w:hyperlink>
    </w:p>
    <w:p w14:paraId="0F2D85D6" w14:textId="77777777" w:rsidR="00153C69" w:rsidRPr="00153C69" w:rsidRDefault="00153C69" w:rsidP="00153C69">
      <w:pPr>
        <w:pStyle w:val="NormalWeb"/>
        <w:numPr>
          <w:ilvl w:val="0"/>
          <w:numId w:val="5"/>
        </w:numPr>
        <w:spacing w:line="360" w:lineRule="auto"/>
        <w:jc w:val="both"/>
        <w:rPr>
          <w:rFonts w:ascii="Arial" w:hAnsi="Arial" w:cs="Arial"/>
        </w:rPr>
      </w:pPr>
      <w:r w:rsidRPr="00153C69">
        <w:rPr>
          <w:rFonts w:ascii="Arial" w:hAnsi="Arial" w:cs="Arial"/>
        </w:rPr>
        <w:lastRenderedPageBreak/>
        <w:t xml:space="preserve">Oliver, M. (1990) </w:t>
      </w:r>
      <w:r w:rsidRPr="00153C69">
        <w:rPr>
          <w:rStyle w:val="Emphasis"/>
          <w:rFonts w:ascii="Arial" w:hAnsi="Arial" w:cs="Arial"/>
        </w:rPr>
        <w:t>The politics of disablement</w:t>
      </w:r>
      <w:r w:rsidRPr="00153C69">
        <w:rPr>
          <w:rFonts w:ascii="Arial" w:hAnsi="Arial" w:cs="Arial"/>
        </w:rPr>
        <w:t>. London: Macmillan.</w:t>
      </w:r>
    </w:p>
    <w:p w14:paraId="60742640" w14:textId="77777777" w:rsidR="00153C69" w:rsidRPr="00153C69" w:rsidRDefault="00153C69" w:rsidP="00153C69">
      <w:pPr>
        <w:pStyle w:val="NormalWeb"/>
        <w:numPr>
          <w:ilvl w:val="0"/>
          <w:numId w:val="5"/>
        </w:numPr>
        <w:spacing w:line="360" w:lineRule="auto"/>
        <w:jc w:val="both"/>
        <w:rPr>
          <w:rFonts w:ascii="Arial" w:hAnsi="Arial" w:cs="Arial"/>
        </w:rPr>
      </w:pPr>
      <w:r w:rsidRPr="00153C69">
        <w:rPr>
          <w:rFonts w:ascii="Arial" w:hAnsi="Arial" w:cs="Arial"/>
        </w:rPr>
        <w:t xml:space="preserve">Shakespeare, T. (2006) </w:t>
      </w:r>
      <w:r w:rsidRPr="00153C69">
        <w:rPr>
          <w:rStyle w:val="Emphasis"/>
          <w:rFonts w:ascii="Arial" w:hAnsi="Arial" w:cs="Arial"/>
        </w:rPr>
        <w:t>Disability rights and wrongs</w:t>
      </w:r>
      <w:r w:rsidRPr="00153C69">
        <w:rPr>
          <w:rFonts w:ascii="Arial" w:hAnsi="Arial" w:cs="Arial"/>
        </w:rPr>
        <w:t>. London: Routledge.</w:t>
      </w:r>
    </w:p>
    <w:p w14:paraId="62EC5857" w14:textId="77777777" w:rsidR="00153C69" w:rsidRPr="00153C69" w:rsidRDefault="00153C69" w:rsidP="00153C69">
      <w:pPr>
        <w:pStyle w:val="NormalWeb"/>
        <w:numPr>
          <w:ilvl w:val="0"/>
          <w:numId w:val="5"/>
        </w:numPr>
        <w:spacing w:line="360" w:lineRule="auto"/>
        <w:jc w:val="both"/>
        <w:rPr>
          <w:rFonts w:ascii="Arial" w:hAnsi="Arial" w:cs="Arial"/>
        </w:rPr>
      </w:pPr>
      <w:r w:rsidRPr="00153C69">
        <w:rPr>
          <w:rFonts w:ascii="Arial" w:hAnsi="Arial" w:cs="Arial"/>
        </w:rPr>
        <w:t xml:space="preserve">World Health Organization (2001) </w:t>
      </w:r>
      <w:r w:rsidRPr="00153C69">
        <w:rPr>
          <w:rStyle w:val="Emphasis"/>
          <w:rFonts w:ascii="Arial" w:hAnsi="Arial" w:cs="Arial"/>
        </w:rPr>
        <w:t>International classification of functioning, disability and health (ICF)</w:t>
      </w:r>
      <w:r w:rsidRPr="00153C69">
        <w:rPr>
          <w:rFonts w:ascii="Arial" w:hAnsi="Arial" w:cs="Arial"/>
        </w:rPr>
        <w:t>. Geneva: WHO.</w:t>
      </w:r>
    </w:p>
    <w:p w14:paraId="3F1FD9A8" w14:textId="1C60816F" w:rsidR="004A5A64" w:rsidRPr="00153C69" w:rsidRDefault="004A5A64" w:rsidP="00153C69">
      <w:pPr>
        <w:spacing w:line="360" w:lineRule="auto"/>
        <w:jc w:val="both"/>
        <w:rPr>
          <w:rFonts w:ascii="Arial" w:hAnsi="Arial" w:cs="Arial"/>
          <w:color w:val="00B0F0"/>
          <w:sz w:val="23"/>
          <w:szCs w:val="23"/>
        </w:rPr>
      </w:pPr>
    </w:p>
    <w:sectPr w:rsidR="004A5A64" w:rsidRPr="00153C6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9B321E" w14:textId="77777777" w:rsidR="000D74AF" w:rsidRDefault="000D74AF" w:rsidP="00032A5B">
      <w:pPr>
        <w:spacing w:after="0" w:line="240" w:lineRule="auto"/>
      </w:pPr>
      <w:r>
        <w:separator/>
      </w:r>
    </w:p>
  </w:endnote>
  <w:endnote w:type="continuationSeparator" w:id="0">
    <w:p w14:paraId="7B394A9D" w14:textId="77777777" w:rsidR="000D74AF" w:rsidRDefault="000D74AF" w:rsidP="00032A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DengXian">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06D6DE" w14:textId="77777777" w:rsidR="000D74AF" w:rsidRDefault="000D74AF" w:rsidP="00032A5B">
      <w:pPr>
        <w:spacing w:after="0" w:line="240" w:lineRule="auto"/>
      </w:pPr>
      <w:r>
        <w:separator/>
      </w:r>
    </w:p>
  </w:footnote>
  <w:footnote w:type="continuationSeparator" w:id="0">
    <w:p w14:paraId="73B07914" w14:textId="77777777" w:rsidR="000D74AF" w:rsidRDefault="000D74AF" w:rsidP="00032A5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A06929"/>
    <w:multiLevelType w:val="hybridMultilevel"/>
    <w:tmpl w:val="D056302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08C808D1"/>
    <w:multiLevelType w:val="hybridMultilevel"/>
    <w:tmpl w:val="BC9AFFC2"/>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261D61FE"/>
    <w:multiLevelType w:val="hybridMultilevel"/>
    <w:tmpl w:val="41FCE9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9E56A1B"/>
    <w:multiLevelType w:val="hybridMultilevel"/>
    <w:tmpl w:val="D88275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4E26486C"/>
    <w:multiLevelType w:val="hybridMultilevel"/>
    <w:tmpl w:val="44D283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66105348">
    <w:abstractNumId w:val="4"/>
  </w:num>
  <w:num w:numId="2" w16cid:durableId="201140407">
    <w:abstractNumId w:val="1"/>
  </w:num>
  <w:num w:numId="3" w16cid:durableId="490028398">
    <w:abstractNumId w:val="0"/>
  </w:num>
  <w:num w:numId="4" w16cid:durableId="1716658602">
    <w:abstractNumId w:val="3"/>
  </w:num>
  <w:num w:numId="5" w16cid:durableId="16463693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58B0"/>
    <w:rsid w:val="00032A5B"/>
    <w:rsid w:val="000D74AF"/>
    <w:rsid w:val="001333C2"/>
    <w:rsid w:val="00153C69"/>
    <w:rsid w:val="001F313E"/>
    <w:rsid w:val="00317E3D"/>
    <w:rsid w:val="0032791E"/>
    <w:rsid w:val="003447BD"/>
    <w:rsid w:val="003E4ED4"/>
    <w:rsid w:val="004A5A64"/>
    <w:rsid w:val="0058218C"/>
    <w:rsid w:val="005A272C"/>
    <w:rsid w:val="006524ED"/>
    <w:rsid w:val="00657E4C"/>
    <w:rsid w:val="006A3E63"/>
    <w:rsid w:val="006D2F2D"/>
    <w:rsid w:val="006E1FF9"/>
    <w:rsid w:val="00785886"/>
    <w:rsid w:val="007F3A6A"/>
    <w:rsid w:val="008E4332"/>
    <w:rsid w:val="009E71F3"/>
    <w:rsid w:val="00A14675"/>
    <w:rsid w:val="00BC79FE"/>
    <w:rsid w:val="00C41DD8"/>
    <w:rsid w:val="00C558B0"/>
    <w:rsid w:val="00D545BA"/>
    <w:rsid w:val="00E81204"/>
    <w:rsid w:val="00E9668F"/>
    <w:rsid w:val="00F214AA"/>
    <w:rsid w:val="00F40215"/>
    <w:rsid w:val="00F81510"/>
    <w:rsid w:val="00FA1054"/>
    <w:rsid w:val="00FA2DAE"/>
    <w:rsid w:val="00FA624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F7AB11"/>
  <w15:chartTrackingRefBased/>
  <w15:docId w15:val="{647EBCD7-631C-4DB8-B919-7AD492B628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58B0"/>
    <w:pPr>
      <w:spacing w:line="256" w:lineRule="auto"/>
    </w:pPr>
    <w:rPr>
      <w:rFonts w:ascii="Times New Roman" w:hAnsi="Times New Roman"/>
      <w:sz w:val="24"/>
    </w:rPr>
  </w:style>
  <w:style w:type="paragraph" w:styleId="Heading1">
    <w:name w:val="heading 1"/>
    <w:basedOn w:val="Normal"/>
    <w:next w:val="Normal"/>
    <w:link w:val="Heading1Char"/>
    <w:uiPriority w:val="9"/>
    <w:qFormat/>
    <w:rsid w:val="005A272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657E4C"/>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D2F2D"/>
    <w:pPr>
      <w:ind w:left="720"/>
      <w:contextualSpacing/>
    </w:pPr>
  </w:style>
  <w:style w:type="paragraph" w:styleId="Header">
    <w:name w:val="header"/>
    <w:basedOn w:val="Normal"/>
    <w:link w:val="HeaderChar"/>
    <w:uiPriority w:val="99"/>
    <w:unhideWhenUsed/>
    <w:rsid w:val="00032A5B"/>
    <w:pPr>
      <w:tabs>
        <w:tab w:val="center" w:pos="4513"/>
        <w:tab w:val="right" w:pos="9026"/>
      </w:tabs>
      <w:spacing w:after="0" w:line="240" w:lineRule="auto"/>
    </w:pPr>
  </w:style>
  <w:style w:type="character" w:customStyle="1" w:styleId="HeaderChar">
    <w:name w:val="Header Char"/>
    <w:basedOn w:val="DefaultParagraphFont"/>
    <w:link w:val="Header"/>
    <w:uiPriority w:val="99"/>
    <w:rsid w:val="00032A5B"/>
    <w:rPr>
      <w:rFonts w:ascii="Times New Roman" w:hAnsi="Times New Roman"/>
      <w:sz w:val="24"/>
    </w:rPr>
  </w:style>
  <w:style w:type="paragraph" w:styleId="Footer">
    <w:name w:val="footer"/>
    <w:basedOn w:val="Normal"/>
    <w:link w:val="FooterChar"/>
    <w:uiPriority w:val="99"/>
    <w:unhideWhenUsed/>
    <w:rsid w:val="00032A5B"/>
    <w:pPr>
      <w:tabs>
        <w:tab w:val="center" w:pos="4513"/>
        <w:tab w:val="right" w:pos="9026"/>
      </w:tabs>
      <w:spacing w:after="0" w:line="240" w:lineRule="auto"/>
    </w:pPr>
  </w:style>
  <w:style w:type="character" w:customStyle="1" w:styleId="FooterChar">
    <w:name w:val="Footer Char"/>
    <w:basedOn w:val="DefaultParagraphFont"/>
    <w:link w:val="Footer"/>
    <w:uiPriority w:val="99"/>
    <w:rsid w:val="00032A5B"/>
    <w:rPr>
      <w:rFonts w:ascii="Times New Roman" w:hAnsi="Times New Roman"/>
      <w:sz w:val="24"/>
    </w:rPr>
  </w:style>
  <w:style w:type="character" w:customStyle="1" w:styleId="Heading3Char">
    <w:name w:val="Heading 3 Char"/>
    <w:basedOn w:val="DefaultParagraphFont"/>
    <w:link w:val="Heading3"/>
    <w:uiPriority w:val="9"/>
    <w:semiHidden/>
    <w:rsid w:val="00657E4C"/>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5A272C"/>
    <w:pPr>
      <w:spacing w:before="100" w:beforeAutospacing="1" w:after="100" w:afterAutospacing="1" w:line="240" w:lineRule="auto"/>
    </w:pPr>
    <w:rPr>
      <w:rFonts w:eastAsia="Times New Roman" w:cs="Times New Roman"/>
      <w:szCs w:val="24"/>
      <w:lang w:eastAsia="en-GB"/>
    </w:rPr>
  </w:style>
  <w:style w:type="character" w:customStyle="1" w:styleId="whitespace-normal">
    <w:name w:val="whitespace-normal"/>
    <w:basedOn w:val="DefaultParagraphFont"/>
    <w:rsid w:val="005A272C"/>
  </w:style>
  <w:style w:type="character" w:customStyle="1" w:styleId="Heading1Char">
    <w:name w:val="Heading 1 Char"/>
    <w:basedOn w:val="DefaultParagraphFont"/>
    <w:link w:val="Heading1"/>
    <w:uiPriority w:val="9"/>
    <w:rsid w:val="005A272C"/>
    <w:rPr>
      <w:rFonts w:asciiTheme="majorHAnsi" w:eastAsiaTheme="majorEastAsia" w:hAnsiTheme="majorHAnsi" w:cstheme="majorBidi"/>
      <w:color w:val="2F5496" w:themeColor="accent1" w:themeShade="BF"/>
      <w:sz w:val="32"/>
      <w:szCs w:val="32"/>
    </w:rPr>
  </w:style>
  <w:style w:type="character" w:styleId="Emphasis">
    <w:name w:val="Emphasis"/>
    <w:basedOn w:val="DefaultParagraphFont"/>
    <w:uiPriority w:val="20"/>
    <w:qFormat/>
    <w:rsid w:val="00153C69"/>
    <w:rPr>
      <w:i/>
      <w:iCs/>
    </w:rPr>
  </w:style>
  <w:style w:type="character" w:styleId="Hyperlink">
    <w:name w:val="Hyperlink"/>
    <w:basedOn w:val="DefaultParagraphFont"/>
    <w:uiPriority w:val="99"/>
    <w:semiHidden/>
    <w:unhideWhenUsed/>
    <w:rsid w:val="00153C69"/>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doi.org/10.3390/books978-3-7258-6347-1"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doi.org/10.1007/978-981-96-2532-1"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080/29944694.2026.2626172"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doi.org/10.1080/17482631.2026.2645255"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s://doi.org/10.1080/17482631.2026.261515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10</Pages>
  <Words>2260</Words>
  <Characters>12882</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Diola Bijlhout</dc:creator>
  <cp:keywords/>
  <dc:description/>
  <cp:lastModifiedBy>Musa Bamwine (2425291)</cp:lastModifiedBy>
  <cp:revision>2</cp:revision>
  <dcterms:created xsi:type="dcterms:W3CDTF">2026-04-29T06:02:00Z</dcterms:created>
  <dcterms:modified xsi:type="dcterms:W3CDTF">2026-04-29T06:02:00Z</dcterms:modified>
</cp:coreProperties>
</file>