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Default Extension="jpg" ContentType="image/jpeg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2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2.xml" ContentType="application/vnd.openxmlformats-officedocument.wordprocessingml.header+xml"/>
  <Override PartName="/word/footer3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header33.xml" ContentType="application/vnd.openxmlformats-officedocument.wordprocessingml.header+xml"/>
  <Override PartName="/word/footnotes.xml" ContentType="application/vnd.openxmlformats-officedocument.wordprocessingml.footnotes+xml"/>
  <Override PartName="/word/footer22.xml" ContentType="application/vnd.openxmlformats-officedocument.wordprocessingml.footer+xml"/>
  <Override PartName="/word/webSettings.xml" ContentType="application/vnd.openxmlformats-officedocument.wordprocessingml.webSettings+xml"/>
  <Override PartName="/word/footer13.xml" ContentType="application/vnd.openxmlformats-officedocument.wordprocessingml.footer+xml"/>
  <Override PartName="/word/theme/theme11.xml" ContentType="application/vnd.openxmlformats-officedocument.theme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478BB477" w:rsidP="478BB477" w:rsidRDefault="478BB477" w14:paraId="666C1F3B" w14:textId="23D1FE84">
      <w:pPr>
        <w:pStyle w:val="Title"/>
        <w:jc w:val="center"/>
        <w:rPr>
          <w:rFonts w:ascii="Times New Roman" w:hAnsi="Times New Roman" w:eastAsia="Times New Roman" w:cs="Times New Roman"/>
          <w:color w:val="auto"/>
          <w:lang w:val="en-GB" w:bidi="en-GB"/>
        </w:rPr>
      </w:pPr>
    </w:p>
    <w:p w:rsidR="1F7F8CDB" w:rsidP="478BB477" w:rsidRDefault="1F7F8CDB" w14:paraId="28B5A443" w14:textId="37F9E79E">
      <w:pPr>
        <w:pStyle w:val="Title"/>
        <w:jc w:val="center"/>
        <w:rPr>
          <w:rFonts w:ascii="Times New Roman" w:hAnsi="Times New Roman" w:eastAsia="Times New Roman" w:cs="Times New Roman"/>
          <w:color w:val="auto"/>
          <w:lang w:val="en-GB" w:bidi="en-GB"/>
        </w:rPr>
      </w:pPr>
      <w:r w:rsidRPr="478BB477" w:rsidR="1F7F8CDB">
        <w:rPr>
          <w:rFonts w:ascii="Times New Roman" w:hAnsi="Times New Roman" w:eastAsia="Times New Roman" w:cs="Times New Roman"/>
          <w:color w:val="auto"/>
          <w:lang w:val="en-GB" w:bidi="en-GB"/>
        </w:rPr>
        <w:t>Comparision of Mandarin Oriental Hotel Group and Premier Inn</w:t>
      </w:r>
    </w:p>
    <w:p w:rsidR="478BB477" w:rsidP="478BB477" w:rsidRDefault="478BB477" w14:paraId="0A55495B" w14:textId="177FC0F9">
      <w:pPr>
        <w:pStyle w:val="Title"/>
        <w:jc w:val="center"/>
        <w:rPr>
          <w:rFonts w:ascii="Times New Roman" w:hAnsi="Times New Roman" w:eastAsia="Times New Roman" w:cs="Times New Roman"/>
          <w:color w:val="auto"/>
          <w:lang w:val="en-GB" w:bidi="en-GB"/>
        </w:rPr>
      </w:pPr>
    </w:p>
    <w:p w:rsidR="478BB477" w:rsidP="478BB477" w:rsidRDefault="478BB477" w14:paraId="192B3E06" w14:textId="7BF66E9E">
      <w:pPr>
        <w:pStyle w:val="Title"/>
        <w:jc w:val="center"/>
        <w:rPr>
          <w:rFonts w:ascii="Times New Roman" w:hAnsi="Times New Roman" w:eastAsia="Times New Roman" w:cs="Times New Roman"/>
          <w:color w:val="auto"/>
          <w:lang w:val="en-GB" w:bidi="en-GB"/>
        </w:rPr>
      </w:pPr>
    </w:p>
    <w:p w:rsidR="3340E3A2" w:rsidP="478BB477" w:rsidRDefault="3340E3A2" w14:paraId="4B0B590A" w14:textId="71FCA208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78BB477" w:rsidR="3340E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Financial Management</w:t>
      </w:r>
    </w:p>
    <w:p w:rsidR="3340E3A2" w:rsidP="478BB477" w:rsidRDefault="3340E3A2" w14:paraId="563ECA48" w14:textId="0BF9649A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78BB477" w:rsidR="3340E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BMIH5002</w:t>
      </w:r>
    </w:p>
    <w:p w:rsidR="3340E3A2" w:rsidP="478BB477" w:rsidRDefault="3340E3A2" w14:paraId="0C504838" w14:textId="005FAC08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78BB477" w:rsidR="3340E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Module tutor: Tristan Hawkins</w:t>
      </w:r>
    </w:p>
    <w:p w:rsidR="478BB477" w:rsidP="478BB477" w:rsidRDefault="478BB477" w14:paraId="6C6104A4" w14:textId="294856F1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478BB477" w:rsidP="478BB477" w:rsidRDefault="478BB477" w14:paraId="44E4C4E4" w14:textId="5885E04C">
      <w:pPr>
        <w:pStyle w:val="Normal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w:rsidR="3340E3A2" w:rsidP="478BB477" w:rsidRDefault="3340E3A2" w14:paraId="1E413566" w14:textId="132E0E48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78BB477" w:rsidR="3340E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Name: Silviu Ghera</w:t>
      </w:r>
    </w:p>
    <w:p w:rsidR="3340E3A2" w:rsidP="478BB477" w:rsidRDefault="3340E3A2" w14:paraId="583742C3" w14:textId="77B83530">
      <w:pPr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  <w:r w:rsidRPr="478BB477" w:rsidR="3340E3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  <w:t>Student ID:2130678</w:t>
      </w:r>
    </w:p>
    <w:p w:rsidR="478BB477" w:rsidP="478BB477" w:rsidRDefault="478BB477" w14:paraId="5534C4FC" w14:textId="7BD90E8C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7CE28E6" w14:textId="035AC651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0138F348" w14:textId="62913420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5695CB13" w14:textId="269134B2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6ED575D7" w14:textId="17995DA2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08EA49A4" w14:textId="490925E8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73FF2E11" w14:textId="34749EA3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63F76206" w14:textId="4A74636D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0FDD209E" w:rsidP="478BB477" w:rsidRDefault="0FDD209E" w14:paraId="560A222A" w14:textId="637E5BAF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Table of Contents</w:t>
      </w:r>
    </w:p>
    <w:p w:rsidR="0FDD209E" w:rsidP="478BB477" w:rsidRDefault="0FDD209E" w14:paraId="3882E304" w14:textId="0BA04F4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Introduction................................................................................................................................2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Total Revenue..................................................................................................</w:t>
      </w:r>
      <w:r w:rsidRPr="478BB477" w:rsidR="2DD478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.2</w:t>
      </w:r>
    </w:p>
    <w:p w:rsidR="0FDD209E" w:rsidP="478BB477" w:rsidRDefault="0FDD209E" w14:paraId="47812C57" w14:textId="28CAA0F4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 Position......................................................................................</w:t>
      </w:r>
      <w:r w:rsidRPr="478BB477" w:rsidR="0515E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....................................3</w:t>
      </w:r>
    </w:p>
    <w:p w:rsidR="0FDD209E" w:rsidP="478BB477" w:rsidRDefault="0FDD209E" w14:paraId="55B50CE9" w14:textId="06C61800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Growth potentials.........................................................................</w:t>
      </w:r>
      <w:r w:rsidRPr="478BB477" w:rsidR="759629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4</w:t>
      </w:r>
    </w:p>
    <w:p w:rsidR="0FDD209E" w:rsidP="478BB477" w:rsidRDefault="0FDD209E" w14:paraId="5D83D05A" w14:textId="796CAD3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commitments to CSR.................................................................</w:t>
      </w:r>
      <w:r w:rsidRPr="478BB477" w:rsidR="2B0BFC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</w:p>
    <w:p w:rsidR="0FDD209E" w:rsidP="478BB477" w:rsidRDefault="0FDD209E" w14:paraId="3AA00952" w14:textId="10A38348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Resources and capabilities................................................</w:t>
      </w:r>
      <w:r w:rsidRPr="478BB477" w:rsidR="77A298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6</w:t>
      </w:r>
    </w:p>
    <w:p w:rsidR="0FDD209E" w:rsidP="478BB477" w:rsidRDefault="0FDD209E" w14:paraId="78465A5D" w14:textId="21C62DF7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Cost-driven and value-driven as comparison..............................</w:t>
      </w:r>
      <w:r w:rsidRPr="478BB477" w:rsidR="40885A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8</w:t>
      </w:r>
    </w:p>
    <w:p w:rsidR="0FDD209E" w:rsidP="478BB477" w:rsidRDefault="0FDD209E" w14:paraId="79295F6B" w14:textId="006BB8D9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Sustainability and correspondence as a comparison.....................................................</w:t>
      </w:r>
      <w:r w:rsidRPr="478BB477" w:rsidR="63556D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..................................................</w:t>
      </w: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</w:t>
      </w:r>
    </w:p>
    <w:p w:rsidR="0FDD209E" w:rsidP="478BB477" w:rsidRDefault="0FDD209E" w14:paraId="47F516CB" w14:textId="08C6EF86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Recommendations......................................................................................................................9</w:t>
      </w:r>
    </w:p>
    <w:p w:rsidR="0FDD209E" w:rsidP="478BB477" w:rsidRDefault="0FDD209E" w14:paraId="38320BC1" w14:textId="03F59F17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Conclusion................................................................................................................................10</w:t>
      </w:r>
    </w:p>
    <w:p w:rsidR="0FDD209E" w:rsidP="478BB477" w:rsidRDefault="0FDD209E" w14:paraId="7F69EC12" w14:textId="587DA71E">
      <w:pPr>
        <w:spacing w:before="0" w:beforeAutospacing="off" w:after="0" w:afterAutospacing="off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DD20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References................................................................................................................................11</w:t>
      </w:r>
    </w:p>
    <w:p w:rsidR="478BB477" w:rsidP="478BB477" w:rsidRDefault="478BB477" w14:paraId="627F255E" w14:textId="0E502D88">
      <w:pPr>
        <w:jc w:val="left"/>
      </w:pPr>
    </w:p>
    <w:p w:rsidR="478BB477" w:rsidP="478BB477" w:rsidRDefault="478BB477" w14:paraId="04E02694" w14:textId="77C1A6E7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25B0D069" w14:textId="212F62AE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1897BCA" w14:textId="5FAAEDA5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58959922" w14:textId="05A14063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38A5BF7" w14:textId="5B3CDA74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2393FACC" w14:textId="581F6F19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51AE3474" w:rsidP="478BB477" w:rsidRDefault="51AE3474" w14:paraId="6149C9FF" w14:textId="2498888F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Introduction</w:t>
      </w:r>
    </w:p>
    <w:p w:rsidR="51AE3474" w:rsidP="478BB477" w:rsidRDefault="51AE3474" w14:paraId="4E08CE86" w14:textId="5602249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Premier Inn and Mandarin Oriental Hotel Group cater to diverse consumers with distinct </w:t>
      </w:r>
    </w:p>
    <w:p w:rsidR="51AE3474" w:rsidP="478BB477" w:rsidRDefault="51AE3474" w14:paraId="56E1E83D" w14:textId="10637E6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offerings. The Premier Inn is well known for its affordable lodging options that prioritise </w:t>
      </w:r>
    </w:p>
    <w:p w:rsidR="51AE3474" w:rsidP="478BB477" w:rsidRDefault="51AE3474" w14:paraId="5F15A6F7" w14:textId="6558BB9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usability and price. It is a popular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option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travellers looking for value because of the </w:t>
      </w:r>
    </w:p>
    <w:p w:rsidR="51AE3474" w:rsidP="478BB477" w:rsidRDefault="51AE3474" w14:paraId="0635F312" w14:textId="7CB098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comfortable rooms, reliable service, and handy locations, which are appreciated by the </w:t>
      </w:r>
    </w:p>
    <w:p w:rsidR="51AE3474" w:rsidP="478BB477" w:rsidRDefault="51AE3474" w14:paraId="4760605D" w14:textId="5FA5CC6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customers. However, Mandarin Oriental Hotel Group, focuses more on luxury and gives </w:t>
      </w:r>
    </w:p>
    <w:p w:rsidR="51AE3474" w:rsidP="478BB477" w:rsidRDefault="51AE3474" w14:paraId="031911D4" w14:textId="7D89FA8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customers outstanding experiences. The company is also well known for its individualised </w:t>
      </w:r>
    </w:p>
    <w:p w:rsidR="51AE3474" w:rsidP="478BB477" w:rsidRDefault="51AE3474" w14:paraId="0E41C538" w14:textId="16A18A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service, opulent amenities, and thorough attention to detail. Premier Inn is more geared </w:t>
      </w:r>
    </w:p>
    <w:p w:rsidR="51AE3474" w:rsidP="478BB477" w:rsidRDefault="51AE3474" w14:paraId="5609AB65" w14:textId="5A22394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towards budget-conscious tourists looking for dependability, while Mandarin Oriental hotels </w:t>
      </w:r>
    </w:p>
    <w:p w:rsidR="51AE3474" w:rsidP="478BB477" w:rsidRDefault="51AE3474" w14:paraId="5FF4F2AF" w14:textId="7EC5F08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offer a high-end, decadent atmosphere.</w:t>
      </w:r>
    </w:p>
    <w:p w:rsidR="51AE3474" w:rsidP="478BB477" w:rsidRDefault="51AE3474" w14:paraId="58A0271C" w14:textId="3BB7A18B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Total Revenue</w:t>
      </w:r>
    </w:p>
    <w:p w:rsidR="51AE3474" w:rsidP="478BB477" w:rsidRDefault="51AE3474" w14:paraId="55644717" w14:textId="2FE5E9C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2021, Premier Inn generated a revenue of $52 million, which increased to $55 million in </w:t>
      </w:r>
    </w:p>
    <w:p w:rsidR="51AE3474" w:rsidP="478BB477" w:rsidRDefault="51AE3474" w14:paraId="3C282A03" w14:textId="454D01F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2022,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indicating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modest growth of $3 million (</w:t>
      </w:r>
      <w:r w:rsidRPr="478BB477" w:rsidR="37673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Premier I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nn, 2022). Bookings for rooms, food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 beverage services, and extra facilities are Premier Inn's main revenue generators.</w:t>
      </w:r>
    </w:p>
    <w:p w:rsidR="51AE3474" w:rsidP="478BB477" w:rsidRDefault="51AE3474" w14:paraId="2AEDCB5D" w14:textId="34668EE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organization's increased revenue may be attributable to the rise of hotel chains, more visitor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traffic from clever marketing initiatives, and higher levels of client pleasure. The revenue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trajectory, however, points to a continuous but modest rise,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capacity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uphold client loyalty and seize new markets. The Mandarin Oriental Hotel Group, on the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other hand, showed notable revenue growth, posting total revenue of $454 million in 2021,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which increased to $550 million in 2022, a remarkable $96 million rise (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mandarinoriental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2023). </w:t>
      </w:r>
    </w:p>
    <w:p w:rsidR="51AE3474" w:rsidP="478BB477" w:rsidRDefault="51AE3474" w14:paraId="1F10A76F" w14:textId="56A728F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primary sources of income of the organization are hotel reservations, gourmet dining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establishments, spa services, and event hosting. This significant success can be ascribed to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company's focus on the luxury market, which has helped it draw in wealthy customers,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increase its global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footprint, and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upscale experiences. Additionally, the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capacity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adjust to shifting consumer demands and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unmatched services played a role in this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astounding revenue increase. Because of the capacity to accommodate travellers on a tight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budget, the expansion of its hotel chains in strategic locations, and investments in customer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service training, Premier Inn has seen an increase in income (Chu and Chang, 2023). The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emphasis on premium options at Mandarin Oriental, which caters to wealthy tourists looking</w:t>
      </w:r>
      <w:r w:rsidRPr="478BB477" w:rsidR="7355E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78BB477" w:rsidR="51AE3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for opulent lodging and individualised services, has led to a surge in revenue. A crucial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</w:t>
      </w:r>
      <w:r w:rsidRPr="478BB477" w:rsidR="73C842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was also played by the development into emerging areas, creative marketing techniques, and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ongoing improvements to amenities and services.</w:t>
      </w:r>
    </w:p>
    <w:p w:rsidR="478BB477" w:rsidP="478BB477" w:rsidRDefault="478BB477" w14:paraId="439B707C" w14:textId="3B8F7BB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A58C3E" w:rsidP="478BB477" w:rsidRDefault="6FA58C3E" w14:paraId="61F7C27B" w14:textId="089B57DF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6FA58C3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Market Position</w:t>
      </w:r>
    </w:p>
    <w:p w:rsidR="6FA58C3E" w:rsidP="478BB477" w:rsidRDefault="6FA58C3E" w14:paraId="543E22E9" w14:textId="342D32D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Mandarin Oriental caters to affluent tourists and business clientele looking for extravagance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individualised services with an emphasis on luxury and high-end experiences. The luxury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hotel industry's market share has consistently grown to 3.5% as of 2022,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demonstrating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its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strong presence and appeal to high-spending clients (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Kozhukhіvska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al., 2022). High-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income individuals, celebrities, corporate leaders, and luxury tourists make up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majority of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clientele, who are driven to the brand by its opulent amenities, first-rate settings, and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illustrious clientele. The brand image of Mandarin Oriental is one of elegance and opulent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hospitality, and it is seen as a representation of refinement and extravagance.</w:t>
      </w:r>
    </w:p>
    <w:p w:rsidR="6FA58C3E" w:rsidP="478BB477" w:rsidRDefault="6FA58C3E" w14:paraId="193707A0" w14:textId="6CEC746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On the other hand, Premier Inn markets itself as a sensible, cost-effective option for tourists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seeking dependable lodging without going overboard. With an emphasis on economical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solutions, Premier Inn has successfully cornered the market for mid-range and low-cost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hotels. One of the top commercial entities in the low-cost and mid-range hotel market as of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2022 is Premier Inn, which has a market share of 7.2% (Statista, 2023). Budget-conscious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families, lone travellers, and working people looking for luxurious accommodations at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reasonable prices make up the clientele. The company is portrayed as a reliable option for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practical travellers looking for consistent quality at affordable pricing by the brand's focus on </w:t>
      </w:r>
      <w:r w:rsidRPr="478BB477" w:rsidR="6FA58C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dependability, affordability, and convenience</w:t>
      </w:r>
      <w:r w:rsidRPr="478BB477" w:rsidR="37DD36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78BB477" w:rsidP="478BB477" w:rsidRDefault="478BB477" w14:paraId="520466DA" w14:textId="7FD4BA6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8BB477" w:rsidP="478BB477" w:rsidRDefault="478BB477" w14:paraId="044EE561" w14:textId="4151A4D0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EC03FFC" w14:textId="1C5DBC46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6FF47431" w14:textId="2475DCDE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7366FB7B" w14:textId="50018312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90F8660" w14:textId="50C28A7F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189CCE4" w14:textId="18B4A8B3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212F1BE7" w14:textId="3D34D2D3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4229C92D" w14:textId="18ADDB6E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71E9FB4C" w14:textId="12EAF6EE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2ADF5B8C" w14:textId="68A9A1C0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67132A70" w14:textId="74AC6B00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478BB477" w:rsidP="478BB477" w:rsidRDefault="478BB477" w14:paraId="09E19EAC" w14:textId="60FA4588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</w:p>
    <w:p w:rsidR="37DD3679" w:rsidP="478BB477" w:rsidRDefault="37DD3679" w14:paraId="427CF47D" w14:textId="79A3F523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  <w:r w:rsidR="37DD3679">
        <w:drawing>
          <wp:inline wp14:editId="50145350" wp14:anchorId="4920609B">
            <wp:extent cx="4572000" cy="2990850"/>
            <wp:effectExtent l="0" t="0" r="0" b="0"/>
            <wp:docPr id="11520052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32ad858c48d40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7DD3679" w:rsidP="478BB477" w:rsidRDefault="37DD3679" w14:paraId="79479D10" w14:textId="647A476A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37DD367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Figure 1: Market share of Premier Inn</w:t>
      </w:r>
    </w:p>
    <w:p w:rsidR="37DD3679" w:rsidP="478BB477" w:rsidRDefault="37DD3679" w14:paraId="614625ED" w14:textId="62F865E2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37DD367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(Source: Statista, 2023)</w:t>
      </w:r>
    </w:p>
    <w:p w:rsidR="478BB477" w:rsidP="478BB477" w:rsidRDefault="478BB477" w14:paraId="5D90E761" w14:textId="75BE9E1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78BB477" w:rsidP="478BB477" w:rsidRDefault="478BB477" w14:paraId="0E63CABD" w14:textId="3777135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7DD3679" w:rsidP="478BB477" w:rsidRDefault="37DD3679" w14:paraId="0B72BCC5" w14:textId="61E250CE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37DD3679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Growth potential</w:t>
      </w:r>
    </w:p>
    <w:p w:rsidR="28DE0636" w:rsidP="478BB477" w:rsidRDefault="28DE0636" w14:paraId="303255EA" w14:textId="154BB9BC">
      <w:pPr>
        <w:pStyle w:val="Title"/>
        <w:jc w:val="center"/>
        <w:rPr>
          <w:rFonts w:ascii="Times New Roman" w:hAnsi="Times New Roman" w:eastAsia="Times New Roman" w:cs="Times New Roman"/>
          <w:color w:val="auto"/>
          <w:sz w:val="48"/>
          <w:szCs w:val="48"/>
          <w:lang w:val="en-GB" w:bidi="en-GB"/>
        </w:rPr>
      </w:pPr>
      <w:r w:rsidR="28DE0636">
        <w:drawing>
          <wp:inline wp14:editId="3FA958F4" wp14:anchorId="22129EB5">
            <wp:extent cx="5534025" cy="2916892"/>
            <wp:effectExtent l="0" t="0" r="0" b="0"/>
            <wp:docPr id="3912491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d26a2ea0865459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2916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DE0636" w:rsidP="478BB477" w:rsidRDefault="28DE0636" w14:paraId="10CEF331" w14:textId="4C570AA4">
      <w:pPr>
        <w:pStyle w:val="Title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</w:pPr>
      <w:r w:rsidRPr="478BB477" w:rsidR="28DE0636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  <w:t>Figure 2: CAGR of Luxury Hotel</w:t>
      </w:r>
    </w:p>
    <w:p w:rsidR="28DE0636" w:rsidP="478BB477" w:rsidRDefault="28DE0636" w14:paraId="405C650B" w14:textId="1B11CC32">
      <w:pPr>
        <w:pStyle w:val="Title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</w:pPr>
      <w:r w:rsidRPr="478BB477" w:rsidR="28DE0636"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  <w:t>(Source: Spherical, 2023)</w:t>
      </w:r>
    </w:p>
    <w:p w:rsidR="478BB477" w:rsidP="478BB477" w:rsidRDefault="478BB477" w14:paraId="16D01380" w14:textId="6FCA9F10">
      <w:pPr>
        <w:pStyle w:val="Title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</w:pPr>
    </w:p>
    <w:p w:rsidR="478BB477" w:rsidP="478BB477" w:rsidRDefault="478BB477" w14:paraId="4576512B" w14:textId="30800AA9">
      <w:pPr>
        <w:pStyle w:val="Title"/>
        <w:jc w:val="center"/>
        <w:rPr>
          <w:rFonts w:ascii="Times New Roman" w:hAnsi="Times New Roman" w:eastAsia="Times New Roman" w:cs="Times New Roman"/>
          <w:b w:val="1"/>
          <w:bCs w:val="1"/>
          <w:color w:val="auto"/>
          <w:sz w:val="24"/>
          <w:szCs w:val="24"/>
          <w:lang w:val="en-GB" w:bidi="en-GB"/>
        </w:rPr>
      </w:pPr>
    </w:p>
    <w:p w:rsidR="28DE0636" w:rsidP="478BB477" w:rsidRDefault="28DE0636" w14:paraId="62B69B8E" w14:textId="729E6046">
      <w:pPr>
        <w:pStyle w:val="Title"/>
        <w:jc w:val="center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</w:pPr>
      <w:r w:rsidRPr="478BB477" w:rsidR="28DE0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  <w:t xml:space="preserve">Mandarin Oriental, </w:t>
      </w:r>
      <w:r w:rsidRPr="478BB477" w:rsidR="28DE0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  <w:t>mainly focused</w:t>
      </w:r>
      <w:r w:rsidRPr="478BB477" w:rsidR="28DE0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  <w:t xml:space="preserve"> on the luxury segment, can contribute to the growing </w:t>
      </w:r>
    </w:p>
    <w:p w:rsidR="28DE0636" w:rsidP="478BB477" w:rsidRDefault="28DE0636" w14:paraId="7CA18F32" w14:textId="7DD70839">
      <w:pPr>
        <w:pStyle w:val="Title"/>
        <w:jc w:val="center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lang w:val="en-GB"/>
        </w:rPr>
      </w:pPr>
      <w:r w:rsidRPr="478BB477" w:rsidR="28DE0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  <w:t xml:space="preserve">market of high-net-worth individuals, particularly in emerging economies like China </w:t>
      </w:r>
      <w:r w:rsidRPr="478BB477" w:rsidR="28DE0636"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  <w:t>and</w:t>
      </w:r>
    </w:p>
    <w:p w:rsidR="478BB477" w:rsidP="478BB477" w:rsidRDefault="478BB477" w14:paraId="50350900" w14:textId="734F58A7">
      <w:pPr>
        <w:pStyle w:val="Title"/>
        <w:jc w:val="center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lang w:val="en-GB" w:bidi="en-GB"/>
        </w:rPr>
      </w:pPr>
    </w:p>
    <w:p w:rsidR="441F2863" w:rsidP="478BB477" w:rsidRDefault="441F2863" w14:paraId="1D433B89" w14:textId="40B14A9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India. According to industry reports, the luxury hotel market is projected to grow at a CAGR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4.7% from 2021 to 2026,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indicating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substantial opportunities for the organization to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expand its presence in the industry (Spherical, 2023). The group can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leverage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strong brand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reputation to explore new markets and enhance its presence in existing ones. Collaborations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local businesses and strategic partnerships can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facilitate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smoother entry into diverse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regions. However, potential barriers for Mandarin Oriental include intense competition in the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luxury segment, ever-evolving customer preferences, and economic uncertainties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impacting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78BB477" w:rsidR="441F28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high-end travel.</w:t>
      </w:r>
    </w:p>
    <w:p w:rsidR="0F0D083B" w:rsidP="478BB477" w:rsidRDefault="0F0D083B" w14:paraId="3B88DB27" w14:textId="5D52D1D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Premier Inn, is more focused on a budget-friendly model and experiences increasing demand </w:t>
      </w:r>
    </w:p>
    <w:p w:rsidR="0F0D083B" w:rsidP="478BB477" w:rsidRDefault="0F0D083B" w14:paraId="7F46C1E7" w14:textId="11BCE00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affordable accommodations, driven by potential budget-conscious travellers and families. </w:t>
      </w:r>
    </w:p>
    <w:p w:rsidR="0F0D083B" w:rsidP="478BB477" w:rsidRDefault="0F0D083B" w14:paraId="41FE69A8" w14:textId="1A25871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budget hotel market is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anticipated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grow at a CAGR of 4.2% during the forecast period,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indicating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promising avenue for expansion (George, 2021). Premier Inn can explore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opportunities in emerging markets and densely populated urban areas, where demand for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economical yet comfortable lodgings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is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high. The strategic alliances with online travel agencies and digital marketing initiatives can enhance its visibility and attract a wider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 base. However, challenge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 such as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aintaining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service quality while expanding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rapidly, local regulatory hurdles and competition from local budget hotels are potential </w:t>
      </w: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barriers to growth for Premier Inn</w:t>
      </w:r>
    </w:p>
    <w:p w:rsidR="0F0D083B" w:rsidP="478BB477" w:rsidRDefault="0F0D083B" w14:paraId="2BDFF258" w14:textId="50D1C8A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78BB477" w:rsidR="0F0D08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4DB1ED6C" w:rsidP="478BB477" w:rsidRDefault="4DB1ED6C" w14:paraId="480ACFC8" w14:textId="3ED0B5C4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</w:pPr>
      <w:r w:rsidRPr="478BB477" w:rsidR="4DB1ED6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Financial commitments to</w:t>
      </w:r>
      <w:r w:rsidRPr="478BB477" w:rsidR="27FF57C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CSR</w:t>
      </w:r>
    </w:p>
    <w:p w:rsidR="15A6CBD4" w:rsidP="478BB477" w:rsidRDefault="15A6CBD4" w14:paraId="687B2612" w14:textId="601D545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Incorporating sustainable </w:t>
      </w:r>
      <w:r w:rsidRPr="478BB477" w:rsidR="7A5EA0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practices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community involvement, and moral business conduct, the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Group has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demonstrated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distinctive financial commitment to CSR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projects. According to the publicly available annual report of the organization, it committed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almost $10 million to CSR initiatives around the world in 2022 (Consumer Statista, 2023). A sizeable percentage of this budget was set aside for sustainability projects, such as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renovations to the hotels' energy efficiency, </w:t>
      </w:r>
      <w:r w:rsidRPr="478BB477" w:rsidR="275528F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endeavors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reduce waste, and water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conservation activities. Additionally, the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actively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participates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</w:t>
      </w:r>
      <w:r w:rsidRPr="478BB477" w:rsidR="32E933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neighborhood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communities by funding healthcare and environmental conservation projects as well as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educational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The company also upholds moral business conduct by encouraging </w:t>
      </w:r>
      <w:r w:rsidRPr="478BB477" w:rsidR="5DB1D7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labor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laws, diversity, and inclusion in the workforce. Their dedication to CSR is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demonstrated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collaborations with nonprofit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organisations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have a positive social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impact in the areas in which they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operate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15A6CBD4" w:rsidP="478BB477" w:rsidRDefault="15A6CBD4" w14:paraId="08FD532F" w14:textId="42ADD64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contrast, Premier Inn represents a notable financial commitment to CSR initiatives as they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committed $5 million or so in CSR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programmes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2022, placing a focus on sustainability,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community participation, and ethical practices (George, 2021). The organization </w:t>
      </w:r>
      <w:r w:rsidRPr="478BB477" w:rsidR="5AC858A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implemented energy-efficient measures in their properties, reducing carbon emissions and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minimizing their environmental footprint. Premier Inn actively engages with local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communities through charitable donations, volunteer programs, and collaborations with </w:t>
      </w:r>
      <w:r w:rsidRPr="478BB477" w:rsidR="463B96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local organizations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focusing on education, homelessness, and youth development. Ethical business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practices are upheld through rigorous supplier assessments, ensuring fair </w:t>
      </w:r>
      <w:r w:rsidRPr="478BB477" w:rsidR="04CF72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labor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practices and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ethical sourcing. Premier Inn's commitment to CSR is reflected in its efforts to create a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positive impact on society while 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478BB477" w:rsidR="15A6C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sustainable and ethical operations</w:t>
      </w:r>
      <w:r w:rsidRPr="478BB477" w:rsidR="1FD67C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78BB477" w:rsidP="478BB477" w:rsidRDefault="478BB477" w14:paraId="78A031E5" w14:textId="18BDD09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D67CFB" w:rsidP="478BB477" w:rsidRDefault="1FD67CFB" w14:paraId="5F7DE0A8" w14:textId="1B541E30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FD67CF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Resources and capabilities</w:t>
      </w:r>
    </w:p>
    <w:p w:rsidR="1FD67CFB" w:rsidP="478BB477" w:rsidRDefault="1FD67CFB" w14:paraId="5D176294" w14:textId="41232784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FD67CF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Mandarin Oriental Hotel Group</w:t>
      </w:r>
    </w:p>
    <w:p w:rsidR="4B8D553C" w:rsidP="478BB477" w:rsidRDefault="4B8D553C" w14:paraId="4CB881FF" w14:textId="6EC4703D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4B8D553C">
        <w:drawing>
          <wp:inline wp14:editId="0E7C1B57" wp14:anchorId="085F17BC">
            <wp:extent cx="6515100" cy="1943100"/>
            <wp:effectExtent l="0" t="0" r="0" b="0"/>
            <wp:docPr id="4621650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168717054c41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8D553C" w:rsidP="478BB477" w:rsidRDefault="4B8D553C" w14:paraId="7CCA8EF6" w14:textId="4945972D">
      <w:pPr>
        <w:pStyle w:val="Normal"/>
        <w:jc w:val="left"/>
      </w:pPr>
      <w:r w:rsidR="4B8D553C">
        <w:drawing>
          <wp:inline wp14:editId="3892E596" wp14:anchorId="31C21F09">
            <wp:extent cx="6267450" cy="1609725"/>
            <wp:effectExtent l="0" t="0" r="0" b="0"/>
            <wp:docPr id="183543234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0cdeee14fe74c9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8BB477" w:rsidP="478BB477" w:rsidRDefault="478BB477" w14:paraId="4B1DAFCB" w14:textId="5A649AC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41EF730" w:rsidP="478BB477" w:rsidRDefault="141EF730" w14:paraId="02FAEF4D" w14:textId="1FB6093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1EF73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Table 1: Resources and capabilities of Mandarin Oriental Hotel Group</w:t>
      </w:r>
    </w:p>
    <w:p w:rsidR="141EF730" w:rsidP="478BB477" w:rsidRDefault="141EF730" w14:paraId="5C5BCD8E" w14:textId="15CF99A6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1EF73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(Source: Learner)</w:t>
      </w:r>
    </w:p>
    <w:p w:rsidR="1F66BDF0" w:rsidP="478BB477" w:rsidRDefault="1F66BDF0" w14:paraId="51558AA2" w14:textId="1C02D84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Group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allocated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$10 million for CSR initiatives, reducing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their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carbon footprint by 15% through sustainability efforts, engaged with 50 plus local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communities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globally, and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achieved a 90% satisfaction rate in supplier assessments for 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ethical practices</w:t>
      </w:r>
      <w:r w:rsidRPr="478BB477" w:rsidR="1F66BD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(Hu, Liu, and Zhang, 2020).</w:t>
      </w:r>
    </w:p>
    <w:p w:rsidR="478BB477" w:rsidP="478BB477" w:rsidRDefault="478BB477" w14:paraId="2C242F7E" w14:textId="19A6920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66BDF0" w:rsidP="478BB477" w:rsidRDefault="1F66BDF0" w14:paraId="757C581E" w14:textId="1A59C626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F66BDF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Premier Inn:</w:t>
      </w:r>
    </w:p>
    <w:p w:rsidR="1F66BDF0" w:rsidP="478BB477" w:rsidRDefault="1F66BDF0" w14:paraId="430136A0" w14:textId="71E676E4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1F66BDF0">
        <w:drawing>
          <wp:inline wp14:editId="0847FE2C" wp14:anchorId="3D74E067">
            <wp:extent cx="6076242" cy="1952625"/>
            <wp:effectExtent l="0" t="0" r="0" b="0"/>
            <wp:docPr id="523965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e32c4a099c40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242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8BB477" w:rsidP="478BB477" w:rsidRDefault="478BB477" w14:paraId="11ADD06C" w14:textId="0F426AC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260CDE01" w14:textId="3F193556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F66BDF0" w:rsidP="478BB477" w:rsidRDefault="1F66BDF0" w14:paraId="6858AC16" w14:textId="15C251D1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="1F66BDF0">
        <w:drawing>
          <wp:inline wp14:editId="49BAA384" wp14:anchorId="311A470D">
            <wp:extent cx="6176525" cy="1419225"/>
            <wp:effectExtent l="0" t="0" r="0" b="0"/>
            <wp:docPr id="8981394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ac997776904bb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652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B08853" w:rsidP="478BB477" w:rsidRDefault="1CB08853" w14:paraId="15088742" w14:textId="52EF3D29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CB088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Table 1: Resources and capabilities of Premier Inn</w:t>
      </w:r>
    </w:p>
    <w:p w:rsidR="1CB08853" w:rsidP="478BB477" w:rsidRDefault="1CB08853" w14:paraId="7B9F09F8" w14:textId="0FED30C5">
      <w:pPr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CB08853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(Source: Learner)</w:t>
      </w:r>
    </w:p>
    <w:p w:rsidR="478BB477" w:rsidP="478BB477" w:rsidRDefault="478BB477" w14:paraId="1E5504F0" w14:textId="5ABD262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10B2358D" w14:textId="00C351F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530E8A51" w14:textId="32E7982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26963586" w:rsidP="478BB477" w:rsidRDefault="26963586" w14:paraId="4091E9AB" w14:textId="4A89262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Premier Inn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allocated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$5 million for CSR initiatives, achieved a 20% reduction in water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usage through sustainable practices, engaged with 100 plus local communities globally, and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maintained a 95% satisfaction rate in supplier assessments for ethical practices (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Filimonau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Magklaropoulou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2020).</w:t>
      </w:r>
    </w:p>
    <w:p w:rsidR="26963586" w:rsidP="478BB477" w:rsidRDefault="26963586" w14:paraId="2D2D1AA3" w14:textId="159A29A7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69635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Cost-driven and value-driven as comparison</w:t>
      </w:r>
    </w:p>
    <w:p w:rsidR="26963586" w:rsidP="478BB477" w:rsidRDefault="26963586" w14:paraId="12039DFA" w14:textId="23A8BAD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group, being a luxury hotel chain, adopts a value-driven approach,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emphasizing exceptional service, opulent accommodations, and personalized experiences.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reflected in the presence of higher average room rates, catering to affluent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of 2022, the average room rate of the business stands at $500 per night, attesting to the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premium experience they offer (Chu and Chang, 2023). On the other hand, Premier Inn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follows a cost-driven model, focusing on affordability and practicality. Their average room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rate, as of 2022, is $100 per night, making them a budget-friendly choice for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seeking reliable accommodations. The organization further achieved economies of scale by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optimizing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operational costs while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quality (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Aroul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2023). By embracing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different market niches, both approaches have allowed Mandarin Oriental and Premier Inn to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cater to diverse customer segments, ensuring competitiveness in the ever-evolving hospitality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landscape.</w:t>
      </w:r>
    </w:p>
    <w:p w:rsidR="26963586" w:rsidP="478BB477" w:rsidRDefault="26963586" w14:paraId="531D78EB" w14:textId="3997832F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696358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Sustainability and correspondence as a comparison</w:t>
      </w:r>
    </w:p>
    <w:p w:rsidR="26963586" w:rsidP="478BB477" w:rsidRDefault="26963586" w14:paraId="79D4DAAC" w14:textId="611A604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Hotel group is primarily committed to sustainable initiatives, investing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significantly in energy-efficient technologies and waste reduction programs. By 2022, the </w:t>
      </w:r>
      <w:r w:rsidRPr="478BB477" w:rsidR="269635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 resulted in a 15% reduction in carbon emissions and a 20% decrease in water usage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which highlighted the dedication to environmental conservation (Jacob et al., 2022).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Furthermore, the involvement of the organization in over 50 community engagement projects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globally underscores their commitment to social responsibility (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Davahli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2020).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However, Premier Inn also emphasizes sustainability such as the focus of the organization on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reducing their environmental impact by investing in green technologies and sustainable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supply chains. As of 2022, Premier Inn achieved a 20% reduction in water usage,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indicating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commitment of the business to conserving natural resources (Teare, 2023). Moreover,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their active engagement with 100-plus local communities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demonstrates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commitment to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community outreach and support. Although the operations of the business are more budget-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oriented, the organization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strong focus on sustainable practices and community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involvement, aligning the strategies with broader environmental and social responsibilities.</w:t>
      </w:r>
    </w:p>
    <w:p w:rsidR="7208477F" w:rsidP="478BB477" w:rsidRDefault="7208477F" w14:paraId="6F3E7057" w14:textId="18632491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7208477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Recommendations</w:t>
      </w:r>
    </w:p>
    <w:p w:rsidR="7208477F" w:rsidP="478BB477" w:rsidRDefault="7208477F" w14:paraId="0EFEC89D" w14:textId="264A65A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the case of Mandarin Oriental Hotel Group, the analysis underscores the relative strength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catering to the luxury segment.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order to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further capitalize on the high-end positioning,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must strategically invest in expanding the presence of the business in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emerging markets such as China and India. With the luxury hotel market projected to grow at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CAGR of 4.7%, there exists a substantial opportunity for the organization to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presence in the rising affluence of consumers in these regions (Liu, Browne, and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Iossifova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2022). Additionally,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strong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community engagement initiatives should be amplified to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enhance brand loyalty. Furthermore, by partnering with local artisans, promoting indigenous</w:t>
      </w:r>
      <w:r w:rsidRPr="478BB477" w:rsidR="68EB7B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cultures, and tailoring services to cater to specific regional preferences, The organization may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further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establish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connections with local communities and international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alike, which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may lead to enhanced market share (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Kucukusta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Perelygina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Lam, 2019). This approach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aligns with the commitment to community engagement,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evidenced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by their active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participation in 50-plus local initiatives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globally.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contrary, Premier Inn is more focused on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providing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mid-range and budget hotel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segments. Premier Inn must concentrate on diversifying its offerings in current markets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through the introduction of themed or boutique hotel experiences, which may draw a wider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range of customers, including millennials as well as experiential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and thus drive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revenue growth (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Jimura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2023). This may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represent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Premier Inn to further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leverage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its strong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position in the market. Furthermore, the commitment of the business towards sustainability, </w:t>
      </w:r>
      <w:r w:rsidRPr="478BB477" w:rsidR="720847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organization must continue to invest in eco-friendly technologies and promote green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initiatives to environmentally conscious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This approach aligns with the dedication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sustainability practices of the business, which is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evident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the practice of a 20%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reduction in water usage and investment in green technologies (Anilkumar, Koppar. and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Baruah, 2023). </w:t>
      </w:r>
    </w:p>
    <w:p w:rsidR="007C3CE5" w:rsidP="478BB477" w:rsidRDefault="007C3CE5" w14:paraId="1A6498B5" w14:textId="2FF7D511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07C3CE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Conclusion</w:t>
      </w:r>
    </w:p>
    <w:p w:rsidR="007C3CE5" w:rsidP="478BB477" w:rsidRDefault="007C3CE5" w14:paraId="10F260B0" w14:textId="0EB7FC8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comprehensive analysis of Mandarin Oriental Hotel Group and Premier Inn reveals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distinct market positions and strategic approaches in the hospitality industry. Mandarin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Oriental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excels in the luxury segment, focusing on high-end experiences and personalized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service, while Premier Inn dominates the mid-range and budget markets with its practicality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affordability. Both organizatio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demonstr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ate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robust commitments to sustainability and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corporate social responsibility, aligning their strategies with global environmental concerns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community engagement. Through targeted initiatives and diverse market strategies,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Mandarin Oriental and Premier Inn continue to thrive, catering to the varied needs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of 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ers</w:t>
      </w:r>
      <w:r w:rsidRPr="478BB477" w:rsidR="007C3C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setting industry standards for luxury and budget accommodations.</w:t>
      </w:r>
    </w:p>
    <w:p w:rsidR="478BB477" w:rsidP="478BB477" w:rsidRDefault="478BB477" w14:paraId="2D37161C" w14:textId="32C9E13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901324C" w14:textId="1E45D7C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CC9124A" w14:textId="5DFBC74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13D15158" w14:textId="070BA75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1C44BCD9" w14:textId="5EF07D7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3E183E9" w14:textId="515A7EA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021C70AA" w14:textId="752D1E8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ADFC11A" w14:textId="66A7632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72CAC098" w14:textId="39CDB90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EDC2D93" w14:textId="18B3A8A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1A323D0C" w14:textId="4346973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70589FB" w:rsidP="478BB477" w:rsidRDefault="370589FB" w14:paraId="5F1379DC" w14:textId="21A934EF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References</w:t>
      </w:r>
    </w:p>
    <w:p w:rsidR="370589FB" w:rsidP="478BB477" w:rsidRDefault="370589FB" w14:paraId="784FAAF6" w14:textId="2B98608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Anilkumar, S., Koppar, R. and Baruah, P., (2023). Sustainability in Waste Management a </w:t>
      </w:r>
    </w:p>
    <w:p w:rsidR="370589FB" w:rsidP="478BB477" w:rsidRDefault="370589FB" w14:paraId="4FF925BE" w14:textId="01C4DF2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Study of International Hotels-A Review of Literatures. Emerging Aspects of Redefining </w:t>
      </w:r>
    </w:p>
    <w:p w:rsidR="370589FB" w:rsidP="478BB477" w:rsidRDefault="370589FB" w14:paraId="71FE717E" w14:textId="70523E3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Tourism &amp; Hospitality, p.164.</w:t>
      </w:r>
    </w:p>
    <w:p w:rsidR="370589FB" w:rsidP="478BB477" w:rsidRDefault="370589FB" w14:paraId="22E90A48" w14:textId="1444B78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Aroul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R.R., Hodari, D., Bianchi, G. and Martignoni, G., (2023). The impact of brand </w:t>
      </w:r>
    </w:p>
    <w:p w:rsidR="370589FB" w:rsidP="478BB477" w:rsidRDefault="370589FB" w14:paraId="58074BFC" w14:textId="3361B82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affiliation on asset values: the case of UK hotels. Journal of property research, 40(2), pp.157-</w:t>
      </w:r>
    </w:p>
    <w:p w:rsidR="370589FB" w:rsidP="478BB477" w:rsidRDefault="370589FB" w14:paraId="1EA9875C" w14:textId="5426129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187.</w:t>
      </w:r>
    </w:p>
    <w:p w:rsidR="370589FB" w:rsidP="478BB477" w:rsidRDefault="370589FB" w14:paraId="6E3E8407" w14:textId="1BFEB44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Chu, 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N.Y.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Chang, Y.T., (2023). THE EFFECT OF STRATEGY ALLIANCE ON </w:t>
      </w:r>
    </w:p>
    <w:p w:rsidR="370589FB" w:rsidP="478BB477" w:rsidRDefault="370589FB" w14:paraId="510072C0" w14:textId="1B7D42B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PROPERTY VALUES. International Journal of Organizational Innovation, 16(2).</w:t>
      </w:r>
    </w:p>
    <w:p w:rsidR="370589FB" w:rsidP="478BB477" w:rsidRDefault="370589FB" w14:paraId="1505B318" w14:textId="662D3ED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Chu, 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N.Y.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Chang, Y.T., (2023). THE EFFECT OF STRATEGY ALLIANCE ON </w:t>
      </w:r>
    </w:p>
    <w:p w:rsidR="370589FB" w:rsidP="478BB477" w:rsidRDefault="370589FB" w14:paraId="07DAB360" w14:textId="3642C00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PROPERTY VALUES. International Journal of Organizational Innovation, 16(2).</w:t>
      </w:r>
    </w:p>
    <w:p w:rsidR="370589FB" w:rsidP="478BB477" w:rsidRDefault="370589FB" w14:paraId="63DF7C4D" w14:textId="0EDE2E2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Consumer Statista (2023) Consumer attitudes towards CSR worldwide 2022, Statista. </w:t>
      </w:r>
    </w:p>
    <w:p w:rsidR="370589FB" w:rsidP="478BB477" w:rsidRDefault="370589FB" w14:paraId="6C6D14DB" w14:textId="780FE0E8">
      <w:pPr>
        <w:jc w:val="left"/>
        <w:rPr>
          <w:rFonts w:ascii="Times New Roman" w:hAnsi="Times New Roman" w:eastAsia="Times New Roman" w:cs="Times New Roman"/>
          <w:sz w:val="24"/>
          <w:szCs w:val="24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55aab5f941c347a0">
        <w:r w:rsidRPr="478BB477" w:rsidR="370589F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https://www.statista.com/statistics/1372794/consumer-attitudes-corporate-</w:t>
        </w:r>
      </w:hyperlink>
    </w:p>
    <w:p w:rsidR="370589FB" w:rsidP="478BB477" w:rsidRDefault="370589FB" w14:paraId="0BBC85AA" w14:textId="7BDF2B3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social-responsibility-worldwide/ (Accessed: October 19, 2023).</w:t>
      </w:r>
    </w:p>
    <w:p w:rsidR="370589FB" w:rsidP="478BB477" w:rsidRDefault="370589FB" w14:paraId="7B61F838" w14:textId="6FB0DE7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Davahli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M.R., Karwowski, W., Sonmez, S. and Apostolopoulos, Y., (2020). The hospitality </w:t>
      </w:r>
    </w:p>
    <w:p w:rsidR="370589FB" w:rsidP="478BB477" w:rsidRDefault="370589FB" w14:paraId="476A1A28" w14:textId="76C9D58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industry in the face of the COVID-19 pandemic: Current topics and research </w:t>
      </w:r>
    </w:p>
    <w:p w:rsidR="370589FB" w:rsidP="478BB477" w:rsidRDefault="370589FB" w14:paraId="6A6BB81B" w14:textId="69667C4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methods. International journal of environmental research and public health, 17(20), p.7366.</w:t>
      </w:r>
    </w:p>
    <w:p w:rsidR="370589FB" w:rsidP="478BB477" w:rsidRDefault="370589FB" w14:paraId="64F4FAA1" w14:textId="2CE76FB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Filimonau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V. and 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Magklaropoulou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A., (2020). Exploring the viability of a new ‘pay-as-you-</w:t>
      </w:r>
    </w:p>
    <w:p w:rsidR="370589FB" w:rsidP="478BB477" w:rsidRDefault="370589FB" w14:paraId="33685FB5" w14:textId="459E25C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use’energy</w:t>
      </w: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management model in budget hotels. International Journal of Hospitality </w:t>
      </w:r>
    </w:p>
    <w:p w:rsidR="370589FB" w:rsidP="478BB477" w:rsidRDefault="370589FB" w14:paraId="4680BE00" w14:textId="15CCF96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Management, 89, p.102538.</w:t>
      </w:r>
    </w:p>
    <w:p w:rsidR="370589FB" w:rsidP="478BB477" w:rsidRDefault="370589FB" w14:paraId="0B3FEE1D" w14:textId="2C8ED01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George, R., (2021). Tourism and Hospitality Marketing Principles. In Marketing Tourism and </w:t>
      </w:r>
    </w:p>
    <w:p w:rsidR="370589FB" w:rsidP="478BB477" w:rsidRDefault="370589FB" w14:paraId="5B900A25" w14:textId="6EDECC8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Hospitality: Concepts and Cases (pp. 3-31). Cham: Springer International Publishing.</w:t>
      </w:r>
    </w:p>
    <w:p w:rsidR="370589FB" w:rsidP="478BB477" w:rsidRDefault="370589FB" w14:paraId="4ED68959" w14:textId="1EC62A3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George, R., (2021). Tourism and Hospitality Marketing Principles. In Marketing Tourism and </w:t>
      </w:r>
    </w:p>
    <w:p w:rsidR="370589FB" w:rsidP="478BB477" w:rsidRDefault="370589FB" w14:paraId="7EC68E90" w14:textId="2128DB3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Hospitality: Concepts and Cases (pp. 3-31). Cham: Springer International Publishing.</w:t>
      </w:r>
    </w:p>
    <w:p w:rsidR="370589FB" w:rsidP="478BB477" w:rsidRDefault="370589FB" w14:paraId="5DC3F5EE" w14:textId="0F36678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Hu, B., Liu, J. and Zhang, X., (2020). The impact of employees’ perceived CSR on customer </w:t>
      </w:r>
    </w:p>
    <w:p w:rsidR="370589FB" w:rsidP="478BB477" w:rsidRDefault="370589FB" w14:paraId="18DD6186" w14:textId="7CB729E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orientation: an integrated perspective of generalized exchange and social identity </w:t>
      </w:r>
    </w:p>
    <w:p w:rsidR="370589FB" w:rsidP="478BB477" w:rsidRDefault="370589FB" w14:paraId="1CA28A06" w14:textId="3764177B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theory. International Journal of Contemporary Hospitality Management, 32(7), pp.2345-2364.</w:t>
      </w:r>
    </w:p>
    <w:p w:rsidR="370589FB" w:rsidP="478BB477" w:rsidRDefault="370589FB" w14:paraId="4439778E" w14:textId="4F13E8B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Jacob, J., Vijayalakshmi, O.J., Godwin, B.J. and Preethi, N., (2022), October. Paradigm of </w:t>
      </w:r>
    </w:p>
    <w:p w:rsidR="370589FB" w:rsidP="478BB477" w:rsidRDefault="370589FB" w14:paraId="666ACC5A" w14:textId="1F7C5C7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37058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green technologies in hospitality industry and its sustainability analytics. In 2022</w:t>
      </w:r>
    </w:p>
    <w:p w:rsidR="0A933410" w:rsidP="478BB477" w:rsidRDefault="0A933410" w14:paraId="19DAA29E" w14:textId="3253752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International Conference on Trends in Quantum Computing and Emerging Business </w:t>
      </w:r>
    </w:p>
    <w:p w:rsidR="0A933410" w:rsidP="478BB477" w:rsidRDefault="0A933410" w14:paraId="6596C065" w14:textId="2A26431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Technologies (TQCEBT) (pp. 1-5). IEEE.</w:t>
      </w:r>
    </w:p>
    <w:p w:rsidR="0A933410" w:rsidP="478BB477" w:rsidRDefault="0A933410" w14:paraId="339F3AF3" w14:textId="4D8BB4C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Jimura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T., (2023). Sustainability of Japan’s Accommodation Sector. In Sustainability </w:t>
      </w:r>
    </w:p>
    <w:p w:rsidR="0A933410" w:rsidP="478BB477" w:rsidRDefault="0A933410" w14:paraId="4F0E84DF" w14:textId="48C0C33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Management in Heritage and Tourism: The Concept and Practice of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Mottainai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 Japan (pp. </w:t>
      </w:r>
    </w:p>
    <w:p w:rsidR="0A933410" w:rsidP="478BB477" w:rsidRDefault="0A933410" w14:paraId="3BE8E903" w14:textId="3CF6636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171-205). Cham: Springer International Publishing.</w:t>
      </w:r>
    </w:p>
    <w:p w:rsidR="0A933410" w:rsidP="478BB477" w:rsidRDefault="0A933410" w14:paraId="74EDEC56" w14:textId="30F3F97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Kozhukhіvska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R.,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Sakovska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О.,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Maslovata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S.,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Dluhoborskа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L. and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Chuchmii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I., (2022), </w:t>
      </w:r>
    </w:p>
    <w:p w:rsidR="0A933410" w:rsidP="478BB477" w:rsidRDefault="0A933410" w14:paraId="6FBDF43C" w14:textId="58E040C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June. Managing innovation in tourism and hospitality industry: International experience. </w:t>
      </w:r>
    </w:p>
    <w:p w:rsidR="0A933410" w:rsidP="478BB477" w:rsidRDefault="0A933410" w14:paraId="25FD0968" w14:textId="1884CCF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 AIP Conference Proceedings (Vol. 2413, No. 1). AIP Publishing.</w:t>
      </w:r>
    </w:p>
    <w:p w:rsidR="0A933410" w:rsidP="478BB477" w:rsidRDefault="0A933410" w14:paraId="6DD04CA4" w14:textId="3B88E25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Kucukusta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D.,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Perelygina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M. and Lam, W.S., (2019). CSR communication strategies and </w:t>
      </w:r>
    </w:p>
    <w:p w:rsidR="0A933410" w:rsidP="478BB477" w:rsidRDefault="0A933410" w14:paraId="6913FCCE" w14:textId="29AB39A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stakeholder engagement of upscale hotels in social media. International journal of </w:t>
      </w:r>
    </w:p>
    <w:p w:rsidR="0A933410" w:rsidP="478BB477" w:rsidRDefault="0A933410" w14:paraId="0DE3B6B2" w14:textId="740118E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contemporary hospitality management, 31(5), pp.2129-2148.</w:t>
      </w:r>
    </w:p>
    <w:p w:rsidR="0A933410" w:rsidP="478BB477" w:rsidRDefault="0A933410" w14:paraId="69D2B320" w14:textId="1AA3FA51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Liu, Q., Browne, A.L. and 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Iossifova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D., (2022). A socio-material approach to resource </w:t>
      </w:r>
    </w:p>
    <w:p w:rsidR="0A933410" w:rsidP="478BB477" w:rsidRDefault="0A933410" w14:paraId="765665B1" w14:textId="38038E1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consumption and environmental sustainability of tourist accommodations in a Chinese hot </w:t>
      </w:r>
    </w:p>
    <w:p w:rsidR="0A933410" w:rsidP="478BB477" w:rsidRDefault="0A933410" w14:paraId="58A5C615" w14:textId="4B883802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spring town. Sustainable Production and Consumption, 30, pp.424-437.</w:t>
      </w:r>
    </w:p>
    <w:p w:rsidR="0A933410" w:rsidP="478BB477" w:rsidRDefault="0A933410" w14:paraId="16AA1494" w14:textId="134823E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mandarinoriental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Financial Reports, </w:t>
      </w:r>
    </w:p>
    <w:p w:rsidR="0A933410" w:rsidP="478BB477" w:rsidRDefault="0A933410" w14:paraId="11D27C81" w14:textId="020EC34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www.mandarinoriental.com/en/investors/financial-reports</w:t>
        </w:r>
      </w:hyperlink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Available at: </w:t>
      </w:r>
    </w:p>
    <w:p w:rsidR="0A933410" w:rsidP="478BB477" w:rsidRDefault="0A933410" w14:paraId="5BF3C661" w14:textId="23A6777C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fca528be3eb24390"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https://www.mandarinoriental.com/en/investors/financial-reports</w:t>
        </w:r>
      </w:hyperlink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October 19, </w:t>
      </w:r>
    </w:p>
    <w:p w:rsidR="0A933410" w:rsidP="478BB477" w:rsidRDefault="0A933410" w14:paraId="2C4EAF05" w14:textId="3E94D7A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2023).</w:t>
      </w:r>
    </w:p>
    <w:p w:rsidR="0A933410" w:rsidP="478BB477" w:rsidRDefault="0A933410" w14:paraId="6DEEDE1F" w14:textId="0947F7C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premierinn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(2022) </w:t>
      </w:r>
      <w:hyperlink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www.premierinn.com/content/dam/pi/websites/desktop/why</w:t>
        </w:r>
      </w:hyperlink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</w:p>
    <w:p w:rsidR="0A933410" w:rsidP="478BB477" w:rsidRDefault="0A933410" w14:paraId="7FD41D2C" w14:textId="487976E8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premierinn.com/content/. Available at: </w:t>
      </w:r>
    </w:p>
    <w:p w:rsidR="0A933410" w:rsidP="478BB477" w:rsidRDefault="0A933410" w14:paraId="4B16A864" w14:textId="1A55E748">
      <w:pPr>
        <w:jc w:val="left"/>
        <w:rPr>
          <w:sz w:val="24"/>
          <w:szCs w:val="24"/>
        </w:rPr>
      </w:pPr>
      <w:hyperlink r:id="R8939e434b6794084"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https://www.premierinn.com/content/dam/pi/websites/desktop/why/force%20for%20good/</w:t>
        </w:r>
      </w:hyperlink>
    </w:p>
    <w:p w:rsidR="0A933410" w:rsidP="478BB477" w:rsidRDefault="0A933410" w14:paraId="19FEB282" w14:textId="49C87DB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final-esg-report-2021-2022.pdf (Accessed: October 19, 2023).</w:t>
      </w:r>
    </w:p>
    <w:p w:rsidR="0A933410" w:rsidP="478BB477" w:rsidRDefault="0A933410" w14:paraId="71755846" w14:textId="6594307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Spherical (2023) Luxury Hotel Market Size to reach USD 238.4 Billion by 2030, Spherical </w:t>
      </w:r>
    </w:p>
    <w:p w:rsidR="0A933410" w:rsidP="478BB477" w:rsidRDefault="0A933410" w14:paraId="5E6D7A55" w14:textId="0F48B27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Insights. Available at: </w:t>
      </w:r>
      <w:hyperlink r:id="R8f8ebf7cca864489"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https://www.sphericalinsights.com/press-release/luxury-hotel-market</w:t>
        </w:r>
      </w:hyperlink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0A933410" w:rsidP="478BB477" w:rsidRDefault="0A933410" w14:paraId="3A5FD2ED" w14:textId="5BF2297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October 19, 2023).</w:t>
      </w:r>
    </w:p>
    <w:p w:rsidR="0A933410" w:rsidP="478BB477" w:rsidRDefault="0A933410" w14:paraId="1464E5E8" w14:textId="7945E30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Statista (2023) Premier inn share of hotel rooms in the United Kingdom (UK) 2011-2021, </w:t>
      </w:r>
    </w:p>
    <w:p w:rsidR="0A933410" w:rsidP="478BB477" w:rsidRDefault="0A933410" w14:paraId="28D08206" w14:textId="5CEE931A">
      <w:pPr>
        <w:jc w:val="left"/>
        <w:rPr>
          <w:sz w:val="24"/>
          <w:szCs w:val="24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Statista. Available at: </w:t>
      </w:r>
      <w:hyperlink r:id="Rdc2705ab787545ef">
        <w:r w:rsidRPr="478BB477" w:rsidR="0A93341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https://www.statista.com/statistics/755691/premier-inn-share-of-hotel-</w:t>
        </w:r>
      </w:hyperlink>
    </w:p>
    <w:p w:rsidR="0A933410" w:rsidP="478BB477" w:rsidRDefault="0A933410" w14:paraId="7E54A7E5" w14:textId="1AD245B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market-rooms-united-kingdom-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uk</w:t>
      </w:r>
      <w:r w:rsidRPr="478BB477" w:rsidR="0A93341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/ (Accessed: October 19, 2023)</w:t>
      </w:r>
    </w:p>
    <w:p w:rsidR="2223F576" w:rsidP="478BB477" w:rsidRDefault="2223F576" w14:paraId="23888C3D" w14:textId="6550243A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223F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Teare, R.E., (2023). Reflections on the theme issue </w:t>
      </w:r>
      <w:r w:rsidRPr="478BB477" w:rsidR="2223F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outcomes:</w:t>
      </w:r>
      <w:r w:rsidRPr="478BB477" w:rsidR="2223F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how is hospitality education </w:t>
      </w:r>
    </w:p>
    <w:p w:rsidR="2223F576" w:rsidP="478BB477" w:rsidRDefault="2223F576" w14:paraId="00E35FB8" w14:textId="1D1BFC7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223F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embedding sustainable practices in their curriculum and program delivery? An Asian </w:t>
      </w:r>
    </w:p>
    <w:p w:rsidR="2223F576" w:rsidP="478BB477" w:rsidRDefault="2223F576" w14:paraId="04C34CE1" w14:textId="2C1D8EA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2223F5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perspective. Worldwide Hospitality and Tourism Themes, 15(3), pp.328-332.</w:t>
      </w:r>
    </w:p>
    <w:p w:rsidR="478BB477" w:rsidP="478BB477" w:rsidRDefault="478BB477" w14:paraId="74C0744F" w14:textId="1023A04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203714C6" w14:textId="250BDEB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64408EBE" w14:textId="062F815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8309A3D" w14:textId="5B21F3B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06BA86F2" w14:textId="7D71C20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03A1F7E8" w14:textId="27B13D4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6A81093B" w14:textId="0384A9A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551CE234" w14:textId="3D2D64F8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DD7F4E8" w14:textId="0B6C47C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FE7178F" w14:textId="6026605B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734EC49D" w14:textId="069EFE22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7E35D41" w14:textId="58CEE9DF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2AC66D15" w14:textId="2F10BE4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6014AF3E" w14:textId="1D1BDC58">
      <w:pPr>
        <w:pStyle w:val="Title"/>
        <w:jc w:val="center"/>
      </w:pPr>
    </w:p>
    <w:p w:rsidR="478BB477" w:rsidP="478BB477" w:rsidRDefault="478BB477" w14:paraId="539470AF" w14:textId="1C6E6177">
      <w:pPr>
        <w:pStyle w:val="Title"/>
        <w:jc w:val="center"/>
      </w:pPr>
    </w:p>
    <w:p w:rsidR="478BB477" w:rsidP="478BB477" w:rsidRDefault="478BB477" w14:paraId="40890FD3" w14:textId="39DA7699">
      <w:pPr>
        <w:pStyle w:val="Title"/>
        <w:jc w:val="center"/>
      </w:pPr>
    </w:p>
    <w:p w:rsidR="478BB477" w:rsidP="478BB477" w:rsidRDefault="478BB477" w14:paraId="13B8DC75" w14:textId="070081E0">
      <w:pPr>
        <w:pStyle w:val="Title"/>
        <w:jc w:val="center"/>
      </w:pPr>
    </w:p>
    <w:p w:rsidR="478BB477" w:rsidP="478BB477" w:rsidRDefault="478BB477" w14:paraId="09F860C3" w14:textId="15072E79">
      <w:pPr>
        <w:pStyle w:val="Title"/>
        <w:jc w:val="center"/>
      </w:pPr>
    </w:p>
    <w:p w:rsidR="478BB477" w:rsidP="478BB477" w:rsidRDefault="478BB477" w14:paraId="59E12D4C" w14:textId="22CD2A36">
      <w:pPr>
        <w:pStyle w:val="Title"/>
        <w:jc w:val="center"/>
      </w:pPr>
    </w:p>
    <w:p w:rsidR="478BB477" w:rsidP="478BB477" w:rsidRDefault="478BB477" w14:paraId="51546A4E" w14:textId="128EB74F">
      <w:pPr>
        <w:pStyle w:val="Title"/>
        <w:jc w:val="center"/>
      </w:pPr>
    </w:p>
    <w:p w:rsidR="478BB477" w:rsidP="478BB477" w:rsidRDefault="478BB477" w14:paraId="48D7A602" w14:textId="661AB7B3">
      <w:pPr>
        <w:pStyle w:val="Title"/>
        <w:jc w:val="center"/>
      </w:pPr>
    </w:p>
    <w:p w:rsidR="478BB477" w:rsidP="478BB477" w:rsidRDefault="478BB477" w14:paraId="6B81C55D" w14:textId="4F753740">
      <w:pPr>
        <w:pStyle w:val="Title"/>
        <w:jc w:val="center"/>
      </w:pPr>
    </w:p>
    <w:p w:rsidR="478BB477" w:rsidP="478BB477" w:rsidRDefault="478BB477" w14:paraId="225F09D7" w14:textId="2ED2C5AA">
      <w:pPr>
        <w:pStyle w:val="Title"/>
        <w:jc w:val="center"/>
      </w:pPr>
    </w:p>
    <w:p w:rsidR="478BB477" w:rsidP="478BB477" w:rsidRDefault="478BB477" w14:paraId="6085F03B" w14:textId="6DC9103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86B7FAD" w14:textId="268DEB6F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52FCF9C" w14:textId="1F26004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6FEC048A" w14:textId="50AE18B9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60CA5151" w14:textId="6DA0C64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5F9C3272" w14:textId="5AB93CE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A49D47A" w14:textId="1D51BB23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72"/>
          <w:szCs w:val="72"/>
          <w:lang w:val="en-US"/>
        </w:rPr>
      </w:pPr>
    </w:p>
    <w:p w:rsidR="478BB477" w:rsidP="478BB477" w:rsidRDefault="478BB477" w14:paraId="7430AE8E" w14:textId="051AAA7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13CEC86E" w14:textId="592D9380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23378304" w14:textId="0F63119E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460B3D19" w14:textId="28B721D6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72CEF9E9" w14:textId="4AAEB45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7994438A" w14:textId="10F73444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78BB477" w:rsidP="478BB477" w:rsidRDefault="478BB477" w14:paraId="3418C33E" w14:textId="3EE52B27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498D180" w:rsidP="478BB477" w:rsidRDefault="1498D180" w14:paraId="710F8F80" w14:textId="0419937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Premier Inn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allocated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$5 million for CSR initiatives, achieved a 20% reduction in water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usage through sustainable practices, engaged with 100 plus local communities globally, and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maintained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95% satisfaction rate in supplier assessments for ethical practices (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Filimonau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Magklaropoulou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2020)</w:t>
      </w:r>
    </w:p>
    <w:p w:rsidR="1498D180" w:rsidP="478BB477" w:rsidRDefault="1498D180" w14:paraId="7340CCC0" w14:textId="2D178B7E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Cost</w:t>
      </w: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-driven and value-driven as </w:t>
      </w: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comparison</w:t>
      </w:r>
    </w:p>
    <w:p w:rsidR="1498D180" w:rsidP="478BB477" w:rsidRDefault="1498D180" w14:paraId="0CA66EEA" w14:textId="60EB07AD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Mandarin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Oriental Hotel group, being a luxury hotel chain, adopts a value-driven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approach,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emphasizing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exceptional service, opulent accommodations, and personalized experiences.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This is reflected in the presence of higher average room rates, catering to affluent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 of 2022, the average room rate of the business stands at $500 per night, attesting to the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premium experience they offer (Chu and Chang, 2023). On the other hand, Premier Inn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follows a cost-driven model, focusing on affordability and practicality. Their average room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rate, as of 2022, is $100 per night, making them a budget-friendly choice for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travellers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seeking reliable accommodations. The organization further achieved economies of scale by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optimizing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operational costs while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maintaining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quality (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Aroul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et al., 2023). By embracing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different market niches, both approaches have allowed Mandarin Oriental and Premier Inn to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cater to diverse customer segments, ensuring competitiveness in the ever-evolving hospitality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landscape.</w:t>
      </w:r>
    </w:p>
    <w:p w:rsidR="1498D180" w:rsidP="478BB477" w:rsidRDefault="1498D180" w14:paraId="1909F37A" w14:textId="7233F608">
      <w:pPr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Sustainability and correspondence as a </w:t>
      </w:r>
      <w:r w:rsidRPr="478BB477" w:rsidR="1498D180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comparison</w:t>
      </w:r>
    </w:p>
    <w:p w:rsidR="1498D180" w:rsidP="478BB477" w:rsidRDefault="1498D180" w14:paraId="329F6448" w14:textId="6F30BF15">
      <w:pPr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Mandarin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Oriental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Hotel group is primarily committed to sustainable initiatives, investing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significantly in energy-efficient technologies and waste reduction programs. By 2022, the </w:t>
      </w:r>
      <w:r w:rsidRPr="478BB477" w:rsidR="1498D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 resulted in a 15% reduction in carbon emissions and a 20% decrease in water usage,</w:t>
      </w:r>
    </w:p>
    <w:p w:rsidR="478BB477" w:rsidP="478BB477" w:rsidRDefault="478BB477" w14:paraId="435F430A" w14:textId="285651EA">
      <w:pPr>
        <w:pStyle w:val="Title"/>
        <w:jc w:val="center"/>
      </w:pPr>
    </w:p>
    <w:sectPr w:rsidRPr="000637C3" w:rsidR="001A2E8F" w:rsidSect="00A53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orient="portrait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2701E4" w:rsidRDefault="002701E4" w14:paraId="02EB378F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701E4" w:rsidRDefault="002701E4" w14:paraId="6A05A80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FZYaoTi">
    <w:altName w:val="方正姚体"/>
    <w:charset w:val="86"/>
    <w:family w:val="auto"/>
    <w:pitch w:val="variable"/>
    <w:sig w:usb0="00000003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TXinwei">
    <w:altName w:val="华文新魏"/>
    <w:charset w:val="86"/>
    <w:family w:val="auto"/>
    <w:pitch w:val="variable"/>
    <w:sig w:usb0="00000001" w:usb1="080F0000" w:usb2="00000010" w:usb3="00000000" w:csb0="0004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0D0B940D" wp14:textId="77777777">
    <w:pPr>
      <w:pStyle w:val="Footer"/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5628190"/>
      <w:docPartObj>
        <w:docPartGallery w:val="Page Numbers (Bottom of Page)"/>
        <w:docPartUnique/>
      </w:docPartObj>
    </w:sdtPr>
    <w:sdtEndPr/>
    <w:sdtContent>
      <w:p xmlns:wp14="http://schemas.microsoft.com/office/word/2010/wordml" w:rsidR="00441033" w:rsidRDefault="00171E9D" w14:paraId="2903CBC8" wp14:textId="77777777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0637C3">
          <w:rPr>
            <w:noProof/>
            <w:lang w:val="en-GB" w:bidi="en-GB"/>
          </w:rPr>
          <w:t>2</w:t>
        </w:r>
        <w:r>
          <w:rPr>
            <w:lang w:val="en-GB" w:bidi="en-GB"/>
          </w:rPr>
          <w:fldChar w:fldCharType="end"/>
        </w:r>
      </w:p>
    </w:sdtContent>
  </w:sdt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5DAB6C7B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2701E4" w:rsidRDefault="002701E4" w14:paraId="41C8F39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701E4" w:rsidRDefault="002701E4" w14:paraId="72A3D3EC" wp14:textId="77777777">
      <w:pPr>
        <w:spacing w:after="0" w:line="240" w:lineRule="auto"/>
      </w:pPr>
      <w:r>
        <w:continuationSeparator/>
      </w:r>
    </w:p>
  </w:footnote>
</w:footnotes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0A37501D" wp14:textId="77777777">
    <w:pPr>
      <w:pStyle w:val="Header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672A6659" wp14:textId="77777777">
    <w:pPr>
      <w:pStyle w:val="Header"/>
    </w:pP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="001C1BE5" w:rsidRDefault="001C1BE5" w14:paraId="5A39BBE3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B902B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0EC9C0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DE8BA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09AA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0440608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5492DD36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E15AF2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526A44A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659A5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1A6462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Symbol"/>
        <w:spacing w:val="40"/>
      </w:rPr>
    </w:lvl>
  </w:abstractNum>
  <w:abstractNum w:abstractNumId="10" w15:restartNumberingAfterBreak="0">
    <w:nsid w:val="11797E1C"/>
    <w:multiLevelType w:val="multilevel"/>
    <w:tmpl w:val="66567920"/>
    <w:numStyleLink w:val="ReportList"/>
  </w:abstractNum>
  <w:abstractNum w:abstractNumId="11" w15:restartNumberingAfterBreak="0">
    <w:nsid w:val="7EDF04B5"/>
    <w:multiLevelType w:val="multilevel"/>
    <w:tmpl w:val="66567920"/>
    <w:styleLink w:val="ReportList"/>
    <w:lvl w:ilvl="0">
      <w:start w:val="1"/>
      <w:numFmt w:val="decimal"/>
      <w:pStyle w:val="ListNumb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ListNumber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ListNumber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ListNumber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ListNumber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  <w:num w:numId="13">
    <w:abstractNumId w:val="9"/>
    <w:lvlOverride w:ilvl="0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E52"/>
    <w:rsid w:val="000637C3"/>
    <w:rsid w:val="00097E38"/>
    <w:rsid w:val="000E4E52"/>
    <w:rsid w:val="00171E9D"/>
    <w:rsid w:val="001A2E8F"/>
    <w:rsid w:val="001C1BE5"/>
    <w:rsid w:val="002701E4"/>
    <w:rsid w:val="00412657"/>
    <w:rsid w:val="00441033"/>
    <w:rsid w:val="005C08B0"/>
    <w:rsid w:val="006B16C5"/>
    <w:rsid w:val="00781867"/>
    <w:rsid w:val="007C3CE5"/>
    <w:rsid w:val="00854A83"/>
    <w:rsid w:val="00865F56"/>
    <w:rsid w:val="008A5FFA"/>
    <w:rsid w:val="008F39D5"/>
    <w:rsid w:val="00A53351"/>
    <w:rsid w:val="00BB3AD3"/>
    <w:rsid w:val="00BC2D16"/>
    <w:rsid w:val="00CF0404"/>
    <w:rsid w:val="00D715FF"/>
    <w:rsid w:val="00DB2FC6"/>
    <w:rsid w:val="00EC0580"/>
    <w:rsid w:val="00EF379B"/>
    <w:rsid w:val="00F038EE"/>
    <w:rsid w:val="00F90538"/>
    <w:rsid w:val="00FE5D4E"/>
    <w:rsid w:val="02EED7A1"/>
    <w:rsid w:val="04CF7217"/>
    <w:rsid w:val="0515E0FF"/>
    <w:rsid w:val="06153D8C"/>
    <w:rsid w:val="06E70B23"/>
    <w:rsid w:val="0790B7BB"/>
    <w:rsid w:val="07B10DED"/>
    <w:rsid w:val="07C248C4"/>
    <w:rsid w:val="0A2DC740"/>
    <w:rsid w:val="0A933410"/>
    <w:rsid w:val="0AF9E986"/>
    <w:rsid w:val="0B7BDF46"/>
    <w:rsid w:val="0BC997A1"/>
    <w:rsid w:val="0C6B56B3"/>
    <w:rsid w:val="0D564CA7"/>
    <w:rsid w:val="0D656802"/>
    <w:rsid w:val="0DFFF93F"/>
    <w:rsid w:val="0F0D083B"/>
    <w:rsid w:val="0FCD5AA9"/>
    <w:rsid w:val="0FDD209E"/>
    <w:rsid w:val="0FE99EA1"/>
    <w:rsid w:val="1018D1CA"/>
    <w:rsid w:val="108DED69"/>
    <w:rsid w:val="109D08C4"/>
    <w:rsid w:val="117FD43E"/>
    <w:rsid w:val="1304FB6B"/>
    <w:rsid w:val="141EF730"/>
    <w:rsid w:val="145D5DDC"/>
    <w:rsid w:val="1498D180"/>
    <w:rsid w:val="15A6CBD4"/>
    <w:rsid w:val="17D86C8E"/>
    <w:rsid w:val="188EF0C4"/>
    <w:rsid w:val="1898FF4E"/>
    <w:rsid w:val="1A34CFAF"/>
    <w:rsid w:val="1A4ED785"/>
    <w:rsid w:val="1BD96D0F"/>
    <w:rsid w:val="1CB08853"/>
    <w:rsid w:val="1D6429D7"/>
    <w:rsid w:val="1F66BDF0"/>
    <w:rsid w:val="1F7F8CDB"/>
    <w:rsid w:val="1FA01083"/>
    <w:rsid w:val="1FD67CFB"/>
    <w:rsid w:val="218DC724"/>
    <w:rsid w:val="2197D426"/>
    <w:rsid w:val="2223F576"/>
    <w:rsid w:val="22285861"/>
    <w:rsid w:val="22BE88E8"/>
    <w:rsid w:val="23E47EF4"/>
    <w:rsid w:val="24CF74E8"/>
    <w:rsid w:val="255FF923"/>
    <w:rsid w:val="26963586"/>
    <w:rsid w:val="275528F8"/>
    <w:rsid w:val="27FF57CF"/>
    <w:rsid w:val="28B7F017"/>
    <w:rsid w:val="28DE0636"/>
    <w:rsid w:val="292DCA6C"/>
    <w:rsid w:val="2B0BFC0C"/>
    <w:rsid w:val="2B17B001"/>
    <w:rsid w:val="2C08B936"/>
    <w:rsid w:val="2C656B2E"/>
    <w:rsid w:val="2DD47868"/>
    <w:rsid w:val="2F386C72"/>
    <w:rsid w:val="319CBD19"/>
    <w:rsid w:val="324669B1"/>
    <w:rsid w:val="3256CFA7"/>
    <w:rsid w:val="32700D34"/>
    <w:rsid w:val="32E933B4"/>
    <w:rsid w:val="3340E3A2"/>
    <w:rsid w:val="3413CB1B"/>
    <w:rsid w:val="3493C16A"/>
    <w:rsid w:val="35A7ADF6"/>
    <w:rsid w:val="370589FB"/>
    <w:rsid w:val="374B6BDD"/>
    <w:rsid w:val="37673D71"/>
    <w:rsid w:val="37CD619D"/>
    <w:rsid w:val="37DD3679"/>
    <w:rsid w:val="382526FA"/>
    <w:rsid w:val="38B5AB35"/>
    <w:rsid w:val="39A7CEFE"/>
    <w:rsid w:val="3A172D81"/>
    <w:rsid w:val="3A830C9F"/>
    <w:rsid w:val="3AE7AC1D"/>
    <w:rsid w:val="3B447ED8"/>
    <w:rsid w:val="3B5DA735"/>
    <w:rsid w:val="3D56298E"/>
    <w:rsid w:val="3F567DC2"/>
    <w:rsid w:val="40292AD2"/>
    <w:rsid w:val="40885A92"/>
    <w:rsid w:val="441F2863"/>
    <w:rsid w:val="463B9645"/>
    <w:rsid w:val="47364CFA"/>
    <w:rsid w:val="478BB477"/>
    <w:rsid w:val="47D83FDB"/>
    <w:rsid w:val="482301E0"/>
    <w:rsid w:val="49B5AC2E"/>
    <w:rsid w:val="49BDF2C8"/>
    <w:rsid w:val="4B629028"/>
    <w:rsid w:val="4B8D553C"/>
    <w:rsid w:val="4C345DBF"/>
    <w:rsid w:val="4DB1ED6C"/>
    <w:rsid w:val="4DD0D12B"/>
    <w:rsid w:val="4F6CA18C"/>
    <w:rsid w:val="51AE3474"/>
    <w:rsid w:val="51C9E426"/>
    <w:rsid w:val="557F4CC3"/>
    <w:rsid w:val="5589318C"/>
    <w:rsid w:val="569D5549"/>
    <w:rsid w:val="580794A1"/>
    <w:rsid w:val="5820BCFE"/>
    <w:rsid w:val="58411330"/>
    <w:rsid w:val="5AC858AD"/>
    <w:rsid w:val="5BEE8E47"/>
    <w:rsid w:val="5C526F0F"/>
    <w:rsid w:val="5CC69927"/>
    <w:rsid w:val="5DB1D7C7"/>
    <w:rsid w:val="5DEE3F70"/>
    <w:rsid w:val="5E626988"/>
    <w:rsid w:val="5FFE39E9"/>
    <w:rsid w:val="61AE76E7"/>
    <w:rsid w:val="61F9304D"/>
    <w:rsid w:val="63556D67"/>
    <w:rsid w:val="6383C5D7"/>
    <w:rsid w:val="65E91D35"/>
    <w:rsid w:val="65F95155"/>
    <w:rsid w:val="66B37913"/>
    <w:rsid w:val="680BDB84"/>
    <w:rsid w:val="68D72D49"/>
    <w:rsid w:val="68EB7B7E"/>
    <w:rsid w:val="6ACCC278"/>
    <w:rsid w:val="6B701521"/>
    <w:rsid w:val="6C697252"/>
    <w:rsid w:val="6FA58C3E"/>
    <w:rsid w:val="705A5B59"/>
    <w:rsid w:val="7208477F"/>
    <w:rsid w:val="72177373"/>
    <w:rsid w:val="72D8B3D6"/>
    <w:rsid w:val="7355ED05"/>
    <w:rsid w:val="73C84260"/>
    <w:rsid w:val="73DD36CE"/>
    <w:rsid w:val="7596299A"/>
    <w:rsid w:val="7605681D"/>
    <w:rsid w:val="763A14C1"/>
    <w:rsid w:val="77A29856"/>
    <w:rsid w:val="77AC24F9"/>
    <w:rsid w:val="792ECCFD"/>
    <w:rsid w:val="7947F55A"/>
    <w:rsid w:val="7A5EA0EA"/>
    <w:rsid w:val="7AE3C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7FD43E"/>
  <w15:chartTrackingRefBased/>
  <w15:docId w15:val="{BE0616D3-1F34-48BA-966A-434450A976C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color w:val="5A5A5A" w:themeColor="text2"/>
        <w:sz w:val="22"/>
        <w:szCs w:val="22"/>
        <w:lang w:val="en-US" w:eastAsia="en-US" w:bidi="ar-SA"/>
      </w:rPr>
    </w:rPrDefault>
    <w:pPrDefault>
      <w:pPr>
        <w:spacing w:after="120" w:line="31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8A5FFA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60"/>
      <w:outlineLvl w:val="0"/>
    </w:pPr>
    <w:rPr>
      <w:rFonts w:asciiTheme="majorHAnsi" w:hAnsiTheme="majorHAnsi" w:eastAsiaTheme="majorEastAsia" w:cstheme="majorBidi"/>
      <w:b/>
      <w:color w:val="006A89" w:themeColor="accent1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0" w:after="60"/>
      <w:outlineLvl w:val="1"/>
    </w:pPr>
    <w:rPr>
      <w:rFonts w:asciiTheme="majorHAnsi" w:hAnsiTheme="majorHAnsi" w:eastAsiaTheme="majorEastAsia" w:cstheme="majorBidi"/>
      <w:b/>
      <w:sz w:val="3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0" w:after="60"/>
      <w:outlineLvl w:val="2"/>
    </w:pPr>
    <w:rPr>
      <w:rFonts w:asciiTheme="majorHAnsi" w:hAnsiTheme="majorHAnsi" w:eastAsiaTheme="majorEastAsia" w:cstheme="majorBidi"/>
      <w:b/>
      <w:color w:val="006A89" w:themeColor="accent1"/>
      <w:sz w:val="26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0" w:after="60"/>
      <w:outlineLvl w:val="3"/>
    </w:pPr>
    <w:rPr>
      <w:rFonts w:asciiTheme="majorHAnsi" w:hAnsiTheme="majorHAnsi" w:eastAsiaTheme="majorEastAsia" w:cstheme="majorBidi"/>
      <w:b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0" w:after="60"/>
      <w:outlineLvl w:val="4"/>
    </w:pPr>
    <w:rPr>
      <w:rFonts w:asciiTheme="majorHAnsi" w:hAnsiTheme="majorHAnsi" w:eastAsiaTheme="majorEastAsia" w:cstheme="majorBidi"/>
      <w:color w:val="006A89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0" w:after="60"/>
      <w:outlineLvl w:val="5"/>
    </w:pPr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0" w:after="60"/>
      <w:outlineLvl w:val="6"/>
    </w:pPr>
    <w:rPr>
      <w:rFonts w:asciiTheme="majorHAnsi" w:hAnsiTheme="majorHAnsi" w:eastAsiaTheme="majorEastAsia" w:cstheme="majorBidi"/>
      <w:iCs/>
      <w:color w:val="006A89" w:themeColor="accen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0" w:after="60"/>
      <w:outlineLvl w:val="7"/>
    </w:pPr>
    <w:rPr>
      <w:rFonts w:asciiTheme="majorHAnsi" w:hAnsiTheme="majorHAnsi" w:eastAsiaTheme="majorEastAsia" w:cstheme="majorBidi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Cs/>
      <w:color w:val="006A89" w:themeColor="accent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pPr>
      <w:spacing w:after="240" w:line="240" w:lineRule="auto"/>
      <w:contextualSpacing/>
    </w:pPr>
    <w:rPr>
      <w:rFonts w:asciiTheme="majorHAnsi" w:hAnsiTheme="majorHAnsi" w:eastAsiaTheme="majorEastAsia" w:cstheme="majorBidi"/>
      <w:b/>
      <w:color w:val="006A89" w:themeColor="accent1"/>
      <w:spacing w:val="-10"/>
      <w:kern w:val="28"/>
      <w:sz w:val="52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b/>
      <w:color w:val="006A89" w:themeColor="accent1"/>
      <w:spacing w:val="-10"/>
      <w:kern w:val="28"/>
      <w:sz w:val="52"/>
      <w:szCs w:val="56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color w:val="006A89" w:themeColor="accent1"/>
      <w:sz w:val="36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sz w:val="30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color w:val="006A89" w:themeColor="accent1"/>
      <w:sz w:val="26"/>
      <w:szCs w:val="24"/>
    </w:rPr>
  </w:style>
  <w:style w:type="paragraph" w:styleId="ListBullet">
    <w:name w:val="List Bullet"/>
    <w:basedOn w:val="Normal"/>
    <w:uiPriority w:val="99"/>
    <w:unhideWhenUsed/>
    <w:qFormat/>
    <w:pPr>
      <w:contextualSpacing/>
    </w:pPr>
  </w:style>
  <w:style w:type="character" w:styleId="Heading4Char" w:customStyle="1">
    <w:name w:val="Heading 4 Char"/>
    <w:basedOn w:val="DefaultParagraphFont"/>
    <w:link w:val="Heading4"/>
    <w:uiPriority w:val="9"/>
    <w:semiHidden/>
    <w:rPr>
      <w:rFonts w:asciiTheme="majorHAnsi" w:hAnsiTheme="majorHAnsi" w:eastAsiaTheme="majorEastAsia" w:cstheme="majorBidi"/>
      <w:b/>
      <w:iCs/>
    </w:rPr>
  </w:style>
  <w:style w:type="character" w:styleId="Heading5Char" w:customStyle="1">
    <w:name w:val="Heading 5 Char"/>
    <w:basedOn w:val="DefaultParagraphFont"/>
    <w:link w:val="Heading5"/>
    <w:uiPriority w:val="9"/>
    <w:semiHidden/>
    <w:rPr>
      <w:rFonts w:asciiTheme="majorHAnsi" w:hAnsiTheme="majorHAnsi" w:eastAsiaTheme="majorEastAsia" w:cstheme="majorBidi"/>
      <w:color w:val="006A89" w:themeColor="accent1"/>
    </w:rPr>
  </w:style>
  <w:style w:type="character" w:styleId="Heading6Char" w:customStyle="1">
    <w:name w:val="Heading 6 Char"/>
    <w:basedOn w:val="DefaultParagraphFont"/>
    <w:link w:val="Heading6"/>
    <w:uiPriority w:val="9"/>
    <w:semiHidden/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semiHidden/>
    <w:rPr>
      <w:rFonts w:asciiTheme="majorHAnsi" w:hAnsiTheme="majorHAnsi" w:eastAsiaTheme="majorEastAsia" w:cstheme="majorBidi"/>
      <w:iCs/>
      <w:color w:val="006A89" w:themeColor="accent1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360" w:right="360"/>
    </w:pPr>
    <w:rPr>
      <w:b/>
      <w:iCs/>
      <w:color w:val="006A89" w:themeColor="accent1"/>
    </w:rPr>
  </w:style>
  <w:style w:type="character" w:styleId="QuoteChar" w:customStyle="1">
    <w:name w:val="Quote Char"/>
    <w:basedOn w:val="DefaultParagraphFont"/>
    <w:link w:val="Quote"/>
    <w:uiPriority w:val="29"/>
    <w:rPr>
      <w:b/>
      <w:iCs/>
      <w:color w:val="006A89" w:themeColor="accent1"/>
    </w:rPr>
  </w:style>
  <w:style w:type="numbering" w:styleId="ReportList" w:customStyle="1">
    <w:name w:val="Report List"/>
    <w:uiPriority w:val="99"/>
    <w:pPr>
      <w:numPr>
        <w:numId w:val="11"/>
      </w:numPr>
    </w:pPr>
  </w:style>
  <w:style w:type="paragraph" w:styleId="Header">
    <w:name w:val="header"/>
    <w:basedOn w:val="Normal"/>
    <w:link w:val="HeaderChar"/>
    <w:uiPriority w:val="99"/>
    <w:unhideWhenUsed/>
    <w:pPr>
      <w:spacing w:after="0" w:line="240" w:lineRule="auto"/>
    </w:pPr>
  </w:style>
  <w:style w:type="paragraph" w:styleId="ListNumber">
    <w:name w:val="List Number"/>
    <w:basedOn w:val="Normal"/>
    <w:uiPriority w:val="99"/>
    <w:unhideWhenUsed/>
    <w:qFormat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9"/>
    <w:unhideWhenUsed/>
    <w:qFormat/>
    <w:pPr>
      <w:numPr>
        <w:ilvl w:val="1"/>
        <w:numId w:val="12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ilvl w:val="2"/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ilvl w:val="3"/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ilvl w:val="4"/>
        <w:numId w:val="12"/>
      </w:numPr>
      <w:contextualSpacing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rsid w:val="00CF0404"/>
    <w:pPr>
      <w:spacing w:after="0" w:line="240" w:lineRule="auto"/>
      <w:jc w:val="right"/>
    </w:pPr>
    <w:rPr>
      <w:color w:val="616161" w:themeColor="accent3" w:themeShade="80"/>
    </w:rPr>
  </w:style>
  <w:style w:type="character" w:styleId="FooterChar" w:customStyle="1">
    <w:name w:val="Footer Char"/>
    <w:basedOn w:val="DefaultParagraphFont"/>
    <w:link w:val="Footer"/>
    <w:uiPriority w:val="99"/>
    <w:rsid w:val="00CF0404"/>
    <w:rPr>
      <w:color w:val="616161" w:themeColor="accent3" w:themeShade="80"/>
    </w:rPr>
  </w:style>
  <w:style w:type="character" w:styleId="Heading8Char" w:customStyle="1">
    <w:name w:val="Heading 8 Char"/>
    <w:basedOn w:val="DefaultParagraphFont"/>
    <w:link w:val="Heading8"/>
    <w:uiPriority w:val="9"/>
    <w:semiHidden/>
    <w:rPr>
      <w:rFonts w:asciiTheme="majorHAnsi" w:hAnsiTheme="majorHAnsi" w:eastAsiaTheme="majorEastAsia" w:cstheme="majorBidi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semiHidden/>
    <w:rPr>
      <w:rFonts w:asciiTheme="majorHAnsi" w:hAnsiTheme="majorHAnsi" w:eastAsiaTheme="majorEastAsia" w:cstheme="majorBidi"/>
      <w:iCs/>
      <w:color w:val="006A89" w:themeColor="accent1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1A2E8F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2E8F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1A2E8F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2E8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1A2E8F"/>
    <w:rPr>
      <w:b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2E8F"/>
    <w:pPr>
      <w:spacing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A2E8F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1A2E8F"/>
  </w:style>
  <w:style w:type="paragraph" w:styleId="BlockText">
    <w:name w:val="Block Text"/>
    <w:basedOn w:val="Normal"/>
    <w:uiPriority w:val="99"/>
    <w:semiHidden/>
    <w:unhideWhenUsed/>
    <w:rsid w:val="001A2E8F"/>
    <w:pPr>
      <w:pBdr>
        <w:top w:val="single" w:color="006A89" w:themeColor="accent1" w:sz="2" w:space="10" w:shadow="1" w:frame="1"/>
        <w:left w:val="single" w:color="006A89" w:themeColor="accent1" w:sz="2" w:space="10" w:shadow="1" w:frame="1"/>
        <w:bottom w:val="single" w:color="006A89" w:themeColor="accent1" w:sz="2" w:space="10" w:shadow="1" w:frame="1"/>
        <w:right w:val="single" w:color="006A89" w:themeColor="accent1" w:sz="2" w:space="10" w:shadow="1" w:frame="1"/>
      </w:pBdr>
      <w:ind w:left="1152" w:right="1152"/>
    </w:pPr>
    <w:rPr>
      <w:rFonts w:eastAsiaTheme="minorEastAsia"/>
      <w:i/>
      <w:iCs/>
      <w:color w:val="006A89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A2E8F"/>
  </w:style>
  <w:style w:type="character" w:styleId="BodyTextChar" w:customStyle="1">
    <w:name w:val="Body Text Char"/>
    <w:basedOn w:val="DefaultParagraphFont"/>
    <w:link w:val="BodyText"/>
    <w:uiPriority w:val="99"/>
    <w:semiHidden/>
    <w:rsid w:val="001A2E8F"/>
  </w:style>
  <w:style w:type="paragraph" w:styleId="BodyText2">
    <w:name w:val="Body Text 2"/>
    <w:basedOn w:val="Normal"/>
    <w:link w:val="BodyText2Char"/>
    <w:uiPriority w:val="99"/>
    <w:semiHidden/>
    <w:unhideWhenUsed/>
    <w:rsid w:val="001A2E8F"/>
    <w:pPr>
      <w:spacing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semiHidden/>
    <w:rsid w:val="001A2E8F"/>
  </w:style>
  <w:style w:type="paragraph" w:styleId="BodyText3">
    <w:name w:val="Body Text 3"/>
    <w:basedOn w:val="Normal"/>
    <w:link w:val="BodyText3Char"/>
    <w:uiPriority w:val="99"/>
    <w:semiHidden/>
    <w:unhideWhenUsed/>
    <w:rsid w:val="001A2E8F"/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1A2E8F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A2E8F"/>
    <w:pPr>
      <w:ind w:firstLine="360"/>
    </w:pPr>
  </w:style>
  <w:style w:type="character" w:styleId="BodyTextFirstIndentChar" w:customStyle="1">
    <w:name w:val="Body Text First Indent Char"/>
    <w:basedOn w:val="BodyTextChar"/>
    <w:link w:val="BodyTextFirstIndent"/>
    <w:uiPriority w:val="99"/>
    <w:semiHidden/>
    <w:rsid w:val="001A2E8F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A2E8F"/>
    <w:pPr>
      <w:ind w:left="283"/>
    </w:p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rsid w:val="001A2E8F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A2E8F"/>
    <w:pPr>
      <w:ind w:left="360" w:firstLine="360"/>
    </w:pPr>
  </w:style>
  <w:style w:type="character" w:styleId="BodyTextFirstIndent2Char" w:customStyle="1">
    <w:name w:val="Body Text First Indent 2 Char"/>
    <w:basedOn w:val="BodyTextIndentChar"/>
    <w:link w:val="BodyTextFirstIndent2"/>
    <w:uiPriority w:val="99"/>
    <w:semiHidden/>
    <w:rsid w:val="001A2E8F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A2E8F"/>
    <w:pPr>
      <w:spacing w:line="480" w:lineRule="auto"/>
      <w:ind w:left="283"/>
    </w:pPr>
  </w:style>
  <w:style w:type="character" w:styleId="BodyTextIndent2Char" w:customStyle="1">
    <w:name w:val="Body Text Indent 2 Char"/>
    <w:basedOn w:val="DefaultParagraphFont"/>
    <w:link w:val="BodyTextIndent2"/>
    <w:uiPriority w:val="99"/>
    <w:semiHidden/>
    <w:rsid w:val="001A2E8F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A2E8F"/>
    <w:pPr>
      <w:ind w:left="283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1A2E8F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1A2E8F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2E8F"/>
    <w:pPr>
      <w:spacing w:after="200" w:line="240" w:lineRule="auto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A2E8F"/>
    <w:pPr>
      <w:spacing w:after="0" w:line="240" w:lineRule="auto"/>
      <w:ind w:left="4252"/>
    </w:pPr>
  </w:style>
  <w:style w:type="character" w:styleId="ClosingChar" w:customStyle="1">
    <w:name w:val="Closing Char"/>
    <w:basedOn w:val="DefaultParagraphFont"/>
    <w:link w:val="Closing"/>
    <w:uiPriority w:val="99"/>
    <w:semiHidden/>
    <w:rsid w:val="001A2E8F"/>
  </w:style>
  <w:style w:type="table" w:styleId="ColorfulGrid">
    <w:name w:val="Colorful Grid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B4EEFF" w:themeFill="accent1" w:themeFillTint="33"/>
    </w:tcPr>
    <w:tblStylePr w:type="firstRow">
      <w:rPr>
        <w:b/>
        <w:bCs/>
      </w:rPr>
      <w:tblPr/>
      <w:tcPr>
        <w:shd w:val="clear" w:color="auto" w:fill="69DD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9DD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4F6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4F66" w:themeFill="accent1" w:themeFillShade="BF"/>
      </w:tc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shd w:val="clear" w:color="auto" w:fill="45D4FF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FE6F5" w:themeFill="accent2" w:themeFillTint="33"/>
    </w:tcPr>
    <w:tblStylePr w:type="firstRow">
      <w:rPr>
        <w:b/>
        <w:bCs/>
      </w:rPr>
      <w:tblPr/>
      <w:tcPr>
        <w:shd w:val="clear" w:color="auto" w:fill="A0CEEB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CEEB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C618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C618B" w:themeFill="accent2" w:themeFillShade="BF"/>
      </w:tc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shd w:val="clear" w:color="auto" w:fill="88C2E7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3F3F3" w:themeFill="accent3" w:themeFillTint="33"/>
    </w:tcPr>
    <w:tblStylePr w:type="firstRow">
      <w:rPr>
        <w:b/>
        <w:bCs/>
      </w:rPr>
      <w:tblPr/>
      <w:tcPr>
        <w:shd w:val="clear" w:color="auto" w:fill="E7E7E7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7E7E7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2929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29292" w:themeFill="accent3" w:themeFillShade="BF"/>
      </w:tc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BAFFF7" w:themeFill="accent4" w:themeFillTint="33"/>
    </w:tcPr>
    <w:tblStylePr w:type="firstRow">
      <w:rPr>
        <w:b/>
        <w:bCs/>
      </w:rPr>
      <w:tblPr/>
      <w:tcPr>
        <w:shd w:val="clear" w:color="auto" w:fill="76FFEF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6FFEF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07E70" w:themeFill="accent4" w:themeFillShade="BF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9FAC8" w:themeFill="accent5" w:themeFillTint="33"/>
    </w:tcPr>
    <w:tblStylePr w:type="firstRow">
      <w:rPr>
        <w:b/>
        <w:bCs/>
      </w:rPr>
      <w:tblPr/>
      <w:tcPr>
        <w:shd w:val="clear" w:color="auto" w:fill="D3F59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59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6940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6940C" w:themeFill="accent5" w:themeFillShade="BF"/>
      </w:tc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shd w:val="clear" w:color="auto" w:fill="C9F377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</w:rPr>
      <w:tblPr/>
      <w:tcPr>
        <w:shd w:val="clear" w:color="auto" w:fill="D2B1DB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B1DB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73573" w:themeFill="accent6" w:themeFillShade="BF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AF6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3F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1E6795" w:themeFill="accent2" w:themeFillShade="CC"/>
      </w:tcPr>
    </w:tblStylePr>
    <w:tblStylePr w:type="lastRow">
      <w:rPr>
        <w:b/>
        <w:bCs/>
        <w:color w:val="1E6795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F9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008778" w:themeFill="accent4" w:themeFillShade="CC"/>
      </w:tcPr>
    </w:tblStylePr>
    <w:tblStylePr w:type="lastRow">
      <w:rPr>
        <w:b/>
        <w:bCs/>
        <w:color w:val="008778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DFFFB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C9C9C" w:themeFill="accent3" w:themeFillShade="CC"/>
      </w:tcPr>
    </w:tblStylePr>
    <w:tblStylePr w:type="lastRow">
      <w:rPr>
        <w:b/>
        <w:bCs/>
        <w:color w:val="9C9C9C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CE4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E387B" w:themeFill="accent6" w:themeFillShade="CC"/>
      </w:tcPr>
    </w:tblStylePr>
    <w:tblStylePr w:type="lastRow">
      <w:rPr>
        <w:b/>
        <w:bCs/>
        <w:color w:val="6E387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EBF6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D9F0D" w:themeFill="accent5" w:themeFillShade="CC"/>
      </w:tcPr>
    </w:tblStylePr>
    <w:tblStylePr w:type="lastRow">
      <w:rPr>
        <w:b/>
        <w:bCs/>
        <w:color w:val="6D9F0D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006A89" w:themeColor="accent1" w:sz="4" w:space="0"/>
        <w:bottom w:val="single" w:color="006A89" w:themeColor="accent1" w:sz="4" w:space="0"/>
        <w:right w:val="single" w:color="006A89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AF6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3F52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3F52" w:themeColor="accent1" w:themeShade="99" w:sz="4" w:space="0"/>
          <w:insideV w:val="nil"/>
        </w:tcBorders>
        <w:shd w:val="clear" w:color="auto" w:fill="003F52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F52" w:themeFill="accent1" w:themeFillShade="99"/>
      </w:tcPr>
    </w:tblStylePr>
    <w:tblStylePr w:type="band1Vert">
      <w:tblPr/>
      <w:tcPr>
        <w:shd w:val="clear" w:color="auto" w:fill="69DDFF" w:themeFill="accent1" w:themeFillTint="66"/>
      </w:tcPr>
    </w:tblStylePr>
    <w:tblStylePr w:type="band1Horz">
      <w:tblPr/>
      <w:tcPr>
        <w:shd w:val="clear" w:color="auto" w:fill="45D4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24" w:space="0"/>
        <w:left w:val="single" w:color="2682BB" w:themeColor="accent2" w:sz="4" w:space="0"/>
        <w:bottom w:val="single" w:color="2682BB" w:themeColor="accent2" w:sz="4" w:space="0"/>
        <w:right w:val="single" w:color="2682BB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7F3F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64D7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64D70" w:themeColor="accent2" w:themeShade="99" w:sz="4" w:space="0"/>
          <w:insideV w:val="nil"/>
        </w:tcBorders>
        <w:shd w:val="clear" w:color="auto" w:fill="164D7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D70" w:themeFill="accent2" w:themeFillShade="99"/>
      </w:tcPr>
    </w:tblStylePr>
    <w:tblStylePr w:type="band1Vert">
      <w:tblPr/>
      <w:tcPr>
        <w:shd w:val="clear" w:color="auto" w:fill="A0CEEB" w:themeFill="accent2" w:themeFillTint="66"/>
      </w:tcPr>
    </w:tblStylePr>
    <w:tblStylePr w:type="band1Horz">
      <w:tblPr/>
      <w:tcPr>
        <w:shd w:val="clear" w:color="auto" w:fill="88C2E7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A997" w:themeColor="accent4" w:sz="24" w:space="0"/>
        <w:left w:val="single" w:color="C3C3C3" w:themeColor="accent3" w:sz="4" w:space="0"/>
        <w:bottom w:val="single" w:color="C3C3C3" w:themeColor="accent3" w:sz="4" w:space="0"/>
        <w:right w:val="single" w:color="C3C3C3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9F9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00A997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5757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57575" w:themeColor="accent3" w:themeShade="99" w:sz="4" w:space="0"/>
          <w:insideV w:val="nil"/>
        </w:tcBorders>
        <w:shd w:val="clear" w:color="auto" w:fill="75757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57575" w:themeFill="accent3" w:themeFillShade="99"/>
      </w:tcPr>
    </w:tblStylePr>
    <w:tblStylePr w:type="band1Vert">
      <w:tblPr/>
      <w:tcPr>
        <w:shd w:val="clear" w:color="auto" w:fill="E7E7E7" w:themeFill="accent3" w:themeFillTint="66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3" w:sz="24" w:space="0"/>
        <w:left w:val="single" w:color="00A997" w:themeColor="accent4" w:sz="4" w:space="0"/>
        <w:bottom w:val="single" w:color="00A997" w:themeColor="accent4" w:sz="4" w:space="0"/>
        <w:right w:val="single" w:color="00A997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DFFFB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3C3C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65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655A" w:themeColor="accent4" w:themeShade="99" w:sz="4" w:space="0"/>
          <w:insideV w:val="nil"/>
        </w:tcBorders>
        <w:shd w:val="clear" w:color="auto" w:fill="0065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55A" w:themeFill="accent4" w:themeFillShade="99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55FFE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24" w:space="0"/>
        <w:left w:val="single" w:color="89C711" w:themeColor="accent5" w:sz="4" w:space="0"/>
        <w:bottom w:val="single" w:color="89C711" w:themeColor="accent5" w:sz="4" w:space="0"/>
        <w:right w:val="single" w:color="89C711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FCE4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1770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1770A" w:themeColor="accent5" w:themeShade="99" w:sz="4" w:space="0"/>
          <w:insideV w:val="nil"/>
        </w:tcBorders>
        <w:shd w:val="clear" w:color="auto" w:fill="51770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770A" w:themeFill="accent5" w:themeFillShade="99"/>
      </w:tcPr>
    </w:tblStylePr>
    <w:tblStylePr w:type="band1Vert">
      <w:tblPr/>
      <w:tcPr>
        <w:shd w:val="clear" w:color="auto" w:fill="D3F592" w:themeFill="accent5" w:themeFillTint="66"/>
      </w:tcPr>
    </w:tblStylePr>
    <w:tblStylePr w:type="band1Horz">
      <w:tblPr/>
      <w:tcPr>
        <w:shd w:val="clear" w:color="auto" w:fill="C9F37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9C711" w:themeColor="accent5" w:sz="2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4EBF6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9C71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22A5C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22A5C" w:themeColor="accent6" w:themeShade="99" w:sz="4" w:space="0"/>
          <w:insideV w:val="nil"/>
        </w:tcBorders>
        <w:shd w:val="clear" w:color="auto" w:fill="522A5C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2A5C" w:themeFill="accent6" w:themeFillShade="99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C79DD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6A89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344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4F6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F6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682B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3405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C618B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618B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C3C3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1616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29292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9292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54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7E70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E7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9C711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620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6940C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4234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673573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73573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A2E8F"/>
  </w:style>
  <w:style w:type="character" w:styleId="DateChar" w:customStyle="1">
    <w:name w:val="Date Char"/>
    <w:basedOn w:val="DefaultParagraphFont"/>
    <w:link w:val="Date"/>
    <w:uiPriority w:val="99"/>
    <w:semiHidden/>
    <w:rsid w:val="001A2E8F"/>
  </w:style>
  <w:style w:type="paragraph" w:styleId="DocumentMap">
    <w:name w:val="Document Map"/>
    <w:basedOn w:val="Normal"/>
    <w:link w:val="DocumentMapChar"/>
    <w:uiPriority w:val="99"/>
    <w:semiHidden/>
    <w:unhideWhenUsed/>
    <w:rsid w:val="001A2E8F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1A2E8F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A2E8F"/>
    <w:pPr>
      <w:spacing w:after="0" w:line="240" w:lineRule="auto"/>
    </w:pPr>
  </w:style>
  <w:style w:type="character" w:styleId="E-mailSignatureChar" w:customStyle="1">
    <w:name w:val="E-mail Signature Char"/>
    <w:basedOn w:val="DefaultParagraphFont"/>
    <w:link w:val="E-mailSignature"/>
    <w:uiPriority w:val="99"/>
    <w:semiHidden/>
    <w:rsid w:val="001A2E8F"/>
  </w:style>
  <w:style w:type="character" w:styleId="Emphasis">
    <w:name w:val="Emphasis"/>
    <w:basedOn w:val="DefaultParagraphFont"/>
    <w:uiPriority w:val="20"/>
    <w:semiHidden/>
    <w:unhideWhenUsed/>
    <w:qFormat/>
    <w:rsid w:val="001A2E8F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1A2E8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A2E8F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1A2E8F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A2E8F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A2E8F"/>
    <w:rPr>
      <w:color w:val="8A479B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1A2E8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2E8F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1A2E8F"/>
    <w:rPr>
      <w:szCs w:val="20"/>
    </w:rPr>
  </w:style>
  <w:style w:type="table" w:styleId="GridTable1Light">
    <w:name w:val="Grid Table 1 Light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69DDFF" w:themeColor="accent1" w:themeTint="66" w:sz="4" w:space="0"/>
        <w:left w:val="single" w:color="69DDFF" w:themeColor="accent1" w:themeTint="66" w:sz="4" w:space="0"/>
        <w:bottom w:val="single" w:color="69DDFF" w:themeColor="accent1" w:themeTint="66" w:sz="4" w:space="0"/>
        <w:right w:val="single" w:color="69DDFF" w:themeColor="accent1" w:themeTint="66" w:sz="4" w:space="0"/>
        <w:insideH w:val="single" w:color="69DDFF" w:themeColor="accent1" w:themeTint="66" w:sz="4" w:space="0"/>
        <w:insideV w:val="single" w:color="69DDFF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1FCC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A0CEEB" w:themeColor="accent2" w:themeTint="66" w:sz="4" w:space="0"/>
        <w:left w:val="single" w:color="A0CEEB" w:themeColor="accent2" w:themeTint="66" w:sz="4" w:space="0"/>
        <w:bottom w:val="single" w:color="A0CEEB" w:themeColor="accent2" w:themeTint="66" w:sz="4" w:space="0"/>
        <w:right w:val="single" w:color="A0CEEB" w:themeColor="accent2" w:themeTint="66" w:sz="4" w:space="0"/>
        <w:insideH w:val="single" w:color="A0CEEB" w:themeColor="accent2" w:themeTint="66" w:sz="4" w:space="0"/>
        <w:insideV w:val="single" w:color="A0CEEB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70B6E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E7E7E7" w:themeColor="accent3" w:themeTint="66" w:sz="4" w:space="0"/>
        <w:left w:val="single" w:color="E7E7E7" w:themeColor="accent3" w:themeTint="66" w:sz="4" w:space="0"/>
        <w:bottom w:val="single" w:color="E7E7E7" w:themeColor="accent3" w:themeTint="66" w:sz="4" w:space="0"/>
        <w:right w:val="single" w:color="E7E7E7" w:themeColor="accent3" w:themeTint="66" w:sz="4" w:space="0"/>
        <w:insideH w:val="single" w:color="E7E7E7" w:themeColor="accent3" w:themeTint="66" w:sz="4" w:space="0"/>
        <w:insideV w:val="single" w:color="E7E7E7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76FFEF" w:themeColor="accent4" w:themeTint="66" w:sz="4" w:space="0"/>
        <w:left w:val="single" w:color="76FFEF" w:themeColor="accent4" w:themeTint="66" w:sz="4" w:space="0"/>
        <w:bottom w:val="single" w:color="76FFEF" w:themeColor="accent4" w:themeTint="66" w:sz="4" w:space="0"/>
        <w:right w:val="single" w:color="76FFEF" w:themeColor="accent4" w:themeTint="66" w:sz="4" w:space="0"/>
        <w:insideH w:val="single" w:color="76FFEF" w:themeColor="accent4" w:themeTint="66" w:sz="4" w:space="0"/>
        <w:insideV w:val="single" w:color="76FFEF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32FFE8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D3F592" w:themeColor="accent5" w:themeTint="66" w:sz="4" w:space="0"/>
        <w:left w:val="single" w:color="D3F592" w:themeColor="accent5" w:themeTint="66" w:sz="4" w:space="0"/>
        <w:bottom w:val="single" w:color="D3F592" w:themeColor="accent5" w:themeTint="66" w:sz="4" w:space="0"/>
        <w:right w:val="single" w:color="D3F592" w:themeColor="accent5" w:themeTint="66" w:sz="4" w:space="0"/>
        <w:insideH w:val="single" w:color="D3F592" w:themeColor="accent5" w:themeTint="66" w:sz="4" w:space="0"/>
        <w:insideV w:val="single" w:color="D3F592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BEF15C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  <w:tblBorders>
        <w:top w:val="single" w:color="D2B1DB" w:themeColor="accent6" w:themeTint="66" w:sz="4" w:space="0"/>
        <w:left w:val="single" w:color="D2B1DB" w:themeColor="accent6" w:themeTint="66" w:sz="4" w:space="0"/>
        <w:bottom w:val="single" w:color="D2B1DB" w:themeColor="accent6" w:themeTint="66" w:sz="4" w:space="0"/>
        <w:right w:val="single" w:color="D2B1DB" w:themeColor="accent6" w:themeTint="66" w:sz="4" w:space="0"/>
        <w:insideH w:val="single" w:color="D2B1DB" w:themeColor="accent6" w:themeTint="66" w:sz="4" w:space="0"/>
        <w:insideV w:val="single" w:color="D2B1DB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2" w:space="0"/>
        <w:bottom w:val="single" w:color="1FCCFF" w:themeColor="accent1" w:themeTint="99" w:sz="2" w:space="0"/>
        <w:insideH w:val="single" w:color="1FCCFF" w:themeColor="accent1" w:themeTint="99" w:sz="2" w:space="0"/>
        <w:insideV w:val="single" w:color="1FCC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1FCC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2" w:space="0"/>
        <w:bottom w:val="single" w:color="70B6E2" w:themeColor="accent2" w:themeTint="99" w:sz="2" w:space="0"/>
        <w:insideH w:val="single" w:color="70B6E2" w:themeColor="accent2" w:themeTint="99" w:sz="2" w:space="0"/>
        <w:insideV w:val="single" w:color="70B6E2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70B6E2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2" w:space="0"/>
        <w:bottom w:val="single" w:color="DBDBDB" w:themeColor="accent3" w:themeTint="99" w:sz="2" w:space="0"/>
        <w:insideH w:val="single" w:color="DBDBDB" w:themeColor="accent3" w:themeTint="99" w:sz="2" w:space="0"/>
        <w:insideV w:val="single" w:color="DBDBDB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BDBDB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2" w:space="0"/>
        <w:bottom w:val="single" w:color="32FFE8" w:themeColor="accent4" w:themeTint="99" w:sz="2" w:space="0"/>
        <w:insideH w:val="single" w:color="32FFE8" w:themeColor="accent4" w:themeTint="99" w:sz="2" w:space="0"/>
        <w:insideV w:val="single" w:color="32FFE8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32FFE8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2" w:space="0"/>
        <w:bottom w:val="single" w:color="BEF15C" w:themeColor="accent5" w:themeTint="99" w:sz="2" w:space="0"/>
        <w:insideH w:val="single" w:color="BEF15C" w:themeColor="accent5" w:themeTint="99" w:sz="2" w:space="0"/>
        <w:insideV w:val="single" w:color="BEF15C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EF15C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2" w:space="0"/>
        <w:bottom w:val="single" w:color="BC89C9" w:themeColor="accent6" w:themeTint="99" w:sz="2" w:space="0"/>
        <w:insideH w:val="single" w:color="BC89C9" w:themeColor="accent6" w:themeTint="99" w:sz="2" w:space="0"/>
        <w:insideV w:val="single" w:color="BC89C9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BC89C9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3">
    <w:name w:val="Grid Table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3-Accent1">
    <w:name w:val="Grid Table 3 Accent 1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bottom w:val="single" w:color="1FCCFF" w:themeColor="accent1" w:themeTint="99" w:sz="4" w:space="0"/>
        </w:tcBorders>
      </w:tcPr>
    </w:tblStylePr>
    <w:tblStylePr w:type="nwCell">
      <w:tblPr/>
      <w:tcPr>
        <w:tcBorders>
          <w:bottom w:val="single" w:color="1FCCFF" w:themeColor="accent1" w:themeTint="99" w:sz="4" w:space="0"/>
        </w:tcBorders>
      </w:tcPr>
    </w:tblStylePr>
    <w:tblStylePr w:type="seCell">
      <w:tblPr/>
      <w:tcPr>
        <w:tcBorders>
          <w:top w:val="single" w:color="1FCCFF" w:themeColor="accent1" w:themeTint="99" w:sz="4" w:space="0"/>
        </w:tcBorders>
      </w:tcPr>
    </w:tblStylePr>
    <w:tblStylePr w:type="swCell">
      <w:tblPr/>
      <w:tcPr>
        <w:tcBorders>
          <w:top w:val="single" w:color="1FCCFF" w:themeColor="accent1" w:themeTint="99" w:sz="4" w:space="0"/>
        </w:tcBorders>
      </w:tcPr>
    </w:tblStylePr>
  </w:style>
  <w:style w:type="table" w:styleId="GridTable3-Accent2">
    <w:name w:val="Grid Table 3 Accent 2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bottom w:val="single" w:color="70B6E2" w:themeColor="accent2" w:themeTint="99" w:sz="4" w:space="0"/>
        </w:tcBorders>
      </w:tcPr>
    </w:tblStylePr>
    <w:tblStylePr w:type="nwCell">
      <w:tblPr/>
      <w:tcPr>
        <w:tcBorders>
          <w:bottom w:val="single" w:color="70B6E2" w:themeColor="accent2" w:themeTint="99" w:sz="4" w:space="0"/>
        </w:tcBorders>
      </w:tcPr>
    </w:tblStylePr>
    <w:tblStylePr w:type="seCell">
      <w:tblPr/>
      <w:tcPr>
        <w:tcBorders>
          <w:top w:val="single" w:color="70B6E2" w:themeColor="accent2" w:themeTint="99" w:sz="4" w:space="0"/>
        </w:tcBorders>
      </w:tcPr>
    </w:tblStylePr>
    <w:tblStylePr w:type="swCell">
      <w:tblPr/>
      <w:tcPr>
        <w:tcBorders>
          <w:top w:val="single" w:color="70B6E2" w:themeColor="accent2" w:themeTint="99" w:sz="4" w:space="0"/>
        </w:tcBorders>
      </w:tcPr>
    </w:tblStylePr>
  </w:style>
  <w:style w:type="table" w:styleId="GridTable3-Accent3">
    <w:name w:val="Grid Table 3 Accent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bottom w:val="single" w:color="DBDBDB" w:themeColor="accent3" w:themeTint="99" w:sz="4" w:space="0"/>
        </w:tcBorders>
      </w:tcPr>
    </w:tblStylePr>
    <w:tblStylePr w:type="nwCell">
      <w:tblPr/>
      <w:tcPr>
        <w:tcBorders>
          <w:bottom w:val="single" w:color="DBDBDB" w:themeColor="accent3" w:themeTint="99" w:sz="4" w:space="0"/>
        </w:tcBorders>
      </w:tcPr>
    </w:tblStylePr>
    <w:tblStylePr w:type="seCell">
      <w:tblPr/>
      <w:tcPr>
        <w:tcBorders>
          <w:top w:val="single" w:color="DBDBDB" w:themeColor="accent3" w:themeTint="99" w:sz="4" w:space="0"/>
        </w:tcBorders>
      </w:tcPr>
    </w:tblStylePr>
    <w:tblStylePr w:type="swCell">
      <w:tblPr/>
      <w:tcPr>
        <w:tcBorders>
          <w:top w:val="single" w:color="DBDBDB" w:themeColor="accent3" w:themeTint="99" w:sz="4" w:space="0"/>
        </w:tcBorders>
      </w:tcPr>
    </w:tblStylePr>
  </w:style>
  <w:style w:type="table" w:styleId="GridTable3-Accent4">
    <w:name w:val="Grid Table 3 Accent 4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color="32FFE8" w:themeColor="accent4" w:themeTint="99" w:sz="4" w:space="0"/>
        </w:tcBorders>
      </w:tcPr>
    </w:tblStylePr>
    <w:tblStylePr w:type="nwCell">
      <w:tblPr/>
      <w:tcPr>
        <w:tcBorders>
          <w:bottom w:val="single" w:color="32FFE8" w:themeColor="accent4" w:themeTint="99" w:sz="4" w:space="0"/>
        </w:tcBorders>
      </w:tcPr>
    </w:tblStylePr>
    <w:tblStylePr w:type="seCell">
      <w:tblPr/>
      <w:tcPr>
        <w:tcBorders>
          <w:top w:val="single" w:color="32FFE8" w:themeColor="accent4" w:themeTint="99" w:sz="4" w:space="0"/>
        </w:tcBorders>
      </w:tcPr>
    </w:tblStylePr>
    <w:tblStylePr w:type="swCell">
      <w:tblPr/>
      <w:tcPr>
        <w:tcBorders>
          <w:top w:val="single" w:color="32FFE8" w:themeColor="accent4" w:themeTint="99" w:sz="4" w:space="0"/>
        </w:tcBorders>
      </w:tcPr>
    </w:tblStylePr>
  </w:style>
  <w:style w:type="table" w:styleId="GridTable3-Accent5">
    <w:name w:val="Grid Table 3 Accent 5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bottom w:val="single" w:color="BEF15C" w:themeColor="accent5" w:themeTint="99" w:sz="4" w:space="0"/>
        </w:tcBorders>
      </w:tcPr>
    </w:tblStylePr>
    <w:tblStylePr w:type="nwCell">
      <w:tblPr/>
      <w:tcPr>
        <w:tcBorders>
          <w:bottom w:val="single" w:color="BEF15C" w:themeColor="accent5" w:themeTint="99" w:sz="4" w:space="0"/>
        </w:tcBorders>
      </w:tcPr>
    </w:tblStylePr>
    <w:tblStylePr w:type="seCell">
      <w:tblPr/>
      <w:tcPr>
        <w:tcBorders>
          <w:top w:val="single" w:color="BEF15C" w:themeColor="accent5" w:themeTint="99" w:sz="4" w:space="0"/>
        </w:tcBorders>
      </w:tcPr>
    </w:tblStylePr>
    <w:tblStylePr w:type="swCell">
      <w:tblPr/>
      <w:tcPr>
        <w:tcBorders>
          <w:top w:val="single" w:color="BEF15C" w:themeColor="accent5" w:themeTint="99" w:sz="4" w:space="0"/>
        </w:tcBorders>
      </w:tcPr>
    </w:tblStylePr>
  </w:style>
  <w:style w:type="table" w:styleId="GridTable3-Accent6">
    <w:name w:val="Grid Table 3 Accent 6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table" w:styleId="GridTable4">
    <w:name w:val="Grid Table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6A89" w:themeColor="accent1" w:sz="4" w:space="0"/>
          <w:left w:val="single" w:color="006A89" w:themeColor="accent1" w:sz="4" w:space="0"/>
          <w:bottom w:val="single" w:color="006A89" w:themeColor="accent1" w:sz="4" w:space="0"/>
          <w:right w:val="single" w:color="006A89" w:themeColor="accent1" w:sz="4" w:space="0"/>
          <w:insideH w:val="nil"/>
          <w:insideV w:val="nil"/>
        </w:tcBorders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682BB" w:themeColor="accent2" w:sz="4" w:space="0"/>
          <w:left w:val="single" w:color="2682BB" w:themeColor="accent2" w:sz="4" w:space="0"/>
          <w:bottom w:val="single" w:color="2682BB" w:themeColor="accent2" w:sz="4" w:space="0"/>
          <w:right w:val="single" w:color="2682BB" w:themeColor="accent2" w:sz="4" w:space="0"/>
          <w:insideH w:val="nil"/>
          <w:insideV w:val="nil"/>
        </w:tcBorders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3" w:sz="4" w:space="0"/>
          <w:left w:val="single" w:color="C3C3C3" w:themeColor="accent3" w:sz="4" w:space="0"/>
          <w:bottom w:val="single" w:color="C3C3C3" w:themeColor="accent3" w:sz="4" w:space="0"/>
          <w:right w:val="single" w:color="C3C3C3" w:themeColor="accent3" w:sz="4" w:space="0"/>
          <w:insideH w:val="nil"/>
          <w:insideV w:val="nil"/>
        </w:tcBorders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A997" w:themeColor="accent4" w:sz="4" w:space="0"/>
          <w:left w:val="single" w:color="00A997" w:themeColor="accent4" w:sz="4" w:space="0"/>
          <w:bottom w:val="single" w:color="00A997" w:themeColor="accent4" w:sz="4" w:space="0"/>
          <w:right w:val="single" w:color="00A997" w:themeColor="accent4" w:sz="4" w:space="0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9C711" w:themeColor="accent5" w:sz="4" w:space="0"/>
          <w:left w:val="single" w:color="89C711" w:themeColor="accent5" w:sz="4" w:space="0"/>
          <w:bottom w:val="single" w:color="89C711" w:themeColor="accent5" w:sz="4" w:space="0"/>
          <w:right w:val="single" w:color="89C711" w:themeColor="accent5" w:sz="4" w:space="0"/>
          <w:insideH w:val="nil"/>
          <w:insideV w:val="nil"/>
        </w:tcBorders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5Dark">
    <w:name w:val="Grid Table 5 Dark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B4EE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6A89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6A89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6A8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6A89" w:themeFill="accent1"/>
      </w:tcPr>
    </w:tblStylePr>
    <w:tblStylePr w:type="band1Vert">
      <w:tblPr/>
      <w:tcPr>
        <w:shd w:val="clear" w:color="auto" w:fill="69DDFF" w:themeFill="accent1" w:themeFillTint="66"/>
      </w:tcPr>
    </w:tblStylePr>
    <w:tblStylePr w:type="band1Horz">
      <w:tblPr/>
      <w:tcPr>
        <w:shd w:val="clear" w:color="auto" w:fill="69DDFF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FE6F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82B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682B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682B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682BB" w:themeFill="accent2"/>
      </w:tcPr>
    </w:tblStylePr>
    <w:tblStylePr w:type="band1Vert">
      <w:tblPr/>
      <w:tcPr>
        <w:shd w:val="clear" w:color="auto" w:fill="A0CEEB" w:themeFill="accent2" w:themeFillTint="66"/>
      </w:tcPr>
    </w:tblStylePr>
    <w:tblStylePr w:type="band1Horz">
      <w:tblPr/>
      <w:tcPr>
        <w:shd w:val="clear" w:color="auto" w:fill="A0CEEB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3F3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C3C3C3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C3C3C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C3C3C3" w:themeFill="accent3"/>
      </w:tcPr>
    </w:tblStylePr>
    <w:tblStylePr w:type="band1Vert">
      <w:tblPr/>
      <w:tcPr>
        <w:shd w:val="clear" w:color="auto" w:fill="E7E7E7" w:themeFill="accent3" w:themeFillTint="66"/>
      </w:tcPr>
    </w:tblStylePr>
    <w:tblStylePr w:type="band1Horz">
      <w:tblPr/>
      <w:tcPr>
        <w:shd w:val="clear" w:color="auto" w:fill="E7E7E7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BAFFF7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A997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A997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A997" w:themeFill="accent4"/>
      </w:tcPr>
    </w:tblStylePr>
    <w:tblStylePr w:type="band1Vert">
      <w:tblPr/>
      <w:tcPr>
        <w:shd w:val="clear" w:color="auto" w:fill="76FFEF" w:themeFill="accent4" w:themeFillTint="66"/>
      </w:tcPr>
    </w:tblStylePr>
    <w:tblStylePr w:type="band1Horz">
      <w:tblPr/>
      <w:tcPr>
        <w:shd w:val="clear" w:color="auto" w:fill="76FFEF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9FAC8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9C711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9C711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9C7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9C711" w:themeFill="accent5"/>
      </w:tcPr>
    </w:tblStylePr>
    <w:tblStylePr w:type="band1Vert">
      <w:tblPr/>
      <w:tcPr>
        <w:shd w:val="clear" w:color="auto" w:fill="D3F592" w:themeFill="accent5" w:themeFillTint="66"/>
      </w:tcPr>
    </w:tblStylePr>
    <w:tblStylePr w:type="band1Horz">
      <w:tblPr/>
      <w:tcPr>
        <w:shd w:val="clear" w:color="auto" w:fill="D3F59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8D7ED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8A479B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8A479B" w:themeFill="accent6"/>
      </w:tcPr>
    </w:tblStylePr>
    <w:tblStylePr w:type="band1Vert">
      <w:tblPr/>
      <w:tcPr>
        <w:shd w:val="clear" w:color="auto" w:fill="D2B1DB" w:themeFill="accent6" w:themeFillTint="66"/>
      </w:tcPr>
    </w:tblStylePr>
    <w:tblStylePr w:type="band1Horz">
      <w:tblPr/>
      <w:tcPr>
        <w:shd w:val="clear" w:color="auto" w:fill="D2B1DB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1FCC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70B6E2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DBDBDB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32FFE8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BEF15C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BC89C9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  <w:insideV w:val="single" w:color="1FCC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bottom w:val="single" w:color="1FCCFF" w:themeColor="accent1" w:themeTint="99" w:sz="4" w:space="0"/>
        </w:tcBorders>
      </w:tcPr>
    </w:tblStylePr>
    <w:tblStylePr w:type="nwCell">
      <w:tblPr/>
      <w:tcPr>
        <w:tcBorders>
          <w:bottom w:val="single" w:color="1FCCFF" w:themeColor="accent1" w:themeTint="99" w:sz="4" w:space="0"/>
        </w:tcBorders>
      </w:tcPr>
    </w:tblStylePr>
    <w:tblStylePr w:type="seCell">
      <w:tblPr/>
      <w:tcPr>
        <w:tcBorders>
          <w:top w:val="single" w:color="1FCCFF" w:themeColor="accent1" w:themeTint="99" w:sz="4" w:space="0"/>
        </w:tcBorders>
      </w:tcPr>
    </w:tblStylePr>
    <w:tblStylePr w:type="swCell">
      <w:tblPr/>
      <w:tcPr>
        <w:tcBorders>
          <w:top w:val="single" w:color="1FCCFF" w:themeColor="accent1" w:themeTint="99" w:sz="4" w:space="0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  <w:insideV w:val="single" w:color="70B6E2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bottom w:val="single" w:color="70B6E2" w:themeColor="accent2" w:themeTint="99" w:sz="4" w:space="0"/>
        </w:tcBorders>
      </w:tcPr>
    </w:tblStylePr>
    <w:tblStylePr w:type="nwCell">
      <w:tblPr/>
      <w:tcPr>
        <w:tcBorders>
          <w:bottom w:val="single" w:color="70B6E2" w:themeColor="accent2" w:themeTint="99" w:sz="4" w:space="0"/>
        </w:tcBorders>
      </w:tcPr>
    </w:tblStylePr>
    <w:tblStylePr w:type="seCell">
      <w:tblPr/>
      <w:tcPr>
        <w:tcBorders>
          <w:top w:val="single" w:color="70B6E2" w:themeColor="accent2" w:themeTint="99" w:sz="4" w:space="0"/>
        </w:tcBorders>
      </w:tcPr>
    </w:tblStylePr>
    <w:tblStylePr w:type="swCell">
      <w:tblPr/>
      <w:tcPr>
        <w:tcBorders>
          <w:top w:val="single" w:color="70B6E2" w:themeColor="accent2" w:themeTint="99" w:sz="4" w:space="0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  <w:insideV w:val="single" w:color="DBDBDB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bottom w:val="single" w:color="DBDBDB" w:themeColor="accent3" w:themeTint="99" w:sz="4" w:space="0"/>
        </w:tcBorders>
      </w:tcPr>
    </w:tblStylePr>
    <w:tblStylePr w:type="nwCell">
      <w:tblPr/>
      <w:tcPr>
        <w:tcBorders>
          <w:bottom w:val="single" w:color="DBDBDB" w:themeColor="accent3" w:themeTint="99" w:sz="4" w:space="0"/>
        </w:tcBorders>
      </w:tcPr>
    </w:tblStylePr>
    <w:tblStylePr w:type="seCell">
      <w:tblPr/>
      <w:tcPr>
        <w:tcBorders>
          <w:top w:val="single" w:color="DBDBDB" w:themeColor="accent3" w:themeTint="99" w:sz="4" w:space="0"/>
        </w:tcBorders>
      </w:tcPr>
    </w:tblStylePr>
    <w:tblStylePr w:type="swCell">
      <w:tblPr/>
      <w:tcPr>
        <w:tcBorders>
          <w:top w:val="single" w:color="DBDBDB" w:themeColor="accent3" w:themeTint="99" w:sz="4" w:space="0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  <w:insideV w:val="single" w:color="32FFE8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bottom w:val="single" w:color="32FFE8" w:themeColor="accent4" w:themeTint="99" w:sz="4" w:space="0"/>
        </w:tcBorders>
      </w:tcPr>
    </w:tblStylePr>
    <w:tblStylePr w:type="nwCell">
      <w:tblPr/>
      <w:tcPr>
        <w:tcBorders>
          <w:bottom w:val="single" w:color="32FFE8" w:themeColor="accent4" w:themeTint="99" w:sz="4" w:space="0"/>
        </w:tcBorders>
      </w:tcPr>
    </w:tblStylePr>
    <w:tblStylePr w:type="seCell">
      <w:tblPr/>
      <w:tcPr>
        <w:tcBorders>
          <w:top w:val="single" w:color="32FFE8" w:themeColor="accent4" w:themeTint="99" w:sz="4" w:space="0"/>
        </w:tcBorders>
      </w:tcPr>
    </w:tblStylePr>
    <w:tblStylePr w:type="swCell">
      <w:tblPr/>
      <w:tcPr>
        <w:tcBorders>
          <w:top w:val="single" w:color="32FFE8" w:themeColor="accent4" w:themeTint="99" w:sz="4" w:space="0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  <w:insideV w:val="single" w:color="BEF15C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bottom w:val="single" w:color="BEF15C" w:themeColor="accent5" w:themeTint="99" w:sz="4" w:space="0"/>
        </w:tcBorders>
      </w:tcPr>
    </w:tblStylePr>
    <w:tblStylePr w:type="nwCell">
      <w:tblPr/>
      <w:tcPr>
        <w:tcBorders>
          <w:bottom w:val="single" w:color="BEF15C" w:themeColor="accent5" w:themeTint="99" w:sz="4" w:space="0"/>
        </w:tcBorders>
      </w:tcPr>
    </w:tblStylePr>
    <w:tblStylePr w:type="seCell">
      <w:tblPr/>
      <w:tcPr>
        <w:tcBorders>
          <w:top w:val="single" w:color="BEF15C" w:themeColor="accent5" w:themeTint="99" w:sz="4" w:space="0"/>
        </w:tcBorders>
      </w:tcPr>
    </w:tblStylePr>
    <w:tblStylePr w:type="swCell">
      <w:tblPr/>
      <w:tcPr>
        <w:tcBorders>
          <w:top w:val="single" w:color="BEF15C" w:themeColor="accent5" w:themeTint="99" w:sz="4" w:space="0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  <w:insideV w:val="single" w:color="BC89C9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bottom w:val="single" w:color="BC89C9" w:themeColor="accent6" w:themeTint="99" w:sz="4" w:space="0"/>
        </w:tcBorders>
      </w:tcPr>
    </w:tblStylePr>
    <w:tblStylePr w:type="nwCell">
      <w:tblPr/>
      <w:tcPr>
        <w:tcBorders>
          <w:bottom w:val="single" w:color="BC89C9" w:themeColor="accent6" w:themeTint="99" w:sz="4" w:space="0"/>
        </w:tcBorders>
      </w:tcPr>
    </w:tblStylePr>
    <w:tblStylePr w:type="seCell">
      <w:tblPr/>
      <w:tcPr>
        <w:tcBorders>
          <w:top w:val="single" w:color="BC89C9" w:themeColor="accent6" w:themeTint="99" w:sz="4" w:space="0"/>
        </w:tcBorders>
      </w:tcPr>
    </w:tblStylePr>
    <w:tblStylePr w:type="swCell">
      <w:tblPr/>
      <w:tcPr>
        <w:tcBorders>
          <w:top w:val="single" w:color="BC89C9" w:themeColor="accent6" w:themeTint="99" w:sz="4" w:space="0"/>
        </w:tcBorders>
      </w:tcPr>
    </w:tblStylePr>
  </w:style>
  <w:style w:type="character" w:styleId="Hashtag1" w:customStyle="1">
    <w:name w:val="Hashtag1"/>
    <w:basedOn w:val="DefaultParagraphFont"/>
    <w:uiPriority w:val="99"/>
    <w:semiHidden/>
    <w:unhideWhenUsed/>
    <w:rsid w:val="001A2E8F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1A2E8F"/>
  </w:style>
  <w:style w:type="paragraph" w:styleId="HTMLAddress">
    <w:name w:val="HTML Address"/>
    <w:basedOn w:val="Normal"/>
    <w:link w:val="HTMLAddressChar"/>
    <w:uiPriority w:val="99"/>
    <w:semiHidden/>
    <w:unhideWhenUsed/>
    <w:rsid w:val="001A2E8F"/>
    <w:pPr>
      <w:spacing w:after="0" w:line="240" w:lineRule="auto"/>
    </w:pPr>
    <w:rPr>
      <w:i/>
      <w:iCs/>
    </w:rPr>
  </w:style>
  <w:style w:type="character" w:styleId="HTMLAddressChar" w:customStyle="1">
    <w:name w:val="HTML Address Char"/>
    <w:basedOn w:val="DefaultParagraphFont"/>
    <w:link w:val="HTMLAddress"/>
    <w:uiPriority w:val="99"/>
    <w:semiHidden/>
    <w:rsid w:val="001A2E8F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1A2E8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1A2E8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A2E8F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1A2E8F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1A2E8F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1A2E8F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1A2E8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B3AD3"/>
    <w:rPr>
      <w:color w:val="004F66" w:themeColor="accent1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A2E8F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A2E8F"/>
    <w:rPr>
      <w:rFonts w:asciiTheme="majorHAnsi" w:hAnsiTheme="majorHAnsi" w:eastAsiaTheme="majorEastAsia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A2E8F"/>
    <w:rPr>
      <w:i/>
      <w:iCs/>
      <w:color w:val="006A89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A2E8F"/>
    <w:pPr>
      <w:pBdr>
        <w:top w:val="single" w:color="006A89" w:themeColor="accent1" w:sz="4" w:space="10"/>
        <w:bottom w:val="single" w:color="006A89" w:themeColor="accent1" w:sz="4" w:space="10"/>
      </w:pBdr>
      <w:spacing w:before="360" w:after="360"/>
      <w:ind w:left="864" w:right="864"/>
      <w:jc w:val="center"/>
    </w:pPr>
    <w:rPr>
      <w:i/>
      <w:iCs/>
      <w:color w:val="006A89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1A2E8F"/>
    <w:rPr>
      <w:i/>
      <w:iCs/>
      <w:color w:val="006A89" w:themeColor="accent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A2E8F"/>
    <w:rPr>
      <w:b/>
      <w:bCs/>
      <w:smallCaps/>
      <w:color w:val="006A89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  <w:insideH w:val="single" w:color="006A89" w:themeColor="accent1" w:sz="8" w:space="0"/>
        <w:insideV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18" w:space="0"/>
          <w:right w:val="single" w:color="006A89" w:themeColor="accent1" w:sz="8" w:space="0"/>
          <w:insideH w:val="nil"/>
          <w:insideV w:val="single" w:color="006A89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6A89" w:themeColor="accent1" w:sz="6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H w:val="nil"/>
          <w:insideV w:val="single" w:color="006A89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band1Vert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  <w:shd w:val="clear" w:color="auto" w:fill="A2E9FF" w:themeFill="accent1" w:themeFillTint="3F"/>
      </w:tcPr>
    </w:tblStylePr>
    <w:tblStylePr w:type="band1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V w:val="single" w:color="006A89" w:themeColor="accent1" w:sz="8" w:space="0"/>
        </w:tcBorders>
        <w:shd w:val="clear" w:color="auto" w:fill="A2E9FF" w:themeFill="accent1" w:themeFillTint="3F"/>
      </w:tcPr>
    </w:tblStylePr>
    <w:tblStylePr w:type="band2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  <w:insideV w:val="single" w:color="006A89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  <w:insideH w:val="single" w:color="2682BB" w:themeColor="accent2" w:sz="8" w:space="0"/>
        <w:insideV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18" w:space="0"/>
          <w:right w:val="single" w:color="2682BB" w:themeColor="accent2" w:sz="8" w:space="0"/>
          <w:insideH w:val="nil"/>
          <w:insideV w:val="single" w:color="2682BB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682BB" w:themeColor="accent2" w:sz="6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H w:val="nil"/>
          <w:insideV w:val="single" w:color="2682BB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band1Vert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  <w:shd w:val="clear" w:color="auto" w:fill="C4E1F3" w:themeFill="accent2" w:themeFillTint="3F"/>
      </w:tcPr>
    </w:tblStylePr>
    <w:tblStylePr w:type="band1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V w:val="single" w:color="2682BB" w:themeColor="accent2" w:sz="8" w:space="0"/>
        </w:tcBorders>
        <w:shd w:val="clear" w:color="auto" w:fill="C4E1F3" w:themeFill="accent2" w:themeFillTint="3F"/>
      </w:tcPr>
    </w:tblStylePr>
    <w:tblStylePr w:type="band2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  <w:insideV w:val="single" w:color="2682BB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  <w:insideH w:val="single" w:color="C3C3C3" w:themeColor="accent3" w:sz="8" w:space="0"/>
        <w:insideV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18" w:space="0"/>
          <w:right w:val="single" w:color="C3C3C3" w:themeColor="accent3" w:sz="8" w:space="0"/>
          <w:insideH w:val="nil"/>
          <w:insideV w:val="single" w:color="C3C3C3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3C3C3" w:themeColor="accent3" w:sz="6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H w:val="nil"/>
          <w:insideV w:val="single" w:color="C3C3C3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band1Vert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  <w:shd w:val="clear" w:color="auto" w:fill="F0F0F0" w:themeFill="accent3" w:themeFillTint="3F"/>
      </w:tcPr>
    </w:tblStylePr>
    <w:tblStylePr w:type="band1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V w:val="single" w:color="C3C3C3" w:themeColor="accent3" w:sz="8" w:space="0"/>
        </w:tcBorders>
        <w:shd w:val="clear" w:color="auto" w:fill="F0F0F0" w:themeFill="accent3" w:themeFillTint="3F"/>
      </w:tcPr>
    </w:tblStylePr>
    <w:tblStylePr w:type="band2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  <w:insideV w:val="single" w:color="C3C3C3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  <w:insideH w:val="single" w:color="00A997" w:themeColor="accent4" w:sz="8" w:space="0"/>
        <w:insideV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18" w:space="0"/>
          <w:right w:val="single" w:color="00A997" w:themeColor="accent4" w:sz="8" w:space="0"/>
          <w:insideH w:val="nil"/>
          <w:insideV w:val="single" w:color="00A997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A997" w:themeColor="accent4" w:sz="6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H w:val="nil"/>
          <w:insideV w:val="single" w:color="00A997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band1Vert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V w:val="single" w:color="00A997" w:themeColor="accent4" w:sz="8" w:space="0"/>
        </w:tcBorders>
        <w:shd w:val="clear" w:color="auto" w:fill="AAFFF5" w:themeFill="accent4" w:themeFillTint="3F"/>
      </w:tcPr>
    </w:tblStylePr>
    <w:tblStylePr w:type="band2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  <w:insideV w:val="single" w:color="00A997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  <w:insideH w:val="single" w:color="89C711" w:themeColor="accent5" w:sz="8" w:space="0"/>
        <w:insideV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18" w:space="0"/>
          <w:right w:val="single" w:color="89C711" w:themeColor="accent5" w:sz="8" w:space="0"/>
          <w:insideH w:val="nil"/>
          <w:insideV w:val="single" w:color="89C711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9C711" w:themeColor="accent5" w:sz="6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H w:val="nil"/>
          <w:insideV w:val="single" w:color="89C711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band1Vert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  <w:shd w:val="clear" w:color="auto" w:fill="E4F9BC" w:themeFill="accent5" w:themeFillTint="3F"/>
      </w:tcPr>
    </w:tblStylePr>
    <w:tblStylePr w:type="band1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V w:val="single" w:color="89C711" w:themeColor="accent5" w:sz="8" w:space="0"/>
        </w:tcBorders>
        <w:shd w:val="clear" w:color="auto" w:fill="E4F9BC" w:themeFill="accent5" w:themeFillTint="3F"/>
      </w:tcPr>
    </w:tblStylePr>
    <w:tblStylePr w:type="band2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  <w:insideV w:val="single" w:color="89C711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1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H w:val="nil"/>
          <w:insideV w:val="single" w:color="8A479B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  <w:shd w:val="clear" w:color="auto" w:fill="E3CEE9" w:themeFill="accent6" w:themeFillTint="3F"/>
      </w:tcPr>
    </w:tblStylePr>
    <w:tblStylePr w:type="band2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  <w:insideV w:val="single" w:color="8A479B" w:themeColor="accent6" w:sz="8" w:space="0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6A89" w:themeColor="accent1" w:sz="6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  <w:tblStylePr w:type="band1Horz">
      <w:tblPr/>
      <w:tcPr>
        <w:tcBorders>
          <w:top w:val="single" w:color="006A89" w:themeColor="accent1" w:sz="8" w:space="0"/>
          <w:left w:val="single" w:color="006A89" w:themeColor="accent1" w:sz="8" w:space="0"/>
          <w:bottom w:val="single" w:color="006A89" w:themeColor="accent1" w:sz="8" w:space="0"/>
          <w:right w:val="single" w:color="006A89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682BB" w:themeColor="accent2" w:sz="6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  <w:tblStylePr w:type="band1Horz">
      <w:tblPr/>
      <w:tcPr>
        <w:tcBorders>
          <w:top w:val="single" w:color="2682BB" w:themeColor="accent2" w:sz="8" w:space="0"/>
          <w:left w:val="single" w:color="2682BB" w:themeColor="accent2" w:sz="8" w:space="0"/>
          <w:bottom w:val="single" w:color="2682BB" w:themeColor="accent2" w:sz="8" w:space="0"/>
          <w:right w:val="single" w:color="2682BB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3C3C3" w:themeColor="accent3" w:sz="6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  <w:tblStylePr w:type="band1Horz">
      <w:tblPr/>
      <w:tcPr>
        <w:tcBorders>
          <w:top w:val="single" w:color="C3C3C3" w:themeColor="accent3" w:sz="8" w:space="0"/>
          <w:left w:val="single" w:color="C3C3C3" w:themeColor="accent3" w:sz="8" w:space="0"/>
          <w:bottom w:val="single" w:color="C3C3C3" w:themeColor="accent3" w:sz="8" w:space="0"/>
          <w:right w:val="single" w:color="C3C3C3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A997" w:themeColor="accent4" w:sz="6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  <w:tblStylePr w:type="band1Horz">
      <w:tblPr/>
      <w:tcPr>
        <w:tcBorders>
          <w:top w:val="single" w:color="00A997" w:themeColor="accent4" w:sz="8" w:space="0"/>
          <w:left w:val="single" w:color="00A997" w:themeColor="accent4" w:sz="8" w:space="0"/>
          <w:bottom w:val="single" w:color="00A997" w:themeColor="accent4" w:sz="8" w:space="0"/>
          <w:right w:val="single" w:color="00A997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C711" w:themeColor="accent5" w:sz="6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  <w:tblStylePr w:type="band1Horz">
      <w:tblPr/>
      <w:tcPr>
        <w:tcBorders>
          <w:top w:val="single" w:color="89C711" w:themeColor="accent5" w:sz="8" w:space="0"/>
          <w:left w:val="single" w:color="89C711" w:themeColor="accent5" w:sz="8" w:space="0"/>
          <w:bottom w:val="single" w:color="89C711" w:themeColor="accent5" w:sz="8" w:space="0"/>
          <w:right w:val="single" w:color="89C711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A479B" w:themeColor="accent6" w:sz="6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  <w:tblStylePr w:type="band1Horz">
      <w:tblPr/>
      <w:tcPr>
        <w:tcBorders>
          <w:top w:val="single" w:color="8A479B" w:themeColor="accent6" w:sz="8" w:space="0"/>
          <w:left w:val="single" w:color="8A479B" w:themeColor="accent6" w:sz="8" w:space="0"/>
          <w:bottom w:val="single" w:color="8A479B" w:themeColor="accent6" w:sz="8" w:space="0"/>
          <w:right w:val="single" w:color="8A479B" w:themeColor="accent6" w:sz="8" w:space="0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1A2E8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006A89" w:themeColor="accent1" w:sz="8" w:space="0"/>
        <w:bottom w:val="single" w:color="006A89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6A89" w:themeColor="accent1" w:sz="8" w:space="0"/>
          <w:left w:val="nil"/>
          <w:bottom w:val="single" w:color="006A89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6A89" w:themeColor="accent1" w:sz="8" w:space="0"/>
          <w:left w:val="nil"/>
          <w:bottom w:val="single" w:color="006A89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2682BB" w:themeColor="accent2" w:sz="8" w:space="0"/>
        <w:bottom w:val="single" w:color="2682BB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682BB" w:themeColor="accent2" w:sz="8" w:space="0"/>
          <w:left w:val="nil"/>
          <w:bottom w:val="single" w:color="2682BB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682BB" w:themeColor="accent2" w:sz="8" w:space="0"/>
          <w:left w:val="nil"/>
          <w:bottom w:val="single" w:color="2682BB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C3C3C3" w:themeColor="accent3" w:sz="8" w:space="0"/>
        <w:bottom w:val="single" w:color="C3C3C3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3" w:sz="8" w:space="0"/>
          <w:left w:val="nil"/>
          <w:bottom w:val="single" w:color="C3C3C3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3C3C3" w:themeColor="accent3" w:sz="8" w:space="0"/>
          <w:left w:val="nil"/>
          <w:bottom w:val="single" w:color="C3C3C3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00A997" w:themeColor="accent4" w:sz="8" w:space="0"/>
        <w:bottom w:val="single" w:color="00A997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A997" w:themeColor="accent4" w:sz="8" w:space="0"/>
          <w:left w:val="nil"/>
          <w:bottom w:val="single" w:color="00A997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A997" w:themeColor="accent4" w:sz="8" w:space="0"/>
          <w:left w:val="nil"/>
          <w:bottom w:val="single" w:color="00A997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89C711" w:themeColor="accent5" w:sz="8" w:space="0"/>
        <w:bottom w:val="single" w:color="89C711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9C711" w:themeColor="accent5" w:sz="8" w:space="0"/>
          <w:left w:val="nil"/>
          <w:bottom w:val="single" w:color="89C711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9C711" w:themeColor="accent5" w:sz="8" w:space="0"/>
          <w:left w:val="nil"/>
          <w:bottom w:val="single" w:color="89C711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A479B" w:themeColor="accent6" w:sz="8" w:space="0"/>
          <w:left w:val="nil"/>
          <w:bottom w:val="single" w:color="8A479B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1A2E8F"/>
  </w:style>
  <w:style w:type="paragraph" w:styleId="List">
    <w:name w:val="List"/>
    <w:basedOn w:val="Normal"/>
    <w:uiPriority w:val="99"/>
    <w:semiHidden/>
    <w:unhideWhenUsed/>
    <w:rsid w:val="001A2E8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1A2E8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1A2E8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1A2E8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1A2E8F"/>
    <w:pPr>
      <w:ind w:left="1415" w:hanging="283"/>
      <w:contextualSpacing/>
    </w:pPr>
  </w:style>
  <w:style w:type="paragraph" w:styleId="ListBullet2">
    <w:name w:val="List Bullet 2"/>
    <w:basedOn w:val="Normal"/>
    <w:uiPriority w:val="99"/>
    <w:semiHidden/>
    <w:unhideWhenUsed/>
    <w:rsid w:val="001A2E8F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A2E8F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A2E8F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A2E8F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A2E8F"/>
    <w:pPr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A2E8F"/>
    <w:pPr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A2E8F"/>
    <w:pPr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A2E8F"/>
    <w:pPr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A2E8F"/>
    <w:pPr>
      <w:ind w:left="1415"/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1A2E8F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1FCC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70B6E2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BDBDB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32FFE8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EF15C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BC89C9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2">
    <w:name w:val="List Table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bottom w:val="single" w:color="1FCCFF" w:themeColor="accent1" w:themeTint="99" w:sz="4" w:space="0"/>
        <w:insideH w:val="single" w:color="1FCC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bottom w:val="single" w:color="70B6E2" w:themeColor="accent2" w:themeTint="99" w:sz="4" w:space="0"/>
        <w:insideH w:val="single" w:color="70B6E2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bottom w:val="single" w:color="DBDBDB" w:themeColor="accent3" w:themeTint="99" w:sz="4" w:space="0"/>
        <w:insideH w:val="single" w:color="DBDBDB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bottom w:val="single" w:color="32FFE8" w:themeColor="accent4" w:themeTint="99" w:sz="4" w:space="0"/>
        <w:insideH w:val="single" w:color="32FFE8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bottom w:val="single" w:color="BEF15C" w:themeColor="accent5" w:themeTint="99" w:sz="4" w:space="0"/>
        <w:insideH w:val="single" w:color="BEF15C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bottom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3">
    <w:name w:val="List Table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6A89" w:themeColor="accent1" w:sz="4" w:space="0"/>
        <w:left w:val="single" w:color="006A89" w:themeColor="accent1" w:sz="4" w:space="0"/>
        <w:bottom w:val="single" w:color="006A89" w:themeColor="accent1" w:sz="4" w:space="0"/>
        <w:right w:val="single" w:color="006A89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6A89" w:themeColor="accent1" w:sz="4" w:space="0"/>
          <w:right w:val="single" w:color="006A89" w:themeColor="accent1" w:sz="4" w:space="0"/>
        </w:tcBorders>
      </w:tcPr>
    </w:tblStylePr>
    <w:tblStylePr w:type="band1Horz">
      <w:tblPr/>
      <w:tcPr>
        <w:tcBorders>
          <w:top w:val="single" w:color="006A89" w:themeColor="accent1" w:sz="4" w:space="0"/>
          <w:bottom w:val="single" w:color="006A89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6A89" w:themeColor="accent1" w:sz="4" w:space="0"/>
          <w:left w:val="nil"/>
        </w:tcBorders>
      </w:tcPr>
    </w:tblStylePr>
    <w:tblStylePr w:type="swCell">
      <w:tblPr/>
      <w:tcPr>
        <w:tcBorders>
          <w:top w:val="double" w:color="006A89" w:themeColor="accent1" w:sz="4" w:space="0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2682BB" w:themeColor="accent2" w:sz="4" w:space="0"/>
        <w:left w:val="single" w:color="2682BB" w:themeColor="accent2" w:sz="4" w:space="0"/>
        <w:bottom w:val="single" w:color="2682BB" w:themeColor="accent2" w:sz="4" w:space="0"/>
        <w:right w:val="single" w:color="2682BB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682BB" w:themeColor="accent2" w:sz="4" w:space="0"/>
          <w:right w:val="single" w:color="2682BB" w:themeColor="accent2" w:sz="4" w:space="0"/>
        </w:tcBorders>
      </w:tcPr>
    </w:tblStylePr>
    <w:tblStylePr w:type="band1Horz">
      <w:tblPr/>
      <w:tcPr>
        <w:tcBorders>
          <w:top w:val="single" w:color="2682BB" w:themeColor="accent2" w:sz="4" w:space="0"/>
          <w:bottom w:val="single" w:color="2682BB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682BB" w:themeColor="accent2" w:sz="4" w:space="0"/>
          <w:left w:val="nil"/>
        </w:tcBorders>
      </w:tcPr>
    </w:tblStylePr>
    <w:tblStylePr w:type="swCell">
      <w:tblPr/>
      <w:tcPr>
        <w:tcBorders>
          <w:top w:val="double" w:color="2682BB" w:themeColor="accent2" w:sz="4" w:space="0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C3C3C3" w:themeColor="accent3" w:sz="4" w:space="0"/>
        <w:left w:val="single" w:color="C3C3C3" w:themeColor="accent3" w:sz="4" w:space="0"/>
        <w:bottom w:val="single" w:color="C3C3C3" w:themeColor="accent3" w:sz="4" w:space="0"/>
        <w:right w:val="single" w:color="C3C3C3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C3C3C3" w:themeColor="accent3" w:sz="4" w:space="0"/>
          <w:right w:val="single" w:color="C3C3C3" w:themeColor="accent3" w:sz="4" w:space="0"/>
        </w:tcBorders>
      </w:tcPr>
    </w:tblStylePr>
    <w:tblStylePr w:type="band1Horz">
      <w:tblPr/>
      <w:tcPr>
        <w:tcBorders>
          <w:top w:val="single" w:color="C3C3C3" w:themeColor="accent3" w:sz="4" w:space="0"/>
          <w:bottom w:val="single" w:color="C3C3C3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C3C3C3" w:themeColor="accent3" w:sz="4" w:space="0"/>
          <w:left w:val="nil"/>
        </w:tcBorders>
      </w:tcPr>
    </w:tblStylePr>
    <w:tblStylePr w:type="swCell">
      <w:tblPr/>
      <w:tcPr>
        <w:tcBorders>
          <w:top w:val="double" w:color="C3C3C3" w:themeColor="accent3" w:sz="4" w:space="0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A997" w:themeColor="accent4" w:sz="4" w:space="0"/>
        <w:left w:val="single" w:color="00A997" w:themeColor="accent4" w:sz="4" w:space="0"/>
        <w:bottom w:val="single" w:color="00A997" w:themeColor="accent4" w:sz="4" w:space="0"/>
        <w:right w:val="single" w:color="00A997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A997" w:themeColor="accent4" w:sz="4" w:space="0"/>
          <w:right w:val="single" w:color="00A997" w:themeColor="accent4" w:sz="4" w:space="0"/>
        </w:tcBorders>
      </w:tcPr>
    </w:tblStylePr>
    <w:tblStylePr w:type="band1Horz">
      <w:tblPr/>
      <w:tcPr>
        <w:tcBorders>
          <w:top w:val="single" w:color="00A997" w:themeColor="accent4" w:sz="4" w:space="0"/>
          <w:bottom w:val="single" w:color="00A997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A997" w:themeColor="accent4" w:sz="4" w:space="0"/>
          <w:left w:val="nil"/>
        </w:tcBorders>
      </w:tcPr>
    </w:tblStylePr>
    <w:tblStylePr w:type="swCell">
      <w:tblPr/>
      <w:tcPr>
        <w:tcBorders>
          <w:top w:val="double" w:color="00A997" w:themeColor="accent4" w:sz="4" w:space="0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89C711" w:themeColor="accent5" w:sz="4" w:space="0"/>
        <w:left w:val="single" w:color="89C711" w:themeColor="accent5" w:sz="4" w:space="0"/>
        <w:bottom w:val="single" w:color="89C711" w:themeColor="accent5" w:sz="4" w:space="0"/>
        <w:right w:val="single" w:color="89C711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9C711" w:themeColor="accent5" w:sz="4" w:space="0"/>
          <w:right w:val="single" w:color="89C711" w:themeColor="accent5" w:sz="4" w:space="0"/>
        </w:tcBorders>
      </w:tcPr>
    </w:tblStylePr>
    <w:tblStylePr w:type="band1Horz">
      <w:tblPr/>
      <w:tcPr>
        <w:tcBorders>
          <w:top w:val="single" w:color="89C711" w:themeColor="accent5" w:sz="4" w:space="0"/>
          <w:bottom w:val="single" w:color="89C711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9C711" w:themeColor="accent5" w:sz="4" w:space="0"/>
          <w:left w:val="nil"/>
        </w:tcBorders>
      </w:tcPr>
    </w:tblStylePr>
    <w:tblStylePr w:type="swCell">
      <w:tblPr/>
      <w:tcPr>
        <w:tcBorders>
          <w:top w:val="double" w:color="89C711" w:themeColor="accent5" w:sz="4" w:space="0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1A2E8F"/>
    <w:pPr>
      <w:spacing w:after="0" w:line="240" w:lineRule="auto"/>
    </w:pPr>
    <w:tblPr>
      <w:tblStyleRowBandSize w:val="1"/>
      <w:tblStyleColBandSize w:val="1"/>
      <w:tblBorders>
        <w:top w:val="single" w:color="8A479B" w:themeColor="accent6" w:sz="4" w:space="0"/>
        <w:left w:val="single" w:color="8A479B" w:themeColor="accent6" w:sz="4" w:space="0"/>
        <w:bottom w:val="single" w:color="8A479B" w:themeColor="accent6" w:sz="4" w:space="0"/>
        <w:right w:val="single" w:color="8A479B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8A479B" w:themeColor="accent6" w:sz="4" w:space="0"/>
          <w:right w:val="single" w:color="8A479B" w:themeColor="accent6" w:sz="4" w:space="0"/>
        </w:tcBorders>
      </w:tcPr>
    </w:tblStylePr>
    <w:tblStylePr w:type="band1Horz">
      <w:tblPr/>
      <w:tcPr>
        <w:tcBorders>
          <w:top w:val="single" w:color="8A479B" w:themeColor="accent6" w:sz="4" w:space="0"/>
          <w:bottom w:val="single" w:color="8A479B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8A479B" w:themeColor="accent6" w:sz="4" w:space="0"/>
          <w:left w:val="nil"/>
        </w:tcBorders>
      </w:tcPr>
    </w:tblStylePr>
    <w:tblStylePr w:type="swCell">
      <w:tblPr/>
      <w:tcPr>
        <w:tcBorders>
          <w:top w:val="double" w:color="8A479B" w:themeColor="accent6" w:sz="4" w:space="0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1FCCFF" w:themeColor="accent1" w:themeTint="99" w:sz="4" w:space="0"/>
        <w:left w:val="single" w:color="1FCCFF" w:themeColor="accent1" w:themeTint="99" w:sz="4" w:space="0"/>
        <w:bottom w:val="single" w:color="1FCCFF" w:themeColor="accent1" w:themeTint="99" w:sz="4" w:space="0"/>
        <w:right w:val="single" w:color="1FCCFF" w:themeColor="accent1" w:themeTint="99" w:sz="4" w:space="0"/>
        <w:insideH w:val="single" w:color="1FCC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6A89" w:themeColor="accent1" w:sz="4" w:space="0"/>
          <w:left w:val="single" w:color="006A89" w:themeColor="accent1" w:sz="4" w:space="0"/>
          <w:bottom w:val="single" w:color="006A89" w:themeColor="accent1" w:sz="4" w:space="0"/>
          <w:right w:val="single" w:color="006A89" w:themeColor="accent1" w:sz="4" w:space="0"/>
          <w:insideH w:val="nil"/>
        </w:tcBorders>
        <w:shd w:val="clear" w:color="auto" w:fill="006A89" w:themeFill="accent1"/>
      </w:tcPr>
    </w:tblStylePr>
    <w:tblStylePr w:type="lastRow">
      <w:rPr>
        <w:b/>
        <w:bCs/>
      </w:rPr>
      <w:tblPr/>
      <w:tcPr>
        <w:tcBorders>
          <w:top w:val="double" w:color="1FCC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70B6E2" w:themeColor="accent2" w:themeTint="99" w:sz="4" w:space="0"/>
        <w:left w:val="single" w:color="70B6E2" w:themeColor="accent2" w:themeTint="99" w:sz="4" w:space="0"/>
        <w:bottom w:val="single" w:color="70B6E2" w:themeColor="accent2" w:themeTint="99" w:sz="4" w:space="0"/>
        <w:right w:val="single" w:color="70B6E2" w:themeColor="accent2" w:themeTint="99" w:sz="4" w:space="0"/>
        <w:insideH w:val="single" w:color="70B6E2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682BB" w:themeColor="accent2" w:sz="4" w:space="0"/>
          <w:left w:val="single" w:color="2682BB" w:themeColor="accent2" w:sz="4" w:space="0"/>
          <w:bottom w:val="single" w:color="2682BB" w:themeColor="accent2" w:sz="4" w:space="0"/>
          <w:right w:val="single" w:color="2682BB" w:themeColor="accent2" w:sz="4" w:space="0"/>
          <w:insideH w:val="nil"/>
        </w:tcBorders>
        <w:shd w:val="clear" w:color="auto" w:fill="2682BB" w:themeFill="accent2"/>
      </w:tcPr>
    </w:tblStylePr>
    <w:tblStylePr w:type="lastRow">
      <w:rPr>
        <w:b/>
        <w:bCs/>
      </w:rPr>
      <w:tblPr/>
      <w:tcPr>
        <w:tcBorders>
          <w:top w:val="double" w:color="70B6E2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DBDBDB" w:themeColor="accent3" w:themeTint="99" w:sz="4" w:space="0"/>
        <w:left w:val="single" w:color="DBDBDB" w:themeColor="accent3" w:themeTint="99" w:sz="4" w:space="0"/>
        <w:bottom w:val="single" w:color="DBDBDB" w:themeColor="accent3" w:themeTint="99" w:sz="4" w:space="0"/>
        <w:right w:val="single" w:color="DBDBDB" w:themeColor="accent3" w:themeTint="99" w:sz="4" w:space="0"/>
        <w:insideH w:val="single" w:color="DBDBDB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C3C3C3" w:themeColor="accent3" w:sz="4" w:space="0"/>
          <w:left w:val="single" w:color="C3C3C3" w:themeColor="accent3" w:sz="4" w:space="0"/>
          <w:bottom w:val="single" w:color="C3C3C3" w:themeColor="accent3" w:sz="4" w:space="0"/>
          <w:right w:val="single" w:color="C3C3C3" w:themeColor="accent3" w:sz="4" w:space="0"/>
          <w:insideH w:val="nil"/>
        </w:tcBorders>
        <w:shd w:val="clear" w:color="auto" w:fill="C3C3C3" w:themeFill="accent3"/>
      </w:tcPr>
    </w:tblStylePr>
    <w:tblStylePr w:type="lastRow">
      <w:rPr>
        <w:b/>
        <w:bCs/>
      </w:rPr>
      <w:tblPr/>
      <w:tcPr>
        <w:tcBorders>
          <w:top w:val="double" w:color="DBDBDB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32FFE8" w:themeColor="accent4" w:themeTint="99" w:sz="4" w:space="0"/>
        <w:left w:val="single" w:color="32FFE8" w:themeColor="accent4" w:themeTint="99" w:sz="4" w:space="0"/>
        <w:bottom w:val="single" w:color="32FFE8" w:themeColor="accent4" w:themeTint="99" w:sz="4" w:space="0"/>
        <w:right w:val="single" w:color="32FFE8" w:themeColor="accent4" w:themeTint="99" w:sz="4" w:space="0"/>
        <w:insideH w:val="single" w:color="32FFE8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A997" w:themeColor="accent4" w:sz="4" w:space="0"/>
          <w:left w:val="single" w:color="00A997" w:themeColor="accent4" w:sz="4" w:space="0"/>
          <w:bottom w:val="single" w:color="00A997" w:themeColor="accent4" w:sz="4" w:space="0"/>
          <w:right w:val="single" w:color="00A997" w:themeColor="accent4" w:sz="4" w:space="0"/>
          <w:insideH w:val="nil"/>
        </w:tcBorders>
        <w:shd w:val="clear" w:color="auto" w:fill="00A997" w:themeFill="accent4"/>
      </w:tcPr>
    </w:tblStylePr>
    <w:tblStylePr w:type="lastRow">
      <w:rPr>
        <w:b/>
        <w:bCs/>
      </w:rPr>
      <w:tblPr/>
      <w:tcPr>
        <w:tcBorders>
          <w:top w:val="double" w:color="32FFE8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EF15C" w:themeColor="accent5" w:themeTint="99" w:sz="4" w:space="0"/>
        <w:left w:val="single" w:color="BEF15C" w:themeColor="accent5" w:themeTint="99" w:sz="4" w:space="0"/>
        <w:bottom w:val="single" w:color="BEF15C" w:themeColor="accent5" w:themeTint="99" w:sz="4" w:space="0"/>
        <w:right w:val="single" w:color="BEF15C" w:themeColor="accent5" w:themeTint="99" w:sz="4" w:space="0"/>
        <w:insideH w:val="single" w:color="BEF15C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9C711" w:themeColor="accent5" w:sz="4" w:space="0"/>
          <w:left w:val="single" w:color="89C711" w:themeColor="accent5" w:sz="4" w:space="0"/>
          <w:bottom w:val="single" w:color="89C711" w:themeColor="accent5" w:sz="4" w:space="0"/>
          <w:right w:val="single" w:color="89C711" w:themeColor="accent5" w:sz="4" w:space="0"/>
          <w:insideH w:val="nil"/>
        </w:tcBorders>
        <w:shd w:val="clear" w:color="auto" w:fill="89C711" w:themeFill="accent5"/>
      </w:tcPr>
    </w:tblStylePr>
    <w:tblStylePr w:type="lastRow">
      <w:rPr>
        <w:b/>
        <w:bCs/>
      </w:rPr>
      <w:tblPr/>
      <w:tcPr>
        <w:tcBorders>
          <w:top w:val="double" w:color="BEF15C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1A2E8F"/>
    <w:pPr>
      <w:spacing w:after="0" w:line="240" w:lineRule="auto"/>
    </w:pPr>
    <w:tblPr>
      <w:tblStyleRowBandSize w:val="1"/>
      <w:tblStyleColBandSize w:val="1"/>
      <w:tblBorders>
        <w:top w:val="single" w:color="BC89C9" w:themeColor="accent6" w:themeTint="99" w:sz="4" w:space="0"/>
        <w:left w:val="single" w:color="BC89C9" w:themeColor="accent6" w:themeTint="99" w:sz="4" w:space="0"/>
        <w:bottom w:val="single" w:color="BC89C9" w:themeColor="accent6" w:themeTint="99" w:sz="4" w:space="0"/>
        <w:right w:val="single" w:color="BC89C9" w:themeColor="accent6" w:themeTint="99" w:sz="4" w:space="0"/>
        <w:insideH w:val="single" w:color="BC89C9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8A479B" w:themeColor="accent6" w:sz="4" w:space="0"/>
          <w:left w:val="single" w:color="8A479B" w:themeColor="accent6" w:sz="4" w:space="0"/>
          <w:bottom w:val="single" w:color="8A479B" w:themeColor="accent6" w:sz="4" w:space="0"/>
          <w:right w:val="single" w:color="8A479B" w:themeColor="accent6" w:sz="4" w:space="0"/>
          <w:insideH w:val="nil"/>
        </w:tcBorders>
        <w:shd w:val="clear" w:color="auto" w:fill="8A479B" w:themeFill="accent6"/>
      </w:tcPr>
    </w:tblStylePr>
    <w:tblStylePr w:type="lastRow">
      <w:rPr>
        <w:b/>
        <w:bCs/>
      </w:rPr>
      <w:tblPr/>
      <w:tcPr>
        <w:tcBorders>
          <w:top w:val="double" w:color="BC89C9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5Dark">
    <w:name w:val="List Table 5 Dark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6A89" w:themeColor="accent1" w:sz="24" w:space="0"/>
        <w:left w:val="single" w:color="006A89" w:themeColor="accent1" w:sz="24" w:space="0"/>
        <w:bottom w:val="single" w:color="006A89" w:themeColor="accent1" w:sz="24" w:space="0"/>
        <w:right w:val="single" w:color="006A89" w:themeColor="accent1" w:sz="24" w:space="0"/>
      </w:tblBorders>
    </w:tblPr>
    <w:tcPr>
      <w:shd w:val="clear" w:color="auto" w:fill="006A89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682BB" w:themeColor="accent2" w:sz="24" w:space="0"/>
        <w:left w:val="single" w:color="2682BB" w:themeColor="accent2" w:sz="24" w:space="0"/>
        <w:bottom w:val="single" w:color="2682BB" w:themeColor="accent2" w:sz="24" w:space="0"/>
        <w:right w:val="single" w:color="2682BB" w:themeColor="accent2" w:sz="24" w:space="0"/>
      </w:tblBorders>
    </w:tblPr>
    <w:tcPr>
      <w:shd w:val="clear" w:color="auto" w:fill="2682BB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C3C3C3" w:themeColor="accent3" w:sz="24" w:space="0"/>
        <w:left w:val="single" w:color="C3C3C3" w:themeColor="accent3" w:sz="24" w:space="0"/>
        <w:bottom w:val="single" w:color="C3C3C3" w:themeColor="accent3" w:sz="24" w:space="0"/>
        <w:right w:val="single" w:color="C3C3C3" w:themeColor="accent3" w:sz="24" w:space="0"/>
      </w:tblBorders>
    </w:tblPr>
    <w:tcPr>
      <w:shd w:val="clear" w:color="auto" w:fill="C3C3C3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A997" w:themeColor="accent4" w:sz="24" w:space="0"/>
        <w:left w:val="single" w:color="00A997" w:themeColor="accent4" w:sz="24" w:space="0"/>
        <w:bottom w:val="single" w:color="00A997" w:themeColor="accent4" w:sz="24" w:space="0"/>
        <w:right w:val="single" w:color="00A997" w:themeColor="accent4" w:sz="24" w:space="0"/>
      </w:tblBorders>
    </w:tblPr>
    <w:tcPr>
      <w:shd w:val="clear" w:color="auto" w:fill="00A997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9C711" w:themeColor="accent5" w:sz="24" w:space="0"/>
        <w:left w:val="single" w:color="89C711" w:themeColor="accent5" w:sz="24" w:space="0"/>
        <w:bottom w:val="single" w:color="89C711" w:themeColor="accent5" w:sz="24" w:space="0"/>
        <w:right w:val="single" w:color="89C711" w:themeColor="accent5" w:sz="24" w:space="0"/>
      </w:tblBorders>
    </w:tblPr>
    <w:tcPr>
      <w:shd w:val="clear" w:color="auto" w:fill="89C711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1A2E8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8A479B" w:themeColor="accent6" w:sz="24" w:space="0"/>
        <w:left w:val="single" w:color="8A479B" w:themeColor="accent6" w:sz="24" w:space="0"/>
        <w:bottom w:val="single" w:color="8A479B" w:themeColor="accent6" w:sz="24" w:space="0"/>
        <w:right w:val="single" w:color="8A479B" w:themeColor="accent6" w:sz="24" w:space="0"/>
      </w:tblBorders>
    </w:tblPr>
    <w:tcPr>
      <w:shd w:val="clear" w:color="auto" w:fill="8A479B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  <w:tblBorders>
        <w:top w:val="single" w:color="006A89" w:themeColor="accent1" w:sz="4" w:space="0"/>
        <w:bottom w:val="single" w:color="006A89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006A89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6A89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  <w:tblBorders>
        <w:top w:val="single" w:color="2682BB" w:themeColor="accent2" w:sz="4" w:space="0"/>
        <w:bottom w:val="single" w:color="2682BB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2682BB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2682BB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  <w:tblBorders>
        <w:top w:val="single" w:color="C3C3C3" w:themeColor="accent3" w:sz="4" w:space="0"/>
        <w:bottom w:val="single" w:color="C3C3C3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C3C3C3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C3C3C3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  <w:tblBorders>
        <w:top w:val="single" w:color="00A997" w:themeColor="accent4" w:sz="4" w:space="0"/>
        <w:bottom w:val="single" w:color="00A997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00A997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00A997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  <w:tblBorders>
        <w:top w:val="single" w:color="89C711" w:themeColor="accent5" w:sz="4" w:space="0"/>
        <w:bottom w:val="single" w:color="89C711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89C711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89C711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  <w:tblBorders>
        <w:top w:val="single" w:color="8A479B" w:themeColor="accent6" w:sz="4" w:space="0"/>
        <w:bottom w:val="single" w:color="8A479B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8A479B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8A479B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1A2E8F"/>
    <w:pPr>
      <w:spacing w:after="0" w:line="240" w:lineRule="auto"/>
    </w:pPr>
    <w:rPr>
      <w:color w:val="004F6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6A89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6A89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6A89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6A89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B4EEFF" w:themeFill="accent1" w:themeFillTint="33"/>
      </w:tcPr>
    </w:tblStylePr>
    <w:tblStylePr w:type="band1Horz">
      <w:tblPr/>
      <w:tcPr>
        <w:shd w:val="clear" w:color="auto" w:fill="B4EE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1A2E8F"/>
    <w:pPr>
      <w:spacing w:after="0" w:line="240" w:lineRule="auto"/>
    </w:pPr>
    <w:rPr>
      <w:color w:val="1C618B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682BB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682BB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682BB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682BB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FE6F5" w:themeFill="accent2" w:themeFillTint="33"/>
      </w:tcPr>
    </w:tblStylePr>
    <w:tblStylePr w:type="band1Horz">
      <w:tblPr/>
      <w:tcPr>
        <w:shd w:val="clear" w:color="auto" w:fill="CFE6F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1A2E8F"/>
    <w:pPr>
      <w:spacing w:after="0" w:line="240" w:lineRule="auto"/>
    </w:pPr>
    <w:rPr>
      <w:color w:val="929292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C3C3C3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C3C3C3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C3C3C3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C3C3C3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3F3F3" w:themeFill="accent3" w:themeFillTint="33"/>
      </w:tcPr>
    </w:tblStylePr>
    <w:tblStylePr w:type="band1Horz">
      <w:tblPr/>
      <w:tcPr>
        <w:shd w:val="clear" w:color="auto" w:fill="F3F3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1A2E8F"/>
    <w:pPr>
      <w:spacing w:after="0" w:line="240" w:lineRule="auto"/>
    </w:pPr>
    <w:rPr>
      <w:color w:val="007E70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A997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A997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A997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A997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BAFFF7" w:themeFill="accent4" w:themeFillTint="33"/>
      </w:tcPr>
    </w:tblStylePr>
    <w:tblStylePr w:type="band1Horz">
      <w:tblPr/>
      <w:tcPr>
        <w:shd w:val="clear" w:color="auto" w:fill="BAFFF7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1A2E8F"/>
    <w:pPr>
      <w:spacing w:after="0" w:line="240" w:lineRule="auto"/>
    </w:pPr>
    <w:rPr>
      <w:color w:val="66940C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9C711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9C711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9C711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9C711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5" w:themeFillTint="33"/>
      </w:tcPr>
    </w:tblStylePr>
    <w:tblStylePr w:type="band1Horz">
      <w:tblPr/>
      <w:tcPr>
        <w:shd w:val="clear" w:color="auto" w:fill="E9FAC8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1A2E8F"/>
    <w:pPr>
      <w:spacing w:after="0" w:line="240" w:lineRule="auto"/>
    </w:pPr>
    <w:rPr>
      <w:color w:val="673573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8A479B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8A479B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8A479B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8A479B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E8D7ED" w:themeFill="accent6" w:themeFillTint="33"/>
      </w:tcPr>
    </w:tblStylePr>
    <w:tblStylePr w:type="band1Horz">
      <w:tblPr/>
      <w:tcPr>
        <w:shd w:val="clear" w:color="auto" w:fill="E8D7ED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1A2E8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1A2E8F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B1E6" w:themeColor="accent1" w:themeTint="BF" w:sz="8" w:space="0"/>
        <w:left w:val="single" w:color="00B1E6" w:themeColor="accent1" w:themeTint="BF" w:sz="8" w:space="0"/>
        <w:bottom w:val="single" w:color="00B1E6" w:themeColor="accent1" w:themeTint="BF" w:sz="8" w:space="0"/>
        <w:right w:val="single" w:color="00B1E6" w:themeColor="accent1" w:themeTint="BF" w:sz="8" w:space="0"/>
        <w:insideH w:val="single" w:color="00B1E6" w:themeColor="accent1" w:themeTint="BF" w:sz="8" w:space="0"/>
        <w:insideV w:val="single" w:color="00B1E6" w:themeColor="accent1" w:themeTint="BF" w:sz="8" w:space="0"/>
      </w:tblBorders>
    </w:tblPr>
    <w:tcPr>
      <w:shd w:val="clear" w:color="auto" w:fill="A2E9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00B1E6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shd w:val="clear" w:color="auto" w:fill="45D4FF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DA4DB" w:themeColor="accent2" w:themeTint="BF" w:sz="8" w:space="0"/>
        <w:left w:val="single" w:color="4DA4DB" w:themeColor="accent2" w:themeTint="BF" w:sz="8" w:space="0"/>
        <w:bottom w:val="single" w:color="4DA4DB" w:themeColor="accent2" w:themeTint="BF" w:sz="8" w:space="0"/>
        <w:right w:val="single" w:color="4DA4DB" w:themeColor="accent2" w:themeTint="BF" w:sz="8" w:space="0"/>
        <w:insideH w:val="single" w:color="4DA4DB" w:themeColor="accent2" w:themeTint="BF" w:sz="8" w:space="0"/>
        <w:insideV w:val="single" w:color="4DA4DB" w:themeColor="accent2" w:themeTint="BF" w:sz="8" w:space="0"/>
      </w:tblBorders>
    </w:tblPr>
    <w:tcPr>
      <w:shd w:val="clear" w:color="auto" w:fill="C4E1F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DA4DB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shd w:val="clear" w:color="auto" w:fill="88C2E7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D2D2D2" w:themeColor="accent3" w:themeTint="BF" w:sz="8" w:space="0"/>
        <w:left w:val="single" w:color="D2D2D2" w:themeColor="accent3" w:themeTint="BF" w:sz="8" w:space="0"/>
        <w:bottom w:val="single" w:color="D2D2D2" w:themeColor="accent3" w:themeTint="BF" w:sz="8" w:space="0"/>
        <w:right w:val="single" w:color="D2D2D2" w:themeColor="accent3" w:themeTint="BF" w:sz="8" w:space="0"/>
        <w:insideH w:val="single" w:color="D2D2D2" w:themeColor="accent3" w:themeTint="BF" w:sz="8" w:space="0"/>
        <w:insideV w:val="single" w:color="D2D2D2" w:themeColor="accent3" w:themeTint="BF" w:sz="8" w:space="0"/>
      </w:tblBorders>
    </w:tblPr>
    <w:tcPr>
      <w:shd w:val="clear" w:color="auto" w:fill="F0F0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D2D2D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shd w:val="clear" w:color="auto" w:fill="E1E1E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FEE2" w:themeColor="accent4" w:themeTint="BF" w:sz="8" w:space="0"/>
        <w:left w:val="single" w:color="00FEE2" w:themeColor="accent4" w:themeTint="BF" w:sz="8" w:space="0"/>
        <w:bottom w:val="single" w:color="00FEE2" w:themeColor="accent4" w:themeTint="BF" w:sz="8" w:space="0"/>
        <w:right w:val="single" w:color="00FEE2" w:themeColor="accent4" w:themeTint="BF" w:sz="8" w:space="0"/>
        <w:insideH w:val="single" w:color="00FEE2" w:themeColor="accent4" w:themeTint="BF" w:sz="8" w:space="0"/>
        <w:insideV w:val="single" w:color="00FEE2" w:themeColor="accent4" w:themeTint="BF" w:sz="8" w:space="0"/>
      </w:tblBorders>
    </w:tblPr>
    <w:tcPr>
      <w:shd w:val="clear" w:color="auto" w:fill="AAFFF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00FEE2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shd w:val="clear" w:color="auto" w:fill="55FFEC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EED34" w:themeColor="accent5" w:themeTint="BF" w:sz="8" w:space="0"/>
        <w:left w:val="single" w:color="AEED34" w:themeColor="accent5" w:themeTint="BF" w:sz="8" w:space="0"/>
        <w:bottom w:val="single" w:color="AEED34" w:themeColor="accent5" w:themeTint="BF" w:sz="8" w:space="0"/>
        <w:right w:val="single" w:color="AEED34" w:themeColor="accent5" w:themeTint="BF" w:sz="8" w:space="0"/>
        <w:insideH w:val="single" w:color="AEED34" w:themeColor="accent5" w:themeTint="BF" w:sz="8" w:space="0"/>
        <w:insideV w:val="single" w:color="AEED34" w:themeColor="accent5" w:themeTint="BF" w:sz="8" w:space="0"/>
      </w:tblBorders>
    </w:tblPr>
    <w:tcPr>
      <w:shd w:val="clear" w:color="auto" w:fill="E4F9B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EED3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shd w:val="clear" w:color="auto" w:fill="C9F377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  <w:insideV w:val="single" w:color="AB6CBC" w:themeColor="accent6" w:themeTint="BF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AB6CBC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shd w:val="clear" w:color="auto" w:fill="C79DD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  <w:insideH w:val="single" w:color="006A89" w:themeColor="accent1" w:sz="8" w:space="0"/>
        <w:insideV w:val="single" w:color="006A89" w:themeColor="accent1" w:sz="8" w:space="0"/>
      </w:tblBorders>
    </w:tblPr>
    <w:tcPr>
      <w:shd w:val="clear" w:color="auto" w:fill="A2E9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AF6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EEFF" w:themeFill="accent1" w:themeFillTint="33"/>
      </w:tcPr>
    </w:tblStylePr>
    <w:tblStylePr w:type="band1Vert">
      <w:tblPr/>
      <w:tcPr>
        <w:shd w:val="clear" w:color="auto" w:fill="45D4FF" w:themeFill="accent1" w:themeFillTint="7F"/>
      </w:tcPr>
    </w:tblStylePr>
    <w:tblStylePr w:type="band1Horz">
      <w:tblPr/>
      <w:tcPr>
        <w:tcBorders>
          <w:insideH w:val="single" w:color="006A89" w:themeColor="accent1" w:sz="6" w:space="0"/>
          <w:insideV w:val="single" w:color="006A89" w:themeColor="accent1" w:sz="6" w:space="0"/>
        </w:tcBorders>
        <w:shd w:val="clear" w:color="auto" w:fill="45D4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  <w:insideH w:val="single" w:color="2682BB" w:themeColor="accent2" w:sz="8" w:space="0"/>
        <w:insideV w:val="single" w:color="2682BB" w:themeColor="accent2" w:sz="8" w:space="0"/>
      </w:tblBorders>
    </w:tblPr>
    <w:tcPr>
      <w:shd w:val="clear" w:color="auto" w:fill="C4E1F3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7F3F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E6F5" w:themeFill="accent2" w:themeFillTint="33"/>
      </w:tcPr>
    </w:tblStylePr>
    <w:tblStylePr w:type="band1Vert">
      <w:tblPr/>
      <w:tcPr>
        <w:shd w:val="clear" w:color="auto" w:fill="88C2E7" w:themeFill="accent2" w:themeFillTint="7F"/>
      </w:tcPr>
    </w:tblStylePr>
    <w:tblStylePr w:type="band1Horz">
      <w:tblPr/>
      <w:tcPr>
        <w:tcBorders>
          <w:insideH w:val="single" w:color="2682BB" w:themeColor="accent2" w:sz="6" w:space="0"/>
          <w:insideV w:val="single" w:color="2682BB" w:themeColor="accent2" w:sz="6" w:space="0"/>
        </w:tcBorders>
        <w:shd w:val="clear" w:color="auto" w:fill="88C2E7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  <w:insideH w:val="single" w:color="C3C3C3" w:themeColor="accent3" w:sz="8" w:space="0"/>
        <w:insideV w:val="single" w:color="C3C3C3" w:themeColor="accent3" w:sz="8" w:space="0"/>
      </w:tblBorders>
    </w:tblPr>
    <w:tcPr>
      <w:shd w:val="clear" w:color="auto" w:fill="F0F0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9F9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F3F3" w:themeFill="accent3" w:themeFillTint="33"/>
      </w:tcPr>
    </w:tblStylePr>
    <w:tblStylePr w:type="band1Vert">
      <w:tblPr/>
      <w:tcPr>
        <w:shd w:val="clear" w:color="auto" w:fill="E1E1E1" w:themeFill="accent3" w:themeFillTint="7F"/>
      </w:tcPr>
    </w:tblStylePr>
    <w:tblStylePr w:type="band1Horz">
      <w:tblPr/>
      <w:tcPr>
        <w:tcBorders>
          <w:insideH w:val="single" w:color="C3C3C3" w:themeColor="accent3" w:sz="6" w:space="0"/>
          <w:insideV w:val="single" w:color="C3C3C3" w:themeColor="accent3" w:sz="6" w:space="0"/>
        </w:tcBorders>
        <w:shd w:val="clear" w:color="auto" w:fill="E1E1E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  <w:insideH w:val="single" w:color="00A997" w:themeColor="accent4" w:sz="8" w:space="0"/>
        <w:insideV w:val="single" w:color="00A997" w:themeColor="accent4" w:sz="8" w:space="0"/>
      </w:tblBorders>
    </w:tblPr>
    <w:tcPr>
      <w:shd w:val="clear" w:color="auto" w:fill="AAFFF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DFFFB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FFF7" w:themeFill="accent4" w:themeFillTint="33"/>
      </w:tcPr>
    </w:tblStylePr>
    <w:tblStylePr w:type="band1Vert">
      <w:tblPr/>
      <w:tcPr>
        <w:shd w:val="clear" w:color="auto" w:fill="55FFEC" w:themeFill="accent4" w:themeFillTint="7F"/>
      </w:tcPr>
    </w:tblStylePr>
    <w:tblStylePr w:type="band1Horz">
      <w:tblPr/>
      <w:tcPr>
        <w:tcBorders>
          <w:insideH w:val="single" w:color="00A997" w:themeColor="accent4" w:sz="6" w:space="0"/>
          <w:insideV w:val="single" w:color="00A997" w:themeColor="accent4" w:sz="6" w:space="0"/>
        </w:tcBorders>
        <w:shd w:val="clear" w:color="auto" w:fill="55FFE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  <w:insideH w:val="single" w:color="89C711" w:themeColor="accent5" w:sz="8" w:space="0"/>
        <w:insideV w:val="single" w:color="89C711" w:themeColor="accent5" w:sz="8" w:space="0"/>
      </w:tblBorders>
    </w:tblPr>
    <w:tcPr>
      <w:shd w:val="clear" w:color="auto" w:fill="E4F9B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CE4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AC8" w:themeFill="accent5" w:themeFillTint="33"/>
      </w:tcPr>
    </w:tblStylePr>
    <w:tblStylePr w:type="band1Vert">
      <w:tblPr/>
      <w:tcPr>
        <w:shd w:val="clear" w:color="auto" w:fill="C9F377" w:themeFill="accent5" w:themeFillTint="7F"/>
      </w:tcPr>
    </w:tblStylePr>
    <w:tblStylePr w:type="band1Horz">
      <w:tblPr/>
      <w:tcPr>
        <w:tcBorders>
          <w:insideH w:val="single" w:color="89C711" w:themeColor="accent5" w:sz="6" w:space="0"/>
          <w:insideV w:val="single" w:color="89C711" w:themeColor="accent5" w:sz="6" w:space="0"/>
        </w:tcBorders>
        <w:shd w:val="clear" w:color="auto" w:fill="C9F37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  <w:insideH w:val="single" w:color="8A479B" w:themeColor="accent6" w:sz="8" w:space="0"/>
        <w:insideV w:val="single" w:color="8A479B" w:themeColor="accent6" w:sz="8" w:space="0"/>
      </w:tblBorders>
    </w:tblPr>
    <w:tcPr>
      <w:shd w:val="clear" w:color="auto" w:fill="E3CEE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EBF6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7ED" w:themeFill="accent6" w:themeFillTint="33"/>
      </w:tcPr>
    </w:tblStylePr>
    <w:tblStylePr w:type="band1Vert">
      <w:tblPr/>
      <w:tcPr>
        <w:shd w:val="clear" w:color="auto" w:fill="C79DD2" w:themeFill="accent6" w:themeFillTint="7F"/>
      </w:tcPr>
    </w:tblStylePr>
    <w:tblStylePr w:type="band1Horz">
      <w:tblPr/>
      <w:tcPr>
        <w:tcBorders>
          <w:insideH w:val="single" w:color="8A479B" w:themeColor="accent6" w:sz="6" w:space="0"/>
          <w:insideV w:val="single" w:color="8A479B" w:themeColor="accent6" w:sz="6" w:space="0"/>
        </w:tcBorders>
        <w:shd w:val="clear" w:color="auto" w:fill="C79DD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A2E9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6A89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6A89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6A89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45D4FF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45D4FF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4E1F3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682B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682B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682B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8C2E7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8C2E7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0F0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3C3C3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3C3C3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1E1E1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1E1E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AAFFF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A997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A997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55FFEC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55FFEC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4F9B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9C711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9C711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9C711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9F37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9F377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3CEE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A479B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79DD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79DD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bottom w:val="single" w:color="006A89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6A89" w:themeColor="accent1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6A89" w:themeColor="accent1" w:sz="8" w:space="0"/>
          <w:bottom w:val="single" w:color="006A89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6A89" w:themeColor="accent1" w:sz="8" w:space="0"/>
          <w:bottom w:val="single" w:color="006A89" w:themeColor="accent1" w:sz="8" w:space="0"/>
        </w:tcBorders>
      </w:tcPr>
    </w:tblStylePr>
    <w:tblStylePr w:type="band1Vert">
      <w:tblPr/>
      <w:tcPr>
        <w:shd w:val="clear" w:color="auto" w:fill="A2E9FF" w:themeFill="accent1" w:themeFillTint="3F"/>
      </w:tcPr>
    </w:tblStylePr>
    <w:tblStylePr w:type="band1Horz">
      <w:tblPr/>
      <w:tcPr>
        <w:shd w:val="clear" w:color="auto" w:fill="A2E9FF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bottom w:val="single" w:color="2682BB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682BB" w:themeColor="accent2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2682BB" w:themeColor="accent2" w:sz="8" w:space="0"/>
          <w:bottom w:val="single" w:color="2682BB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682BB" w:themeColor="accent2" w:sz="8" w:space="0"/>
          <w:bottom w:val="single" w:color="2682BB" w:themeColor="accent2" w:sz="8" w:space="0"/>
        </w:tcBorders>
      </w:tcPr>
    </w:tblStylePr>
    <w:tblStylePr w:type="band1Vert">
      <w:tblPr/>
      <w:tcPr>
        <w:shd w:val="clear" w:color="auto" w:fill="C4E1F3" w:themeFill="accent2" w:themeFillTint="3F"/>
      </w:tcPr>
    </w:tblStylePr>
    <w:tblStylePr w:type="band1Horz">
      <w:tblPr/>
      <w:tcPr>
        <w:shd w:val="clear" w:color="auto" w:fill="C4E1F3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bottom w:val="single" w:color="C3C3C3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3C3C3" w:themeColor="accent3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C3C3C3" w:themeColor="accent3" w:sz="8" w:space="0"/>
          <w:bottom w:val="single" w:color="C3C3C3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3C3C3" w:themeColor="accent3" w:sz="8" w:space="0"/>
          <w:bottom w:val="single" w:color="C3C3C3" w:themeColor="accent3" w:sz="8" w:space="0"/>
        </w:tcBorders>
      </w:tcPr>
    </w:tblStylePr>
    <w:tblStylePr w:type="band1Vert">
      <w:tblPr/>
      <w:tcPr>
        <w:shd w:val="clear" w:color="auto" w:fill="F0F0F0" w:themeFill="accent3" w:themeFillTint="3F"/>
      </w:tcPr>
    </w:tblStylePr>
    <w:tblStylePr w:type="band1Horz">
      <w:tblPr/>
      <w:tcPr>
        <w:shd w:val="clear" w:color="auto" w:fill="F0F0F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bottom w:val="single" w:color="00A997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A997" w:themeColor="accent4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00A997" w:themeColor="accent4" w:sz="8" w:space="0"/>
          <w:bottom w:val="single" w:color="00A997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A997" w:themeColor="accent4" w:sz="8" w:space="0"/>
          <w:bottom w:val="single" w:color="00A997" w:themeColor="accent4" w:sz="8" w:space="0"/>
        </w:tcBorders>
      </w:tc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shd w:val="clear" w:color="auto" w:fill="AAFFF5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bottom w:val="single" w:color="89C711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9C711" w:themeColor="accent5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89C711" w:themeColor="accent5" w:sz="8" w:space="0"/>
          <w:bottom w:val="single" w:color="89C711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9C711" w:themeColor="accent5" w:sz="8" w:space="0"/>
          <w:bottom w:val="single" w:color="89C711" w:themeColor="accent5" w:sz="8" w:space="0"/>
        </w:tcBorders>
      </w:tcPr>
    </w:tblStylePr>
    <w:tblStylePr w:type="band1Vert">
      <w:tblPr/>
      <w:tcPr>
        <w:shd w:val="clear" w:color="auto" w:fill="E4F9BC" w:themeFill="accent5" w:themeFillTint="3F"/>
      </w:tcPr>
    </w:tblStylePr>
    <w:tblStylePr w:type="band1Horz">
      <w:tblPr/>
      <w:tcPr>
        <w:shd w:val="clear" w:color="auto" w:fill="E4F9B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1A2E8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bottom w:val="single" w:color="8A479B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A479B" w:themeColor="accent6" w:sz="8" w:space="0"/>
        </w:tcBorders>
      </w:tcPr>
    </w:tblStylePr>
    <w:tblStylePr w:type="lastRow">
      <w:rPr>
        <w:b/>
        <w:bCs/>
        <w:color w:val="5A5A5A" w:themeColor="text2"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A479B" w:themeColor="accent6" w:sz="8" w:space="0"/>
          <w:bottom w:val="single" w:color="8A479B" w:themeColor="accent6" w:sz="8" w:space="0"/>
        </w:tcBorders>
      </w:tc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shd w:val="clear" w:color="auto" w:fill="E3CEE9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6A89" w:themeColor="accent1" w:sz="8" w:space="0"/>
        <w:left w:val="single" w:color="006A89" w:themeColor="accent1" w:sz="8" w:space="0"/>
        <w:bottom w:val="single" w:color="006A89" w:themeColor="accent1" w:sz="8" w:space="0"/>
        <w:right w:val="single" w:color="006A89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6A89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6A89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6A89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2E9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2E9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682BB" w:themeColor="accent2" w:sz="8" w:space="0"/>
        <w:left w:val="single" w:color="2682BB" w:themeColor="accent2" w:sz="8" w:space="0"/>
        <w:bottom w:val="single" w:color="2682BB" w:themeColor="accent2" w:sz="8" w:space="0"/>
        <w:right w:val="single" w:color="2682BB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682BB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682BB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682BB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E1F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E1F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3C3C3" w:themeColor="accent3" w:sz="8" w:space="0"/>
        <w:left w:val="single" w:color="C3C3C3" w:themeColor="accent3" w:sz="8" w:space="0"/>
        <w:bottom w:val="single" w:color="C3C3C3" w:themeColor="accent3" w:sz="8" w:space="0"/>
        <w:right w:val="single" w:color="C3C3C3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3C3C3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3C3C3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3C3C3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0F0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0F0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A997" w:themeColor="accent4" w:sz="8" w:space="0"/>
        <w:left w:val="single" w:color="00A997" w:themeColor="accent4" w:sz="8" w:space="0"/>
        <w:bottom w:val="single" w:color="00A997" w:themeColor="accent4" w:sz="8" w:space="0"/>
        <w:right w:val="single" w:color="00A997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A997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A997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A997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AFFF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AFFF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9C711" w:themeColor="accent5" w:sz="8" w:space="0"/>
        <w:left w:val="single" w:color="89C711" w:themeColor="accent5" w:sz="8" w:space="0"/>
        <w:bottom w:val="single" w:color="89C711" w:themeColor="accent5" w:sz="8" w:space="0"/>
        <w:right w:val="single" w:color="89C711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9C711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9C711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9C711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9B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1A2E8F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A479B" w:themeColor="accent6" w:sz="8" w:space="0"/>
        <w:left w:val="single" w:color="8A479B" w:themeColor="accent6" w:sz="8" w:space="0"/>
        <w:bottom w:val="single" w:color="8A479B" w:themeColor="accent6" w:sz="8" w:space="0"/>
        <w:right w:val="single" w:color="8A479B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A479B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A479B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A479B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CEE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CEE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1A2E8F"/>
    <w:pPr>
      <w:spacing w:after="0" w:line="240" w:lineRule="auto"/>
    </w:pPr>
    <w:tblPr>
      <w:tblStyleRowBandSize w:val="1"/>
      <w:tblStyleColBandSize w:val="1"/>
      <w:tblBorders>
        <w:top w:val="single" w:color="00B1E6" w:themeColor="accent1" w:themeTint="BF" w:sz="8" w:space="0"/>
        <w:left w:val="single" w:color="00B1E6" w:themeColor="accent1" w:themeTint="BF" w:sz="8" w:space="0"/>
        <w:bottom w:val="single" w:color="00B1E6" w:themeColor="accent1" w:themeTint="BF" w:sz="8" w:space="0"/>
        <w:right w:val="single" w:color="00B1E6" w:themeColor="accent1" w:themeTint="BF" w:sz="8" w:space="0"/>
        <w:insideH w:val="single" w:color="00B1E6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B1E6" w:themeColor="accent1" w:themeTint="BF" w:sz="8" w:space="0"/>
          <w:left w:val="single" w:color="00B1E6" w:themeColor="accent1" w:themeTint="BF" w:sz="8" w:space="0"/>
          <w:bottom w:val="single" w:color="00B1E6" w:themeColor="accent1" w:themeTint="BF" w:sz="8" w:space="0"/>
          <w:right w:val="single" w:color="00B1E6" w:themeColor="accent1" w:themeTint="BF" w:sz="8" w:space="0"/>
          <w:insideH w:val="nil"/>
          <w:insideV w:val="nil"/>
        </w:tcBorders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B1E6" w:themeColor="accent1" w:themeTint="BF" w:sz="6" w:space="0"/>
          <w:left w:val="single" w:color="00B1E6" w:themeColor="accent1" w:themeTint="BF" w:sz="8" w:space="0"/>
          <w:bottom w:val="single" w:color="00B1E6" w:themeColor="accent1" w:themeTint="BF" w:sz="8" w:space="0"/>
          <w:right w:val="single" w:color="00B1E6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E9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2E9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4DA4DB" w:themeColor="accent2" w:themeTint="BF" w:sz="8" w:space="0"/>
        <w:left w:val="single" w:color="4DA4DB" w:themeColor="accent2" w:themeTint="BF" w:sz="8" w:space="0"/>
        <w:bottom w:val="single" w:color="4DA4DB" w:themeColor="accent2" w:themeTint="BF" w:sz="8" w:space="0"/>
        <w:right w:val="single" w:color="4DA4DB" w:themeColor="accent2" w:themeTint="BF" w:sz="8" w:space="0"/>
        <w:insideH w:val="single" w:color="4DA4DB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DA4DB" w:themeColor="accent2" w:themeTint="BF" w:sz="8" w:space="0"/>
          <w:left w:val="single" w:color="4DA4DB" w:themeColor="accent2" w:themeTint="BF" w:sz="8" w:space="0"/>
          <w:bottom w:val="single" w:color="4DA4DB" w:themeColor="accent2" w:themeTint="BF" w:sz="8" w:space="0"/>
          <w:right w:val="single" w:color="4DA4DB" w:themeColor="accent2" w:themeTint="BF" w:sz="8" w:space="0"/>
          <w:insideH w:val="nil"/>
          <w:insideV w:val="nil"/>
        </w:tcBorders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DA4DB" w:themeColor="accent2" w:themeTint="BF" w:sz="6" w:space="0"/>
          <w:left w:val="single" w:color="4DA4DB" w:themeColor="accent2" w:themeTint="BF" w:sz="8" w:space="0"/>
          <w:bottom w:val="single" w:color="4DA4DB" w:themeColor="accent2" w:themeTint="BF" w:sz="8" w:space="0"/>
          <w:right w:val="single" w:color="4DA4DB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F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E1F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D2D2D2" w:themeColor="accent3" w:themeTint="BF" w:sz="8" w:space="0"/>
        <w:left w:val="single" w:color="D2D2D2" w:themeColor="accent3" w:themeTint="BF" w:sz="8" w:space="0"/>
        <w:bottom w:val="single" w:color="D2D2D2" w:themeColor="accent3" w:themeTint="BF" w:sz="8" w:space="0"/>
        <w:right w:val="single" w:color="D2D2D2" w:themeColor="accent3" w:themeTint="BF" w:sz="8" w:space="0"/>
        <w:insideH w:val="single" w:color="D2D2D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D2D2D2" w:themeColor="accent3" w:themeTint="BF" w:sz="8" w:space="0"/>
          <w:left w:val="single" w:color="D2D2D2" w:themeColor="accent3" w:themeTint="BF" w:sz="8" w:space="0"/>
          <w:bottom w:val="single" w:color="D2D2D2" w:themeColor="accent3" w:themeTint="BF" w:sz="8" w:space="0"/>
          <w:right w:val="single" w:color="D2D2D2" w:themeColor="accent3" w:themeTint="BF" w:sz="8" w:space="0"/>
          <w:insideH w:val="nil"/>
          <w:insideV w:val="nil"/>
        </w:tcBorders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2D2D2" w:themeColor="accent3" w:themeTint="BF" w:sz="6" w:space="0"/>
          <w:left w:val="single" w:color="D2D2D2" w:themeColor="accent3" w:themeTint="BF" w:sz="8" w:space="0"/>
          <w:bottom w:val="single" w:color="D2D2D2" w:themeColor="accent3" w:themeTint="BF" w:sz="8" w:space="0"/>
          <w:right w:val="single" w:color="D2D2D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F0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0F0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00FEE2" w:themeColor="accent4" w:themeTint="BF" w:sz="8" w:space="0"/>
        <w:left w:val="single" w:color="00FEE2" w:themeColor="accent4" w:themeTint="BF" w:sz="8" w:space="0"/>
        <w:bottom w:val="single" w:color="00FEE2" w:themeColor="accent4" w:themeTint="BF" w:sz="8" w:space="0"/>
        <w:right w:val="single" w:color="00FEE2" w:themeColor="accent4" w:themeTint="BF" w:sz="8" w:space="0"/>
        <w:insideH w:val="single" w:color="00FEE2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00FEE2" w:themeColor="accent4" w:themeTint="BF" w:sz="8" w:space="0"/>
          <w:left w:val="single" w:color="00FEE2" w:themeColor="accent4" w:themeTint="BF" w:sz="8" w:space="0"/>
          <w:bottom w:val="single" w:color="00FEE2" w:themeColor="accent4" w:themeTint="BF" w:sz="8" w:space="0"/>
          <w:right w:val="single" w:color="00FEE2" w:themeColor="accent4" w:themeTint="BF" w:sz="8" w:space="0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FEE2" w:themeColor="accent4" w:themeTint="BF" w:sz="6" w:space="0"/>
          <w:left w:val="single" w:color="00FEE2" w:themeColor="accent4" w:themeTint="BF" w:sz="8" w:space="0"/>
          <w:bottom w:val="single" w:color="00FEE2" w:themeColor="accent4" w:themeTint="BF" w:sz="8" w:space="0"/>
          <w:right w:val="single" w:color="00FEE2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FF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AFFF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EED34" w:themeColor="accent5" w:themeTint="BF" w:sz="8" w:space="0"/>
        <w:left w:val="single" w:color="AEED34" w:themeColor="accent5" w:themeTint="BF" w:sz="8" w:space="0"/>
        <w:bottom w:val="single" w:color="AEED34" w:themeColor="accent5" w:themeTint="BF" w:sz="8" w:space="0"/>
        <w:right w:val="single" w:color="AEED34" w:themeColor="accent5" w:themeTint="BF" w:sz="8" w:space="0"/>
        <w:insideH w:val="single" w:color="AEED3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EED34" w:themeColor="accent5" w:themeTint="BF" w:sz="8" w:space="0"/>
          <w:left w:val="single" w:color="AEED34" w:themeColor="accent5" w:themeTint="BF" w:sz="8" w:space="0"/>
          <w:bottom w:val="single" w:color="AEED34" w:themeColor="accent5" w:themeTint="BF" w:sz="8" w:space="0"/>
          <w:right w:val="single" w:color="AEED34" w:themeColor="accent5" w:themeTint="BF" w:sz="8" w:space="0"/>
          <w:insideH w:val="nil"/>
          <w:insideV w:val="nil"/>
        </w:tcBorders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EED34" w:themeColor="accent5" w:themeTint="BF" w:sz="6" w:space="0"/>
          <w:left w:val="single" w:color="AEED34" w:themeColor="accent5" w:themeTint="BF" w:sz="8" w:space="0"/>
          <w:bottom w:val="single" w:color="AEED34" w:themeColor="accent5" w:themeTint="BF" w:sz="8" w:space="0"/>
          <w:right w:val="single" w:color="AEED3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9B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9B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B6CBC" w:themeColor="accent6" w:themeTint="BF" w:sz="8" w:space="0"/>
        <w:left w:val="single" w:color="AB6CBC" w:themeColor="accent6" w:themeTint="BF" w:sz="8" w:space="0"/>
        <w:bottom w:val="single" w:color="AB6CBC" w:themeColor="accent6" w:themeTint="BF" w:sz="8" w:space="0"/>
        <w:right w:val="single" w:color="AB6CBC" w:themeColor="accent6" w:themeTint="BF" w:sz="8" w:space="0"/>
        <w:insideH w:val="single" w:color="AB6CBC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B6CBC" w:themeColor="accent6" w:themeTint="BF" w:sz="8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B6CBC" w:themeColor="accent6" w:themeTint="BF" w:sz="6" w:space="0"/>
          <w:left w:val="single" w:color="AB6CBC" w:themeColor="accent6" w:themeTint="BF" w:sz="8" w:space="0"/>
          <w:bottom w:val="single" w:color="AB6CBC" w:themeColor="accent6" w:themeTint="BF" w:sz="8" w:space="0"/>
          <w:right w:val="single" w:color="AB6CBC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CEE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CEE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6A89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A89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682B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682B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3C3C3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C3C3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A997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9C711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9C711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1A2E8F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479B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1" w:customStyle="1">
    <w:name w:val="Mention1"/>
    <w:basedOn w:val="DefaultParagraphFont"/>
    <w:uiPriority w:val="99"/>
    <w:semiHidden/>
    <w:unhideWhenUsed/>
    <w:rsid w:val="001A2E8F"/>
    <w:rPr>
      <w:color w:val="2B579A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B3AD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color w:val="434343" w:themeColor="text2" w:themeShade="BF"/>
      <w:sz w:val="24"/>
      <w:szCs w:val="24"/>
    </w:rPr>
  </w:style>
  <w:style w:type="character" w:styleId="MessageHeaderChar" w:customStyle="1">
    <w:name w:val="Message Header Char"/>
    <w:basedOn w:val="DefaultParagraphFont"/>
    <w:link w:val="MessageHeader"/>
    <w:uiPriority w:val="99"/>
    <w:semiHidden/>
    <w:rsid w:val="00BB3AD3"/>
    <w:rPr>
      <w:rFonts w:asciiTheme="majorHAnsi" w:hAnsiTheme="majorHAnsi" w:eastAsiaTheme="majorEastAsia" w:cstheme="majorBidi"/>
      <w:color w:val="434343" w:themeColor="text2" w:themeShade="BF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unhideWhenUsed/>
    <w:qFormat/>
    <w:rsid w:val="001A2E8F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1A2E8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1A2E8F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A2E8F"/>
    <w:pPr>
      <w:spacing w:after="0" w:line="240" w:lineRule="auto"/>
    </w:pPr>
  </w:style>
  <w:style w:type="character" w:styleId="NoteHeadingChar" w:customStyle="1">
    <w:name w:val="Note Heading Char"/>
    <w:basedOn w:val="DefaultParagraphFont"/>
    <w:link w:val="NoteHeading"/>
    <w:uiPriority w:val="99"/>
    <w:semiHidden/>
    <w:rsid w:val="001A2E8F"/>
  </w:style>
  <w:style w:type="character" w:styleId="PageNumber">
    <w:name w:val="page number"/>
    <w:basedOn w:val="DefaultParagraphFont"/>
    <w:uiPriority w:val="99"/>
    <w:semiHidden/>
    <w:unhideWhenUsed/>
    <w:rsid w:val="001A2E8F"/>
  </w:style>
  <w:style w:type="character" w:styleId="PlaceholderText">
    <w:name w:val="Placeholder Text"/>
    <w:basedOn w:val="DefaultParagraphFont"/>
    <w:uiPriority w:val="99"/>
    <w:semiHidden/>
    <w:rsid w:val="001A2E8F"/>
    <w:rPr>
      <w:color w:val="808080"/>
    </w:rPr>
  </w:style>
  <w:style w:type="table" w:styleId="PlainTable1">
    <w:name w:val="Plain Table 1"/>
    <w:basedOn w:val="TableNormal"/>
    <w:uiPriority w:val="41"/>
    <w:rsid w:val="001A2E8F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1A2E8F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PlainTable3">
    <w:name w:val="Plain Table 3"/>
    <w:basedOn w:val="TableNormal"/>
    <w:uiPriority w:val="43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1A2E8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1A2E8F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1A2E8F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A2E8F"/>
  </w:style>
  <w:style w:type="character" w:styleId="SalutationChar" w:customStyle="1">
    <w:name w:val="Salutation Char"/>
    <w:basedOn w:val="DefaultParagraphFont"/>
    <w:link w:val="Salutation"/>
    <w:uiPriority w:val="99"/>
    <w:semiHidden/>
    <w:rsid w:val="001A2E8F"/>
  </w:style>
  <w:style w:type="paragraph" w:styleId="Signature">
    <w:name w:val="Signature"/>
    <w:basedOn w:val="Normal"/>
    <w:link w:val="SignatureChar"/>
    <w:uiPriority w:val="99"/>
    <w:semiHidden/>
    <w:unhideWhenUsed/>
    <w:rsid w:val="001A2E8F"/>
    <w:pPr>
      <w:spacing w:after="0" w:line="240" w:lineRule="auto"/>
      <w:ind w:left="4252"/>
    </w:pPr>
  </w:style>
  <w:style w:type="character" w:styleId="SignatureChar" w:customStyle="1">
    <w:name w:val="Signature Char"/>
    <w:basedOn w:val="DefaultParagraphFont"/>
    <w:link w:val="Signature"/>
    <w:uiPriority w:val="99"/>
    <w:semiHidden/>
    <w:rsid w:val="001A2E8F"/>
  </w:style>
  <w:style w:type="character" w:styleId="SmartHyperlink1" w:customStyle="1">
    <w:name w:val="Smart Hyperlink1"/>
    <w:basedOn w:val="DefaultParagraphFont"/>
    <w:uiPriority w:val="99"/>
    <w:semiHidden/>
    <w:unhideWhenUsed/>
    <w:rsid w:val="001A2E8F"/>
    <w:rPr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1A2E8F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1A2E8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1A2E8F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1A2E8F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1A2E8F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1A2E8F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1A2E8F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1A2E8F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1A2E8F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1A2E8F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1A2E8F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1A2E8F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1A2E8F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1A2E8F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1A2E8F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1A2E8F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1A2E8F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1A2E8F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1A2E8F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GridLight">
    <w:name w:val="Grid Table Light"/>
    <w:basedOn w:val="TableNormal"/>
    <w:uiPriority w:val="40"/>
    <w:rsid w:val="001A2E8F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eList1">
    <w:name w:val="Table List 1"/>
    <w:basedOn w:val="TableNormal"/>
    <w:uiPriority w:val="99"/>
    <w:semiHidden/>
    <w:unhideWhenUsed/>
    <w:rsid w:val="001A2E8F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1A2E8F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1A2E8F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1A2E8F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1A2E8F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A2E8F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A2E8F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1A2E8F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1A2E8F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1A2E8F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1A2E8F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Subtle2">
    <w:name w:val="Table Subtle 2"/>
    <w:basedOn w:val="TableNormal"/>
    <w:uiPriority w:val="99"/>
    <w:rsid w:val="001A2E8F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1A2E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Web1">
    <w:name w:val="Table Web 1"/>
    <w:basedOn w:val="TableNormal"/>
    <w:uiPriority w:val="99"/>
    <w:semiHidden/>
    <w:unhideWhenUsed/>
    <w:rsid w:val="001A2E8F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1A2E8F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eWeb3">
    <w:name w:val="Table Web 3"/>
    <w:basedOn w:val="TableNormal"/>
    <w:uiPriority w:val="99"/>
    <w:rsid w:val="001A2E8F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1A2E8F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A2E8F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A2E8F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A2E8F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A2E8F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A2E8F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A2E8F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A2E8F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A2E8F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A2E8F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A2E8F"/>
    <w:pPr>
      <w:spacing w:after="0"/>
      <w:outlineLvl w:val="9"/>
    </w:pPr>
    <w:rPr>
      <w:b w:val="0"/>
      <w:color w:val="004F66" w:themeColor="accent1" w:themeShade="BF"/>
      <w:sz w:val="32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BB3AD3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1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2.xml" Id="rId7" /><Relationship Type="http://schemas.openxmlformats.org/officeDocument/2006/relationships/footer" Target="footer3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3.xml" Id="rId11" /><Relationship Type="http://schemas.openxmlformats.org/officeDocument/2006/relationships/footnotes" Target="footnotes.xml" Id="rId5" /><Relationship Type="http://schemas.openxmlformats.org/officeDocument/2006/relationships/footer" Target="footer22.xml" Id="rId10" /><Relationship Type="http://schemas.openxmlformats.org/officeDocument/2006/relationships/webSettings" Target="webSettings.xml" Id="rId4" /><Relationship Type="http://schemas.openxmlformats.org/officeDocument/2006/relationships/footer" Target="footer13.xml" Id="rId9" /><Relationship Type="http://schemas.openxmlformats.org/officeDocument/2006/relationships/theme" Target="theme/theme11.xml" Id="rId14" /><Relationship Type="http://schemas.openxmlformats.org/officeDocument/2006/relationships/glossaryDocument" Target="glossary/document.xml" Id="Rc3b4a9a9bb554f2c" /><Relationship Type="http://schemas.openxmlformats.org/officeDocument/2006/relationships/image" Target="/media/image.jpg" Id="R232ad858c48d401c" /><Relationship Type="http://schemas.openxmlformats.org/officeDocument/2006/relationships/image" Target="/media/image2.jpg" Id="R5d26a2ea08654590" /><Relationship Type="http://schemas.openxmlformats.org/officeDocument/2006/relationships/image" Target="/media/image3.jpg" Id="Rb1168717054c414b" /><Relationship Type="http://schemas.openxmlformats.org/officeDocument/2006/relationships/image" Target="/media/image4.jpg" Id="R40cdeee14fe74c97" /><Relationship Type="http://schemas.openxmlformats.org/officeDocument/2006/relationships/image" Target="/media/image5.jpg" Id="R6be32c4a099c40b5" /><Relationship Type="http://schemas.openxmlformats.org/officeDocument/2006/relationships/image" Target="/media/image6.jpg" Id="R4dac997776904bba" /><Relationship Type="http://schemas.openxmlformats.org/officeDocument/2006/relationships/hyperlink" Target="https://www.statista.com/statistics/1372794/consumer-attitudes-corporate-" TargetMode="External" Id="R55aab5f941c347a0" /><Relationship Type="http://schemas.openxmlformats.org/officeDocument/2006/relationships/hyperlink" Target="https://www.mandarinoriental.com/en/investors/financial-reports" TargetMode="External" Id="Rfca528be3eb24390" /><Relationship Type="http://schemas.openxmlformats.org/officeDocument/2006/relationships/hyperlink" Target="https://www.premierinn.com/content/dam/pi/websites/desktop/why/force%20for%20good/" TargetMode="External" Id="R8939e434b6794084" /><Relationship Type="http://schemas.openxmlformats.org/officeDocument/2006/relationships/hyperlink" Target="https://www.sphericalinsights.com/press-release/luxury-hotel-market" TargetMode="External" Id="R8f8ebf7cca864489" /><Relationship Type="http://schemas.openxmlformats.org/officeDocument/2006/relationships/hyperlink" Target="https://www.statista.com/statistics/755691/premier-inn-share-of-hotel-" TargetMode="External" Id="Rdc2705ab787545e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6c20-61a4-442d-9fab-d9e86f74f7bc}"/>
      </w:docPartPr>
      <w:docPartBody>
        <w:p w14:paraId="024E8A7F">
          <w:r>
            <w:rPr>
              <w:rStyle w:val="PlaceholderText"/>
            </w:rPr>
            <w:t/>
          </w:r>
        </w:p>
      </w:docPartBody>
    </w:docPart>
  </w:docParts>
</w:glossaryDocument>
</file>

<file path=word/theme/theme11.xml><?xml version="1.0" encoding="utf-8"?>
<a:theme xmlns:a="http://schemas.openxmlformats.org/drawingml/2006/main" name="Report Theme">
  <a:themeElements>
    <a:clrScheme name="Report theme">
      <a:dk1>
        <a:sysClr val="windowText" lastClr="000000"/>
      </a:dk1>
      <a:lt1>
        <a:sysClr val="window" lastClr="FFFFFF"/>
      </a:lt1>
      <a:dk2>
        <a:srgbClr val="5A5A5A"/>
      </a:dk2>
      <a:lt2>
        <a:srgbClr val="F0F0F0"/>
      </a:lt2>
      <a:accent1>
        <a:srgbClr val="006A89"/>
      </a:accent1>
      <a:accent2>
        <a:srgbClr val="2682BB"/>
      </a:accent2>
      <a:accent3>
        <a:srgbClr val="C3C3C3"/>
      </a:accent3>
      <a:accent4>
        <a:srgbClr val="00A997"/>
      </a:accent4>
      <a:accent5>
        <a:srgbClr val="89C711"/>
      </a:accent5>
      <a:accent6>
        <a:srgbClr val="8A479B"/>
      </a:accent6>
      <a:hlink>
        <a:srgbClr val="3AA9E3"/>
      </a:hlink>
      <a:folHlink>
        <a:srgbClr val="8A479B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TM00002090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Silviu Ghera (2130678)</dc:creator>
  <keywords/>
  <dc:description/>
  <lastModifiedBy>Silviu Ghera (2130678)</lastModifiedBy>
  <revision>4</revision>
  <dcterms:created xsi:type="dcterms:W3CDTF">2023-10-17T08:15:57.0119584Z</dcterms:created>
  <dcterms:modified xsi:type="dcterms:W3CDTF">2023-10-20T18:13:46.8175954Z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