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70671" w14:textId="4EAD7B23" w:rsidR="00B27528" w:rsidRDefault="00C9724F">
      <w:r>
        <w:rPr>
          <w:noProof/>
        </w:rPr>
        <w:drawing>
          <wp:anchor distT="0" distB="0" distL="114300" distR="114300" simplePos="0" relativeHeight="251659264" behindDoc="0" locked="0" layoutInCell="1" allowOverlap="1" wp14:anchorId="7059D6E9" wp14:editId="4196A9BF">
            <wp:simplePos x="0" y="0"/>
            <wp:positionH relativeFrom="margin">
              <wp:posOffset>0</wp:posOffset>
            </wp:positionH>
            <wp:positionV relativeFrom="paragraph">
              <wp:posOffset>313690</wp:posOffset>
            </wp:positionV>
            <wp:extent cx="2600325" cy="914400"/>
            <wp:effectExtent l="0" t="0" r="3175" b="0"/>
            <wp:wrapSquare wrapText="bothSides"/>
            <wp:docPr id="2" name="Picture 1" descr="Discover University of Wales Trinity Saint Davi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24C92" w14:textId="77777777" w:rsidR="00C9724F" w:rsidRPr="00C9724F" w:rsidRDefault="00C9724F" w:rsidP="00C9724F"/>
    <w:p w14:paraId="2AC6C00E" w14:textId="77777777" w:rsidR="00C9724F" w:rsidRPr="00C9724F" w:rsidRDefault="00C9724F" w:rsidP="00C9724F"/>
    <w:p w14:paraId="39907D2F" w14:textId="77777777" w:rsidR="00C9724F" w:rsidRPr="00C9724F" w:rsidRDefault="00C9724F" w:rsidP="00C9724F"/>
    <w:p w14:paraId="0611264A" w14:textId="77777777" w:rsidR="00C9724F" w:rsidRPr="00C9724F" w:rsidRDefault="00C9724F" w:rsidP="00C9724F"/>
    <w:p w14:paraId="4014E08B" w14:textId="77777777" w:rsidR="00C9724F" w:rsidRPr="00C9724F" w:rsidRDefault="00C9724F" w:rsidP="00C9724F"/>
    <w:p w14:paraId="617FBDCA" w14:textId="77777777" w:rsidR="00C9724F" w:rsidRDefault="00C9724F" w:rsidP="00C9724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9724F">
        <w:rPr>
          <w:rFonts w:ascii="Arial" w:hAnsi="Arial" w:cs="Arial"/>
          <w:b/>
          <w:bCs/>
          <w:sz w:val="28"/>
          <w:szCs w:val="28"/>
          <w:lang w:val="nl-NL"/>
        </w:rPr>
        <w:t xml:space="preserve"> </w:t>
      </w: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Stephanie Owusu</w:t>
      </w:r>
    </w:p>
    <w:p w14:paraId="66DCE3A6" w14:textId="6BACDBF9" w:rsidR="00C9724F" w:rsidRPr="00814A9E" w:rsidRDefault="00C9724F" w:rsidP="00C9724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>2316785</w:t>
      </w:r>
    </w:p>
    <w:p w14:paraId="4A1F73CC" w14:textId="7CA0E298" w:rsidR="00C9724F" w:rsidRPr="00814A9E" w:rsidRDefault="00C9724F" w:rsidP="00C9724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proofErr w:type="spellStart"/>
      <w:r>
        <w:rPr>
          <w:rFonts w:ascii="Arial" w:hAnsi="Arial" w:cs="Arial"/>
          <w:sz w:val="28"/>
          <w:szCs w:val="28"/>
          <w:lang w:val="nl-NL"/>
        </w:rPr>
        <w:t>Empowering</w:t>
      </w:r>
      <w:proofErr w:type="spellEnd"/>
      <w:r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nl-NL"/>
        </w:rPr>
        <w:t>the</w:t>
      </w:r>
      <w:proofErr w:type="spellEnd"/>
      <w:r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nl-NL"/>
        </w:rPr>
        <w:t>Older</w:t>
      </w:r>
      <w:proofErr w:type="spellEnd"/>
      <w:r>
        <w:rPr>
          <w:rFonts w:ascii="Arial" w:hAnsi="Arial" w:cs="Arial"/>
          <w:sz w:val="28"/>
          <w:szCs w:val="28"/>
          <w:lang w:val="nl-NL"/>
        </w:rPr>
        <w:t xml:space="preserve"> Person</w:t>
      </w:r>
    </w:p>
    <w:p w14:paraId="33AA2E01" w14:textId="77777777" w:rsidR="00C9724F" w:rsidRDefault="00C9724F" w:rsidP="00C9724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 BMHP6027_LON</w:t>
      </w:r>
    </w:p>
    <w:p w14:paraId="09FDF583" w14:textId="00FC8FC7" w:rsidR="00C9724F" w:rsidRPr="00C9724F" w:rsidRDefault="00C9724F" w:rsidP="00C9724F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9724F">
        <w:rPr>
          <w:rFonts w:ascii="Arial" w:hAnsi="Arial" w:cs="Arial"/>
          <w:b/>
          <w:bCs/>
          <w:sz w:val="28"/>
          <w:szCs w:val="28"/>
        </w:rPr>
        <w:t>Discussion Topic: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214B40">
        <w:rPr>
          <w:rFonts w:ascii="Arial" w:hAnsi="Arial" w:cs="Arial"/>
          <w:b/>
          <w:bCs/>
          <w:sz w:val="28"/>
          <w:szCs w:val="28"/>
        </w:rPr>
        <w:t>Digital Health Tools through apps and devices are a source of empowerment for older adults (Yes)</w:t>
      </w:r>
    </w:p>
    <w:p w14:paraId="2C8763E8" w14:textId="1B00D776" w:rsidR="00214B40" w:rsidRDefault="00C9724F" w:rsidP="00C9724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>: Arif Ahmed</w:t>
      </w:r>
    </w:p>
    <w:p w14:paraId="0A569673" w14:textId="77777777" w:rsidR="00214B40" w:rsidRDefault="00214B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50EFCB1" w14:textId="5388B4FD" w:rsidR="00C9724F" w:rsidRDefault="00214B40" w:rsidP="00C9724F">
      <w:r>
        <w:lastRenderedPageBreak/>
        <w:t>REFERENCES</w:t>
      </w:r>
    </w:p>
    <w:p w14:paraId="62EF3315" w14:textId="256A74AF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Adlakha, K. (2021) </w:t>
      </w:r>
      <w:r w:rsidRPr="00214B40">
        <w:rPr>
          <w:rFonts w:ascii="Arial" w:hAnsi="Arial" w:cs="Arial"/>
          <w:i/>
          <w:iCs/>
          <w:sz w:val="22"/>
          <w:szCs w:val="22"/>
        </w:rPr>
        <w:t>The vital role of healthcare apps in empowering patients</w:t>
      </w:r>
      <w:r w:rsidRPr="00214B40">
        <w:rPr>
          <w:rFonts w:ascii="Arial" w:hAnsi="Arial" w:cs="Arial"/>
          <w:sz w:val="22"/>
          <w:szCs w:val="22"/>
        </w:rPr>
        <w:t xml:space="preserve">. Available at: </w:t>
      </w:r>
      <w:hyperlink r:id="rId5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https://www.reanfoundation.org/crucial-role-of-healthcare-apps-in-patient-care/#:~:text=Some%20of%20the%20most%20recently,seniors%20with%20dementia%20or%20Alzheimer's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(Accessed on 8</w:t>
      </w:r>
      <w:r w:rsidRPr="00214B40">
        <w:rPr>
          <w:rFonts w:ascii="Arial" w:hAnsi="Arial" w:cs="Arial"/>
          <w:sz w:val="22"/>
          <w:szCs w:val="22"/>
          <w:vertAlign w:val="superscript"/>
        </w:rPr>
        <w:t>th</w:t>
      </w:r>
      <w:r w:rsidRPr="00214B40">
        <w:rPr>
          <w:rFonts w:ascii="Arial" w:hAnsi="Arial" w:cs="Arial"/>
          <w:sz w:val="22"/>
          <w:szCs w:val="22"/>
        </w:rPr>
        <w:t xml:space="preserve"> April 2026).</w:t>
      </w:r>
    </w:p>
    <w:p w14:paraId="5DFE3B1E" w14:textId="6C8DD47E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Cen, C. et al. (2025) “Interactive interfaces and wearable technologies for enhancing health management among older adults: a systematic review,” Frontiers in medicine, 12, p. 1724828. Available at: </w:t>
      </w:r>
      <w:hyperlink r:id="rId6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https://doi.org/10.3389/fmed.2025.1724828</w:t>
        </w:r>
      </w:hyperlink>
      <w:r w:rsidRPr="00214B40">
        <w:rPr>
          <w:rFonts w:ascii="Arial" w:hAnsi="Arial" w:cs="Arial"/>
          <w:sz w:val="22"/>
          <w:szCs w:val="22"/>
        </w:rPr>
        <w:t>.</w:t>
      </w:r>
    </w:p>
    <w:p w14:paraId="1582742E" w14:textId="4D06C499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Chadwick, H. et al. (2024) “Engagement </w:t>
      </w:r>
      <w:proofErr w:type="gramStart"/>
      <w:r w:rsidRPr="00214B40">
        <w:rPr>
          <w:rFonts w:ascii="Arial" w:hAnsi="Arial" w:cs="Arial"/>
          <w:sz w:val="22"/>
          <w:szCs w:val="22"/>
        </w:rPr>
        <w:t>With</w:t>
      </w:r>
      <w:proofErr w:type="gramEnd"/>
      <w:r w:rsidRPr="00214B40">
        <w:rPr>
          <w:rFonts w:ascii="Arial" w:hAnsi="Arial" w:cs="Arial"/>
          <w:sz w:val="22"/>
          <w:szCs w:val="22"/>
        </w:rPr>
        <w:t xml:space="preserve"> Digital Health Technologies Among Older People Living in Socially Deprived Areas: Qualitative Study of Influencing Factors,” JMIR formative research, 8, pp. e60483–e60483. Available at: </w:t>
      </w:r>
      <w:hyperlink r:id="rId7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https://doi.org/10.2196/60483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</w:t>
      </w:r>
    </w:p>
    <w:p w14:paraId="2CE655A8" w14:textId="2AA50676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Genovese, V. et al. (2018) “Wearable Inertial Sensing for ICT Management of Fall Detection, Fall Prevention, and Assessment in Elderly,” Technologies (Basel), 6(4), p. 91. Available at: </w:t>
      </w:r>
      <w:hyperlink r:id="rId8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https://doi.org/10.3390/technologies6040091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</w:t>
      </w:r>
    </w:p>
    <w:p w14:paraId="66D1EC30" w14:textId="2D9EAE40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Georgieva, N. et al. (2023) “Diabetes Mellitus—Digital Solutions to Improve Medication Adherence: Scoping Review,” Diabetology, 4(4), pp. 465–480. Available at: </w:t>
      </w:r>
      <w:hyperlink r:id="rId9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https://doi.org/10.3390/diabetology4040040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</w:t>
      </w:r>
    </w:p>
    <w:p w14:paraId="20C40B6F" w14:textId="3B0D78F6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Horne, F., Bailey, D. and Kenney, M. (2023) “Methodologies assessing digital technologies to assist ‘ageing in place’: a scoping review,” Working with older people (Brighton, England), 27(4), pp. 360–370. Available at: </w:t>
      </w:r>
      <w:hyperlink r:id="rId10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https://doi.org/10.1108/WWOP-11-2022-0057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</w:t>
      </w:r>
    </w:p>
    <w:p w14:paraId="0247E05A" w14:textId="549A11FA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Kourtis, L.C. et al. (2019) “Digital biomarkers for Alzheimer’s disease: the mobile/wearable devices opportunity,” NPJ digital medicine, 2(1). Available at: </w:t>
      </w:r>
      <w:hyperlink r:id="rId11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https://doi.org/10.1038/s41746-019-0084-2</w:t>
        </w:r>
      </w:hyperlink>
      <w:r w:rsidRPr="00214B40">
        <w:rPr>
          <w:rFonts w:ascii="Arial" w:hAnsi="Arial" w:cs="Arial"/>
          <w:sz w:val="22"/>
          <w:szCs w:val="22"/>
        </w:rPr>
        <w:t>.</w:t>
      </w:r>
    </w:p>
    <w:p w14:paraId="46A20E7A" w14:textId="3BC238E6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Kumar, M. et al. (2025) “Wearable Smart Slippers: Integrating Fall Detection, Heart Rate, and Blood Pressure Monitoring for Elderly Care,” in 2025 2nd International Conference on Advanced Computing and Emerging Technologies (ACET). IEEE, pp. 1–6. Available at: </w:t>
      </w:r>
      <w:hyperlink r:id="rId12" w:history="1">
        <w:r w:rsidRPr="00FF775A">
          <w:rPr>
            <w:rStyle w:val="Hyperlink"/>
            <w:rFonts w:ascii="Arial" w:hAnsi="Arial" w:cs="Arial"/>
            <w:sz w:val="22"/>
            <w:szCs w:val="22"/>
          </w:rPr>
          <w:t>https://doi.org/10.1109/ACET67282.2025.11430390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9968500" w14:textId="5602A9AA" w:rsidR="00214B40" w:rsidRPr="00214B40" w:rsidRDefault="00214B40" w:rsidP="00214B40">
      <w:pPr>
        <w:rPr>
          <w:rFonts w:ascii="Arial" w:hAnsi="Arial" w:cs="Arial"/>
          <w:kern w:val="0"/>
          <w:sz w:val="22"/>
          <w:szCs w:val="22"/>
        </w:rPr>
      </w:pPr>
      <w:r w:rsidRPr="00214B40">
        <w:rPr>
          <w:rFonts w:ascii="Arial" w:hAnsi="Arial" w:cs="Arial"/>
          <w:kern w:val="0"/>
          <w:sz w:val="22"/>
          <w:szCs w:val="22"/>
        </w:rPr>
        <w:t xml:space="preserve">Mace, R.A., Mattos, M.K. and </w:t>
      </w:r>
      <w:proofErr w:type="spellStart"/>
      <w:r w:rsidRPr="00214B40">
        <w:rPr>
          <w:rFonts w:ascii="Arial" w:hAnsi="Arial" w:cs="Arial"/>
          <w:kern w:val="0"/>
          <w:sz w:val="22"/>
          <w:szCs w:val="22"/>
        </w:rPr>
        <w:t>Vranceanu</w:t>
      </w:r>
      <w:proofErr w:type="spellEnd"/>
      <w:r w:rsidRPr="00214B40">
        <w:rPr>
          <w:rFonts w:ascii="Arial" w:hAnsi="Arial" w:cs="Arial"/>
          <w:kern w:val="0"/>
          <w:sz w:val="22"/>
          <w:szCs w:val="22"/>
        </w:rPr>
        <w:t xml:space="preserve">, A.-M. (2022) </w:t>
      </w:r>
      <w:r w:rsidRPr="00214B40">
        <w:rPr>
          <w:rFonts w:ascii="Arial" w:hAnsi="Arial" w:cs="Arial"/>
          <w:i/>
          <w:iCs/>
          <w:kern w:val="0"/>
          <w:sz w:val="22"/>
          <w:szCs w:val="22"/>
        </w:rPr>
        <w:t>Older adults can use technology: why healthcare professionals must overcome ageism in digital health</w:t>
      </w:r>
      <w:r w:rsidRPr="00214B40">
        <w:rPr>
          <w:rFonts w:ascii="Arial" w:hAnsi="Arial" w:cs="Arial"/>
          <w:kern w:val="0"/>
          <w:sz w:val="22"/>
          <w:szCs w:val="22"/>
        </w:rPr>
        <w:t xml:space="preserve">. </w:t>
      </w:r>
      <w:r w:rsidRPr="00214B40">
        <w:rPr>
          <w:rFonts w:ascii="Arial" w:hAnsi="Arial" w:cs="Arial"/>
          <w:i/>
          <w:iCs/>
          <w:kern w:val="0"/>
          <w:sz w:val="22"/>
          <w:szCs w:val="22"/>
        </w:rPr>
        <w:t xml:space="preserve">Translational </w:t>
      </w:r>
      <w:proofErr w:type="spellStart"/>
      <w:r w:rsidRPr="00214B40">
        <w:rPr>
          <w:rFonts w:ascii="Arial" w:hAnsi="Arial" w:cs="Arial"/>
          <w:i/>
          <w:iCs/>
          <w:kern w:val="0"/>
          <w:sz w:val="22"/>
          <w:szCs w:val="22"/>
        </w:rPr>
        <w:t>Behavioral</w:t>
      </w:r>
      <w:proofErr w:type="spellEnd"/>
      <w:r w:rsidRPr="00214B40">
        <w:rPr>
          <w:rFonts w:ascii="Arial" w:hAnsi="Arial" w:cs="Arial"/>
          <w:i/>
          <w:iCs/>
          <w:kern w:val="0"/>
          <w:sz w:val="22"/>
          <w:szCs w:val="22"/>
        </w:rPr>
        <w:t xml:space="preserve"> Medicine</w:t>
      </w:r>
      <w:r w:rsidRPr="00214B40">
        <w:rPr>
          <w:rFonts w:ascii="Arial" w:hAnsi="Arial" w:cs="Arial"/>
          <w:kern w:val="0"/>
          <w:sz w:val="22"/>
          <w:szCs w:val="22"/>
        </w:rPr>
        <w:t xml:space="preserve">, 12(12), pp. 1102–1105. Available at: </w:t>
      </w:r>
      <w:hyperlink r:id="rId13" w:history="1">
        <w:r w:rsidRPr="00214B40">
          <w:rPr>
            <w:rStyle w:val="Hyperlink"/>
            <w:rFonts w:ascii="Arial" w:hAnsi="Arial" w:cs="Arial"/>
            <w:kern w:val="0"/>
            <w:sz w:val="22"/>
            <w:szCs w:val="22"/>
          </w:rPr>
          <w:t>https://pubmed.ncbi.nlm.nih.gov/36073770/</w:t>
        </w:r>
      </w:hyperlink>
      <w:r w:rsidRPr="00214B40">
        <w:rPr>
          <w:rFonts w:ascii="Arial" w:hAnsi="Arial" w:cs="Arial"/>
          <w:kern w:val="0"/>
          <w:sz w:val="22"/>
          <w:szCs w:val="22"/>
        </w:rPr>
        <w:t xml:space="preserve"> </w:t>
      </w:r>
    </w:p>
    <w:p w14:paraId="5DB94E13" w14:textId="4518730E" w:rsidR="00214B40" w:rsidRPr="00214B40" w:rsidRDefault="00214B40" w:rsidP="00214B40">
      <w:pPr>
        <w:rPr>
          <w:rFonts w:ascii="Arial" w:hAnsi="Arial" w:cs="Arial"/>
          <w:kern w:val="0"/>
          <w:sz w:val="22"/>
          <w:szCs w:val="22"/>
        </w:rPr>
      </w:pPr>
      <w:r w:rsidRPr="00214B40">
        <w:rPr>
          <w:rFonts w:ascii="Arial" w:hAnsi="Arial" w:cs="Arial"/>
          <w:kern w:val="0"/>
          <w:sz w:val="22"/>
          <w:szCs w:val="22"/>
        </w:rPr>
        <w:t xml:space="preserve">Magdalena, M. and Grata-Borkowska, U. (2015) “Use of telemedicine-based care for the aging and elderly: promises and pitfalls,” Smart homecare technology and </w:t>
      </w:r>
      <w:proofErr w:type="spellStart"/>
      <w:r w:rsidRPr="00214B40">
        <w:rPr>
          <w:rFonts w:ascii="Arial" w:hAnsi="Arial" w:cs="Arial"/>
          <w:kern w:val="0"/>
          <w:sz w:val="22"/>
          <w:szCs w:val="22"/>
        </w:rPr>
        <w:t>TeleHealth</w:t>
      </w:r>
      <w:proofErr w:type="spellEnd"/>
      <w:r w:rsidRPr="00214B40">
        <w:rPr>
          <w:rFonts w:ascii="Arial" w:hAnsi="Arial" w:cs="Arial"/>
          <w:kern w:val="0"/>
          <w:sz w:val="22"/>
          <w:szCs w:val="22"/>
        </w:rPr>
        <w:t xml:space="preserve">, 3, p. 91. Available at: </w:t>
      </w:r>
      <w:hyperlink r:id="rId14" w:history="1">
        <w:r w:rsidRPr="00214B40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https://doi.org/10.2147/SHTT.S59498</w:t>
        </w:r>
      </w:hyperlink>
      <w:r w:rsidRPr="00214B40">
        <w:rPr>
          <w:rFonts w:ascii="Arial" w:hAnsi="Arial" w:cs="Arial"/>
          <w:kern w:val="0"/>
          <w:sz w:val="22"/>
          <w:szCs w:val="22"/>
        </w:rPr>
        <w:t>.</w:t>
      </w:r>
      <w:r w:rsidRPr="00214B40">
        <w:rPr>
          <w:rFonts w:ascii="Arial" w:hAnsi="Arial" w:cs="Arial"/>
          <w:kern w:val="0"/>
          <w:sz w:val="22"/>
          <w:szCs w:val="22"/>
        </w:rPr>
        <w:t xml:space="preserve"> </w:t>
      </w:r>
    </w:p>
    <w:p w14:paraId="53F6CBBB" w14:textId="60A4E687" w:rsidR="00214B40" w:rsidRPr="00214B40" w:rsidRDefault="00214B40" w:rsidP="00C9724F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>NHS England (2024</w:t>
      </w:r>
      <w:r w:rsidRPr="00214B40">
        <w:rPr>
          <w:rFonts w:ascii="Arial" w:hAnsi="Arial" w:cs="Arial"/>
          <w:i/>
          <w:iCs/>
          <w:sz w:val="22"/>
          <w:szCs w:val="22"/>
        </w:rPr>
        <w:t>) Inclusive digital healthcare: a framework for NHS action on digital inclusion.</w:t>
      </w:r>
      <w:r w:rsidRPr="00214B40">
        <w:rPr>
          <w:rFonts w:ascii="Arial" w:hAnsi="Arial" w:cs="Arial"/>
          <w:sz w:val="22"/>
          <w:szCs w:val="22"/>
        </w:rPr>
        <w:t xml:space="preserve"> Available at : </w:t>
      </w:r>
      <w:hyperlink r:id="rId15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https://www.england.nhs.uk/long-read/inclusive-digital-healthcare-a-framework-for-nhs-action-on-digital-inclusion/</w:t>
        </w:r>
      </w:hyperlink>
      <w:r w:rsidRPr="00214B40">
        <w:rPr>
          <w:rFonts w:ascii="Arial" w:hAnsi="Arial" w:cs="Arial"/>
          <w:sz w:val="22"/>
          <w:szCs w:val="22"/>
        </w:rPr>
        <w:t xml:space="preserve"> (Accessed on 1</w:t>
      </w:r>
      <w:r w:rsidRPr="00214B40">
        <w:rPr>
          <w:rFonts w:ascii="Arial" w:hAnsi="Arial" w:cs="Arial"/>
          <w:sz w:val="22"/>
          <w:szCs w:val="22"/>
          <w:vertAlign w:val="superscript"/>
        </w:rPr>
        <w:t>st</w:t>
      </w:r>
      <w:r w:rsidRPr="00214B40">
        <w:rPr>
          <w:rFonts w:ascii="Arial" w:hAnsi="Arial" w:cs="Arial"/>
          <w:sz w:val="22"/>
          <w:szCs w:val="22"/>
        </w:rPr>
        <w:t xml:space="preserve"> April 2026).</w:t>
      </w:r>
    </w:p>
    <w:p w14:paraId="675351D6" w14:textId="690377D1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Price-Haywood, E.G. et al. (2017) “eHealth Literacy: Patient Engagement in Identifying Strategies to Encourage Use of Patient Portals Among Older Adults,” Population health management, 20(6), pp. 486–494. Available at: </w:t>
      </w:r>
      <w:hyperlink r:id="rId16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https://doi.org/10.1089/pop.2016.0164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</w:t>
      </w:r>
    </w:p>
    <w:p w14:paraId="76E7EF17" w14:textId="5E2B3D0F" w:rsid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lastRenderedPageBreak/>
        <w:t xml:space="preserve">Ramalho, A. et al. (2024) “Age Unplugged: A Brief Narrative Review on the Intersection of Digital Tools, Sedentary and Physical Activity </w:t>
      </w:r>
      <w:proofErr w:type="spellStart"/>
      <w:r w:rsidRPr="00214B40">
        <w:rPr>
          <w:rFonts w:ascii="Arial" w:hAnsi="Arial" w:cs="Arial"/>
          <w:sz w:val="22"/>
          <w:szCs w:val="22"/>
        </w:rPr>
        <w:t>Behaviors</w:t>
      </w:r>
      <w:proofErr w:type="spellEnd"/>
      <w:r w:rsidRPr="00214B40">
        <w:rPr>
          <w:rFonts w:ascii="Arial" w:hAnsi="Arial" w:cs="Arial"/>
          <w:sz w:val="22"/>
          <w:szCs w:val="22"/>
        </w:rPr>
        <w:t xml:space="preserve"> in Community-Dwelling Older Adults,” Healthcare (Basel), 12(9), p. 935. Available at: </w:t>
      </w:r>
      <w:hyperlink r:id="rId17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https://doi.org/10.3390/healthcare12090935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 w:rsidRPr="00214B40">
        <w:rPr>
          <w:rFonts w:ascii="Arial" w:hAnsi="Arial" w:cs="Arial"/>
          <w:sz w:val="22"/>
          <w:szCs w:val="22"/>
        </w:rPr>
        <w:t xml:space="preserve"> </w:t>
      </w:r>
    </w:p>
    <w:p w14:paraId="1B12B808" w14:textId="27FBCD77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14B40">
        <w:rPr>
          <w:rFonts w:ascii="Arial" w:hAnsi="Arial" w:cs="Arial"/>
          <w:sz w:val="22"/>
          <w:szCs w:val="22"/>
        </w:rPr>
        <w:t>Seckin</w:t>
      </w:r>
      <w:proofErr w:type="spellEnd"/>
      <w:r w:rsidRPr="00214B40">
        <w:rPr>
          <w:rFonts w:ascii="Arial" w:hAnsi="Arial" w:cs="Arial"/>
          <w:sz w:val="22"/>
          <w:szCs w:val="22"/>
        </w:rPr>
        <w:t xml:space="preserve">, G. (2024) “EMBRACING THE DIGITAL ROUTE: EMPOWERMENT THROUGH EHEALTH LITERACY AMONG OLDER ADULTS,” Innovation in aging, 8(Supplement_1), pp. 897–897. Available at: </w:t>
      </w:r>
      <w:hyperlink r:id="rId18" w:history="1">
        <w:r w:rsidRPr="00FF775A">
          <w:rPr>
            <w:rStyle w:val="Hyperlink"/>
            <w:rFonts w:ascii="Arial" w:hAnsi="Arial" w:cs="Arial"/>
            <w:sz w:val="22"/>
            <w:szCs w:val="22"/>
          </w:rPr>
          <w:t>https://doi.org/10.1093/geroni/igae098.2897</w:t>
        </w:r>
      </w:hyperlink>
      <w:r w:rsidRPr="00214B4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EF147F7" w14:textId="5CF98BE2" w:rsid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214B40">
        <w:rPr>
          <w:rFonts w:ascii="Arial" w:hAnsi="Arial" w:cs="Arial"/>
          <w:color w:val="000000"/>
          <w:sz w:val="22"/>
          <w:szCs w:val="22"/>
        </w:rPr>
        <w:t xml:space="preserve">Sen, K., Prybutok, G. and </w:t>
      </w:r>
      <w:proofErr w:type="spellStart"/>
      <w:r w:rsidRPr="00214B40">
        <w:rPr>
          <w:rFonts w:ascii="Arial" w:hAnsi="Arial" w:cs="Arial"/>
          <w:color w:val="000000"/>
          <w:sz w:val="22"/>
          <w:szCs w:val="22"/>
        </w:rPr>
        <w:t>Prybutok</w:t>
      </w:r>
      <w:proofErr w:type="spellEnd"/>
      <w:r w:rsidRPr="00214B40">
        <w:rPr>
          <w:rFonts w:ascii="Arial" w:hAnsi="Arial" w:cs="Arial"/>
          <w:color w:val="000000"/>
          <w:sz w:val="22"/>
          <w:szCs w:val="22"/>
        </w:rPr>
        <w:t>, V. (2022). The use of digital technology for social wellbeing reduces social isolation in older adults: A systematic review.</w:t>
      </w:r>
      <w:r w:rsidRPr="00214B40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214B40">
        <w:rPr>
          <w:rFonts w:ascii="Arial" w:hAnsi="Arial" w:cs="Arial"/>
          <w:i/>
          <w:iCs/>
          <w:color w:val="000000"/>
          <w:sz w:val="22"/>
          <w:szCs w:val="22"/>
        </w:rPr>
        <w:t>SSM - Population Health</w:t>
      </w:r>
      <w:r w:rsidRPr="00214B40">
        <w:rPr>
          <w:rFonts w:ascii="Arial" w:hAnsi="Arial" w:cs="Arial"/>
          <w:color w:val="000000"/>
          <w:sz w:val="22"/>
          <w:szCs w:val="22"/>
        </w:rPr>
        <w:t>, [online] 17(101020), p.101020.</w:t>
      </w:r>
      <w:r w:rsidRPr="00214B40">
        <w:rPr>
          <w:rFonts w:ascii="Arial" w:hAnsi="Arial" w:cs="Arial"/>
          <w:color w:val="000000"/>
          <w:sz w:val="22"/>
          <w:szCs w:val="22"/>
        </w:rPr>
        <w:t xml:space="preserve">Available </w:t>
      </w:r>
      <w:proofErr w:type="gramStart"/>
      <w:r w:rsidRPr="00214B40">
        <w:rPr>
          <w:rFonts w:ascii="Arial" w:hAnsi="Arial" w:cs="Arial"/>
          <w:color w:val="000000"/>
          <w:sz w:val="22"/>
          <w:szCs w:val="22"/>
        </w:rPr>
        <w:t>at :</w:t>
      </w:r>
      <w:proofErr w:type="gramEnd"/>
      <w:r w:rsidRPr="00214B40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9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https://doi.org/10.1016/j.ssmph.2021.101020</w:t>
        </w:r>
      </w:hyperlink>
      <w:r w:rsidRPr="00214B40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19EAA4F" w14:textId="77777777" w:rsidR="00214B40" w:rsidRP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FCEE07D" w14:textId="23A76F9E" w:rsid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214B40">
        <w:rPr>
          <w:rFonts w:ascii="Arial" w:hAnsi="Arial" w:cs="Arial"/>
          <w:color w:val="000000"/>
          <w:sz w:val="22"/>
          <w:szCs w:val="22"/>
        </w:rPr>
        <w:t xml:space="preserve"> Shah, S.G.S. et al. (2021) “Evaluation of the Effectiveness of Digital Technology Interventions to Reduce Loneliness in Older Adults: Systematic Review and Meta-analysis,” Journal of medical Internet research, 23(6), p. e24712. Available at: </w:t>
      </w:r>
      <w:hyperlink r:id="rId20" w:history="1">
        <w:r w:rsidRPr="00FF775A">
          <w:rPr>
            <w:rStyle w:val="Hyperlink"/>
            <w:rFonts w:ascii="Arial" w:hAnsi="Arial" w:cs="Arial"/>
            <w:sz w:val="22"/>
            <w:szCs w:val="22"/>
          </w:rPr>
          <w:t>https://doi.org/10.2196/24712</w:t>
        </w:r>
      </w:hyperlink>
      <w:r w:rsidRPr="00214B40">
        <w:rPr>
          <w:rFonts w:ascii="Arial" w:hAnsi="Arial" w:cs="Arial"/>
          <w:color w:val="000000"/>
          <w:sz w:val="22"/>
          <w:szCs w:val="22"/>
        </w:rPr>
        <w:t>.</w:t>
      </w:r>
    </w:p>
    <w:p w14:paraId="3EF1029E" w14:textId="77777777" w:rsidR="00214B40" w:rsidRP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D303AC7" w14:textId="553C1DB0" w:rsidR="00214B40" w:rsidRP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214B40">
        <w:rPr>
          <w:rFonts w:ascii="Arial" w:hAnsi="Arial" w:cs="Arial"/>
          <w:color w:val="000000"/>
          <w:sz w:val="22"/>
          <w:szCs w:val="22"/>
        </w:rPr>
        <w:t xml:space="preserve">Smith-Turchyn, J. et al. (2017) “A healthy lifestyle app for older adults with diabetes and hypertension: usability assessment,” International journal of healthcare technology and management, 16(3–4), pp. 250–270. Available at: </w:t>
      </w:r>
      <w:hyperlink r:id="rId21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https://doi.org/10.1504/IJHTM.2017.088862</w:t>
        </w:r>
      </w:hyperlink>
      <w:r w:rsidRPr="00214B40">
        <w:rPr>
          <w:rFonts w:ascii="Arial" w:hAnsi="Arial" w:cs="Arial"/>
          <w:color w:val="000000"/>
          <w:sz w:val="22"/>
          <w:szCs w:val="22"/>
        </w:rPr>
        <w:t>.</w:t>
      </w:r>
      <w:r w:rsidRPr="00214B40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D598278" w14:textId="77777777" w:rsidR="00214B40" w:rsidRP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BA17FE1" w14:textId="69D9F11B" w:rsidR="00214B40" w:rsidRP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214B40">
        <w:rPr>
          <w:rFonts w:ascii="Arial" w:hAnsi="Arial" w:cs="Arial"/>
          <w:color w:val="000000"/>
          <w:sz w:val="22"/>
          <w:szCs w:val="22"/>
        </w:rPr>
        <w:t xml:space="preserve">Trinh, M. et al. (2023) “Understanding older adults’ perceptions of mHealth apps,” </w:t>
      </w:r>
      <w:proofErr w:type="spellStart"/>
      <w:r w:rsidRPr="00214B40">
        <w:rPr>
          <w:rFonts w:ascii="Arial" w:hAnsi="Arial" w:cs="Arial"/>
          <w:color w:val="000000"/>
          <w:sz w:val="22"/>
          <w:szCs w:val="22"/>
        </w:rPr>
        <w:t>Gerontechnology</w:t>
      </w:r>
      <w:proofErr w:type="spellEnd"/>
      <w:r w:rsidRPr="00214B40">
        <w:rPr>
          <w:rFonts w:ascii="Arial" w:hAnsi="Arial" w:cs="Arial"/>
          <w:color w:val="000000"/>
          <w:sz w:val="22"/>
          <w:szCs w:val="22"/>
        </w:rPr>
        <w:t xml:space="preserve">, 22(1), pp. 1–7. Available at: </w:t>
      </w:r>
      <w:hyperlink r:id="rId22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https://doi.org/10.4017/gt.2023.22.1.841.10</w:t>
        </w:r>
      </w:hyperlink>
      <w:r w:rsidRPr="00214B40">
        <w:rPr>
          <w:rFonts w:ascii="Arial" w:hAnsi="Arial" w:cs="Arial"/>
          <w:color w:val="000000"/>
          <w:sz w:val="22"/>
          <w:szCs w:val="22"/>
        </w:rPr>
        <w:t>.</w:t>
      </w:r>
      <w:r w:rsidRPr="00214B40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D7C7870" w14:textId="77777777" w:rsidR="00214B40" w:rsidRPr="00214B40" w:rsidRDefault="00214B40" w:rsidP="00214B40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D032BAA" w14:textId="1526D25E" w:rsidR="00214B40" w:rsidRPr="00214B40" w:rsidRDefault="00214B40" w:rsidP="00214B40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sz w:val="22"/>
          <w:szCs w:val="22"/>
        </w:rPr>
        <w:t xml:space="preserve">World Health Organization (n.d.) </w:t>
      </w:r>
      <w:r w:rsidRPr="00214B40">
        <w:rPr>
          <w:rFonts w:ascii="Arial" w:hAnsi="Arial" w:cs="Arial"/>
          <w:i/>
          <w:iCs/>
          <w:sz w:val="22"/>
          <w:szCs w:val="22"/>
        </w:rPr>
        <w:t>Digital Health.</w:t>
      </w:r>
      <w:r w:rsidRPr="00214B40">
        <w:rPr>
          <w:rFonts w:ascii="Arial" w:hAnsi="Arial" w:cs="Arial"/>
          <w:sz w:val="22"/>
          <w:szCs w:val="22"/>
        </w:rPr>
        <w:t xml:space="preserve"> Available </w:t>
      </w:r>
      <w:proofErr w:type="gramStart"/>
      <w:r w:rsidRPr="00214B40">
        <w:rPr>
          <w:rFonts w:ascii="Arial" w:hAnsi="Arial" w:cs="Arial"/>
          <w:sz w:val="22"/>
          <w:szCs w:val="22"/>
        </w:rPr>
        <w:t>at :</w:t>
      </w:r>
      <w:proofErr w:type="gramEnd"/>
      <w:r w:rsidRPr="00214B40"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Pr="00214B40">
          <w:rPr>
            <w:rStyle w:val="Hyperlink"/>
            <w:rFonts w:ascii="Arial" w:hAnsi="Arial" w:cs="Arial"/>
            <w:sz w:val="22"/>
            <w:szCs w:val="22"/>
          </w:rPr>
          <w:t>https://www.who.int/health-topics/digital-health#tab=tab_1</w:t>
        </w:r>
      </w:hyperlink>
      <w:r w:rsidRPr="00214B40">
        <w:rPr>
          <w:rFonts w:ascii="Arial" w:hAnsi="Arial" w:cs="Arial"/>
          <w:sz w:val="22"/>
          <w:szCs w:val="22"/>
        </w:rPr>
        <w:t xml:space="preserve"> (Accessed on 8</w:t>
      </w:r>
      <w:r w:rsidRPr="00214B40">
        <w:rPr>
          <w:rFonts w:ascii="Arial" w:hAnsi="Arial" w:cs="Arial"/>
          <w:sz w:val="22"/>
          <w:szCs w:val="22"/>
          <w:vertAlign w:val="superscript"/>
        </w:rPr>
        <w:t>th</w:t>
      </w:r>
      <w:r w:rsidRPr="00214B40">
        <w:rPr>
          <w:rFonts w:ascii="Arial" w:hAnsi="Arial" w:cs="Arial"/>
          <w:sz w:val="22"/>
          <w:szCs w:val="22"/>
        </w:rPr>
        <w:t xml:space="preserve"> April 2026).</w:t>
      </w:r>
    </w:p>
    <w:p w14:paraId="6C8E00DB" w14:textId="25707148" w:rsidR="00214B40" w:rsidRPr="00214B40" w:rsidRDefault="00214B40" w:rsidP="00C9724F">
      <w:pPr>
        <w:rPr>
          <w:rFonts w:ascii="Arial" w:hAnsi="Arial" w:cs="Arial"/>
          <w:sz w:val="22"/>
          <w:szCs w:val="22"/>
        </w:rPr>
      </w:pPr>
      <w:r w:rsidRPr="00214B40">
        <w:rPr>
          <w:rFonts w:ascii="Arial" w:hAnsi="Arial" w:cs="Arial"/>
          <w:kern w:val="0"/>
          <w:sz w:val="22"/>
          <w:szCs w:val="22"/>
        </w:rPr>
        <w:t xml:space="preserve">Xu, H., Xie, B. and Chang, C.-H. (2024) </w:t>
      </w:r>
      <w:r w:rsidRPr="00214B40">
        <w:rPr>
          <w:rFonts w:ascii="Arial" w:hAnsi="Arial" w:cs="Arial"/>
          <w:i/>
          <w:iCs/>
          <w:kern w:val="0"/>
          <w:sz w:val="22"/>
          <w:szCs w:val="22"/>
        </w:rPr>
        <w:t xml:space="preserve">Empowering the care of older adults </w:t>
      </w:r>
      <w:proofErr w:type="gramStart"/>
      <w:r w:rsidRPr="00214B40">
        <w:rPr>
          <w:rFonts w:ascii="Arial" w:hAnsi="Arial" w:cs="Arial"/>
          <w:i/>
          <w:iCs/>
          <w:kern w:val="0"/>
          <w:sz w:val="22"/>
          <w:szCs w:val="22"/>
        </w:rPr>
        <w:t>through the use of</w:t>
      </w:r>
      <w:proofErr w:type="gramEnd"/>
      <w:r w:rsidRPr="00214B40">
        <w:rPr>
          <w:rFonts w:ascii="Arial" w:hAnsi="Arial" w:cs="Arial"/>
          <w:i/>
          <w:iCs/>
          <w:kern w:val="0"/>
          <w:sz w:val="22"/>
          <w:szCs w:val="22"/>
        </w:rPr>
        <w:t xml:space="preserve"> technology</w:t>
      </w:r>
      <w:r w:rsidRPr="00214B40">
        <w:rPr>
          <w:rFonts w:ascii="Arial" w:hAnsi="Arial" w:cs="Arial"/>
          <w:kern w:val="0"/>
          <w:sz w:val="22"/>
          <w:szCs w:val="22"/>
        </w:rPr>
        <w:t xml:space="preserve">. </w:t>
      </w:r>
      <w:r w:rsidRPr="00214B40">
        <w:rPr>
          <w:rFonts w:ascii="Arial" w:hAnsi="Arial" w:cs="Arial"/>
          <w:i/>
          <w:iCs/>
          <w:kern w:val="0"/>
          <w:sz w:val="22"/>
          <w:szCs w:val="22"/>
        </w:rPr>
        <w:t>Work, Aging and Retirement</w:t>
      </w:r>
      <w:r w:rsidRPr="00214B40">
        <w:rPr>
          <w:rFonts w:ascii="Arial" w:hAnsi="Arial" w:cs="Arial"/>
          <w:kern w:val="0"/>
          <w:sz w:val="22"/>
          <w:szCs w:val="22"/>
        </w:rPr>
        <w:t>, 10(1), pp. 1–5. Available at:</w:t>
      </w:r>
      <w:r w:rsidRPr="00214B40">
        <w:rPr>
          <w:rFonts w:ascii="Arial" w:hAnsi="Arial" w:cs="Arial"/>
          <w:kern w:val="0"/>
          <w:sz w:val="22"/>
          <w:szCs w:val="22"/>
        </w:rPr>
        <w:t xml:space="preserve"> </w:t>
      </w:r>
      <w:hyperlink r:id="rId24" w:history="1">
        <w:r w:rsidRPr="00214B40">
          <w:rPr>
            <w:rStyle w:val="Hyperlink"/>
            <w:rFonts w:ascii="Arial" w:hAnsi="Arial" w:cs="Arial"/>
            <w:kern w:val="0"/>
            <w:sz w:val="22"/>
            <w:szCs w:val="22"/>
          </w:rPr>
          <w:t>https://pmc.ncbi.nlm.nih.gov/articles/PMC10772963/#:~:text=The%20use%20of%20technology%20to,age%20with%20dignity%20and%20independence</w:t>
        </w:r>
      </w:hyperlink>
      <w:r w:rsidRPr="00214B40">
        <w:rPr>
          <w:rFonts w:ascii="Arial" w:hAnsi="Arial" w:cs="Arial"/>
          <w:kern w:val="0"/>
          <w:sz w:val="22"/>
          <w:szCs w:val="22"/>
        </w:rPr>
        <w:t>: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</w:p>
    <w:sectPr w:rsidR="00214B40" w:rsidRPr="00214B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4F"/>
    <w:rsid w:val="00214B40"/>
    <w:rsid w:val="002F2B05"/>
    <w:rsid w:val="003A7A2F"/>
    <w:rsid w:val="00B27528"/>
    <w:rsid w:val="00C9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E4802"/>
  <w15:chartTrackingRefBased/>
  <w15:docId w15:val="{F715646F-0DCD-E842-9D89-B809918F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7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2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2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2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2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2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2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2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2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2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2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2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2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2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2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2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2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2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2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24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4B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B4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14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214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technologies6040091" TargetMode="External"/><Relationship Id="rId13" Type="http://schemas.openxmlformats.org/officeDocument/2006/relationships/hyperlink" Target="https://pubmed.ncbi.nlm.nih.gov/36073770/" TargetMode="External"/><Relationship Id="rId18" Type="http://schemas.openxmlformats.org/officeDocument/2006/relationships/hyperlink" Target="https://doi.org/10.1093/geroni/igae098.2897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doi.org/10.1504/IJHTM.2017.088862" TargetMode="External"/><Relationship Id="rId7" Type="http://schemas.openxmlformats.org/officeDocument/2006/relationships/hyperlink" Target="https://doi.org/10.2196/60483" TargetMode="External"/><Relationship Id="rId12" Type="http://schemas.openxmlformats.org/officeDocument/2006/relationships/hyperlink" Target="https://doi.org/10.1109/ACET67282.2025.11430390" TargetMode="External"/><Relationship Id="rId17" Type="http://schemas.openxmlformats.org/officeDocument/2006/relationships/hyperlink" Target="https://doi.org/10.3390/healthcare12090935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89/pop.2016.0164" TargetMode="External"/><Relationship Id="rId20" Type="http://schemas.openxmlformats.org/officeDocument/2006/relationships/hyperlink" Target="https://doi.org/10.2196/24712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3389/fmed.2025.1724828" TargetMode="External"/><Relationship Id="rId11" Type="http://schemas.openxmlformats.org/officeDocument/2006/relationships/hyperlink" Target="https://doi.org/10.1038/s41746-019-0084-2" TargetMode="External"/><Relationship Id="rId24" Type="http://schemas.openxmlformats.org/officeDocument/2006/relationships/hyperlink" Target="https://pmc.ncbi.nlm.nih.gov/articles/PMC10772963/#:~:text=The%20use%20of%20technology%20to,age%20with%20dignity%20and%20independence" TargetMode="External"/><Relationship Id="rId5" Type="http://schemas.openxmlformats.org/officeDocument/2006/relationships/hyperlink" Target="https://www.reanfoundation.org/crucial-role-of-healthcare-apps-in-patient-care/#:~:text=Some%20of%20the%20most%20recently,seniors%20with%20dementia%20or%20Alzheimer's" TargetMode="External"/><Relationship Id="rId15" Type="http://schemas.openxmlformats.org/officeDocument/2006/relationships/hyperlink" Target="https://www.england.nhs.uk/long-read/inclusive-digital-healthcare-a-framework-for-nhs-action-on-digital-inclusion/" TargetMode="External"/><Relationship Id="rId23" Type="http://schemas.openxmlformats.org/officeDocument/2006/relationships/hyperlink" Target="https://www.who.int/health-topics/digital-health#tab=tab_1" TargetMode="External"/><Relationship Id="rId10" Type="http://schemas.openxmlformats.org/officeDocument/2006/relationships/hyperlink" Target="https://doi.org/10.1108/WWOP-11-2022-0057" TargetMode="External"/><Relationship Id="rId19" Type="http://schemas.openxmlformats.org/officeDocument/2006/relationships/hyperlink" Target="https://doi.org/10.1016/j.ssmph.2021.101020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doi.org/10.3390/diabetology4040040" TargetMode="External"/><Relationship Id="rId14" Type="http://schemas.openxmlformats.org/officeDocument/2006/relationships/hyperlink" Target="https://doi.org/10.2147/SHTT.S59498" TargetMode="External"/><Relationship Id="rId22" Type="http://schemas.openxmlformats.org/officeDocument/2006/relationships/hyperlink" Target="https://doi.org/10.4017/gt.2023.22.1.841.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702</Words>
  <Characters>5963</Characters>
  <Application>Microsoft Office Word</Application>
  <DocSecurity>0</DocSecurity>
  <Lines>170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Owusu (2316785)</dc:creator>
  <cp:keywords/>
  <dc:description/>
  <cp:lastModifiedBy>Stephanie Owusu (2316785)</cp:lastModifiedBy>
  <cp:revision>1</cp:revision>
  <dcterms:created xsi:type="dcterms:W3CDTF">2026-03-31T12:32:00Z</dcterms:created>
  <dcterms:modified xsi:type="dcterms:W3CDTF">2026-04-08T19:41:00Z</dcterms:modified>
</cp:coreProperties>
</file>