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257290269"/>
        <w:docPartObj>
          <w:docPartGallery w:val="Cover Pages"/>
          <w:docPartUnique/>
        </w:docPartObj>
      </w:sdtPr>
      <w:sdtEndPr>
        <w:rPr>
          <w:rFonts w:eastAsiaTheme="majorEastAsia"/>
          <w:b/>
          <w:bCs/>
          <w:sz w:val="40"/>
          <w:szCs w:val="40"/>
        </w:rPr>
      </w:sdtEndPr>
      <w:sdtContent>
        <w:p w14:paraId="701DA30B" w14:textId="77777777" w:rsidR="00825EDA" w:rsidRPr="0020160B" w:rsidRDefault="00825EDA" w:rsidP="0020160B">
          <w:pPr>
            <w:spacing w:line="360" w:lineRule="auto"/>
            <w:rPr>
              <w:rFonts w:cs="Arial"/>
            </w:rPr>
          </w:pPr>
        </w:p>
        <w:p w14:paraId="1F7ED81B" w14:textId="77777777" w:rsidR="00825EDA" w:rsidRPr="0020160B" w:rsidRDefault="00825EDA" w:rsidP="0020160B">
          <w:pPr>
            <w:spacing w:line="360" w:lineRule="auto"/>
            <w:rPr>
              <w:rFonts w:cs="Arial"/>
            </w:rPr>
          </w:pPr>
        </w:p>
        <w:p w14:paraId="7928A88D" w14:textId="77777777" w:rsidR="00825EDA" w:rsidRPr="0020160B" w:rsidRDefault="00825EDA" w:rsidP="0020160B">
          <w:pPr>
            <w:spacing w:line="360" w:lineRule="auto"/>
            <w:rPr>
              <w:rFonts w:cs="Arial"/>
            </w:rPr>
          </w:pPr>
        </w:p>
        <w:p w14:paraId="05E6DA8E" w14:textId="77777777" w:rsidR="00825EDA" w:rsidRPr="0020160B" w:rsidRDefault="00825EDA" w:rsidP="0020160B">
          <w:pPr>
            <w:spacing w:line="360" w:lineRule="auto"/>
            <w:rPr>
              <w:rFonts w:cs="Arial"/>
            </w:rPr>
          </w:pPr>
        </w:p>
        <w:p w14:paraId="3A6C1E82" w14:textId="77777777" w:rsidR="00825EDA" w:rsidRPr="0020160B" w:rsidRDefault="00825EDA" w:rsidP="0020160B">
          <w:pPr>
            <w:spacing w:line="360" w:lineRule="auto"/>
            <w:rPr>
              <w:rFonts w:cs="Arial"/>
            </w:rPr>
          </w:pPr>
        </w:p>
        <w:p w14:paraId="5A9F8F34" w14:textId="1C1AB1A4" w:rsidR="004A1574" w:rsidRPr="0020160B" w:rsidRDefault="0020160B" w:rsidP="0020160B">
          <w:pPr>
            <w:spacing w:line="360" w:lineRule="auto"/>
            <w:jc w:val="center"/>
            <w:rPr>
              <w:rFonts w:eastAsiaTheme="majorEastAsia" w:cs="Arial"/>
              <w:b/>
              <w:bCs/>
              <w:sz w:val="40"/>
              <w:szCs w:val="40"/>
            </w:rPr>
          </w:pPr>
          <w:r>
            <w:rPr>
              <w:rFonts w:cs="Arial"/>
              <w:b/>
              <w:color w:val="FFFFFF" w:themeColor="background1"/>
              <w:sz w:val="72"/>
              <w:szCs w:val="72"/>
            </w:rPr>
            <w:t>T</w:t>
          </w:r>
          <w:r w:rsidRPr="0020160B">
            <w:rPr>
              <w:rFonts w:cs="Arial"/>
              <w:b/>
              <w:color w:val="FFFFFF" w:themeColor="background1"/>
              <w:sz w:val="72"/>
              <w:szCs w:val="72"/>
            </w:rPr>
            <w:t>he four methods of contracting in project management</w:t>
          </w:r>
          <w:r w:rsidR="00E40E4E" w:rsidRPr="0020160B">
            <w:rPr>
              <w:rFonts w:cs="Arial"/>
              <w:noProof/>
            </w:rPr>
            <mc:AlternateContent>
              <mc:Choice Requires="wps">
                <w:drawing>
                  <wp:anchor distT="0" distB="0" distL="114300" distR="114300" simplePos="0" relativeHeight="251662336" behindDoc="0" locked="0" layoutInCell="1" allowOverlap="1" wp14:anchorId="76F54A56" wp14:editId="3B31B616">
                    <wp:simplePos x="0" y="0"/>
                    <wp:positionH relativeFrom="page">
                      <wp:posOffset>476250</wp:posOffset>
                    </wp:positionH>
                    <wp:positionV relativeFrom="margin">
                      <wp:posOffset>8220075</wp:posOffset>
                    </wp:positionV>
                    <wp:extent cx="5753100" cy="142875"/>
                    <wp:effectExtent l="0" t="0" r="0" b="952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2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C1624" w14:textId="1BF3A88E" w:rsidR="00E40E4E" w:rsidRPr="00835089" w:rsidRDefault="00000000" w:rsidP="00E40E4E">
                                <w:pPr>
                                  <w:pStyle w:val="NoSpacing"/>
                                  <w:rPr>
                                    <w:color w:val="7F7F7F" w:themeColor="text1" w:themeTint="80"/>
                                    <w:sz w:val="18"/>
                                    <w:szCs w:val="18"/>
                                    <w:lang w:val="en-GB"/>
                                  </w:rPr>
                                </w:pPr>
                                <w:sdt>
                                  <w:sdtPr>
                                    <w:rPr>
                                      <w:caps/>
                                      <w:color w:val="7F7F7F" w:themeColor="text1" w:themeTint="80"/>
                                      <w:sz w:val="18"/>
                                      <w:szCs w:val="18"/>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00835089" w:rsidRPr="00835089">
                                      <w:rPr>
                                        <w:caps/>
                                        <w:color w:val="7F7F7F" w:themeColor="text1" w:themeTint="80"/>
                                        <w:sz w:val="18"/>
                                        <w:szCs w:val="18"/>
                                        <w:lang w:val="en-GB"/>
                                      </w:rPr>
                                      <w:t>Dr Anupam Mazumdar</w:t>
                                    </w:r>
                                  </w:sdtContent>
                                </w:sdt>
                                <w:r w:rsidR="00E40E4E" w:rsidRPr="00835089">
                                  <w:rPr>
                                    <w:caps/>
                                    <w:color w:val="7F7F7F" w:themeColor="text1" w:themeTint="80"/>
                                    <w:sz w:val="18"/>
                                    <w:szCs w:val="18"/>
                                    <w:lang w:val="en-GB"/>
                                  </w:rPr>
                                  <w:t> </w:t>
                                </w:r>
                                <w:r w:rsidR="00E40E4E" w:rsidRPr="00835089">
                                  <w:rPr>
                                    <w:color w:val="7F7F7F" w:themeColor="text1" w:themeTint="80"/>
                                    <w:sz w:val="18"/>
                                    <w:szCs w:val="18"/>
                                    <w:lang w:val="en-GB"/>
                                  </w:rPr>
                                  <w:t>| </w:t>
                                </w:r>
                                <w:sdt>
                                  <w:sdtPr>
                                    <w:rPr>
                                      <w:color w:val="7F7F7F" w:themeColor="text1" w:themeTint="80"/>
                                      <w:sz w:val="18"/>
                                      <w:szCs w:val="18"/>
                                      <w:lang w:val="en-GB"/>
                                    </w:rPr>
                                    <w:alias w:val="Address"/>
                                    <w:tag w:val=""/>
                                    <w:id w:val="-1023088507"/>
                                    <w:dataBinding w:prefixMappings="xmlns:ns0='http://schemas.microsoft.com/office/2006/coverPageProps' " w:xpath="/ns0:CoverPageProperties[1]/ns0:CompanyAddress[1]" w:storeItemID="{55AF091B-3C7A-41E3-B477-F2FDAA23CFDA}"/>
                                    <w:text/>
                                  </w:sdtPr>
                                  <w:sdtContent>
                                    <w:r w:rsidR="0020160B" w:rsidRPr="0020160B">
                                      <w:rPr>
                                        <w:color w:val="7F7F7F" w:themeColor="text1" w:themeTint="80"/>
                                        <w:sz w:val="18"/>
                                        <w:szCs w:val="18"/>
                                        <w:lang w:val="en-GB"/>
                                      </w:rPr>
                                      <w:t>LCBB6006</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76F54A56" id="_x0000_t202" coordsize="21600,21600" o:spt="202" path="m,l,21600r21600,l21600,xe">
                    <v:stroke joinstyle="miter"/>
                    <v:path gradientshapeok="t" o:connecttype="rect"/>
                  </v:shapetype>
                  <v:shape id="Text Box 128" o:spid="_x0000_s1026" type="#_x0000_t202" style="position:absolute;left:0;text-align:left;margin-left:37.5pt;margin-top:647.25pt;width:453pt;height:11.2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XNbAIAADgFAAAOAAAAZHJzL2Uyb0RvYy54bWysVN9P2zAQfp+0/8Hy+0hSKJSKFHUgpkkI&#10;0GDi2XVsGs3xefa1SffX7+wkLWJ7YdpLcr777nw/vvPFZdcYtlU+1GBLXhzlnCkroartS8m/P918&#10;mnEWUNhKGLCq5DsV+OXi44eL1s3VBNZgKuUZBbFh3rqSrxHdPMuCXKtGhCNwypJRg28E0tG/ZJUX&#10;LUVvTDbJ89OsBV85D1KFQNrr3sgXKb7WSuK91kEhMyWn3DB9ffqu4jdbXIj5ixduXcshDfEPWTSi&#10;tnTpPtS1QME2vv4jVFNLDwE0HkloMtC6lirVQNUU+ZtqHtfCqVQLNSe4fZvC/wsr77aP7sEz7D5D&#10;RwOMDWldmAdSxno67Zv4p0wZ2amFu33bVIdMknJ6Nj0ucjJJshUnk9nZNIbJDt7OB/yioGFRKLmn&#10;saRuie1twB46QuJlFm5qY9JojGVtyU+Pp3ly2FsouLERq9KQhzCHzJOEO6MixthvSrO6SgVERaKX&#10;ujKebQURQ0ipLKbaU1xCR5SmJN7jOOAPWb3Hua9jvBks7p2b2oJP1b9Ju/oxpqx7PPX8Vd1RxG7V&#10;DRNdQbWjQXvodyA4eVPTNG5FwAfhifQ0QFpkvKePNkBdh0HibA3+19/0EU9cJCtnLS1RycPPjfCK&#10;M/PVEkvPi5OTSAxMJxJ8Eor8/Gwyo+Nq1NtNcwU0iYJeCyeTGNFoRlF7aJ5p1ZfxQjIJK+nakq9G&#10;8Qr7raanQqrlMoFoxZzAW/voZAwdBxNp9tQ9C+8GLiKx+A7GTRPzN5TssdHTwnKDoOvE19jbvqFD&#10;z2k9E+OHpyTu/+tzQh0evMVvAAAA//8DAFBLAwQUAAYACAAAACEAEH192eEAAAAMAQAADwAAAGRy&#10;cy9kb3ducmV2LnhtbEyPwU7DMBBE70j8g7VI3Kjt0jZtiFNVSFzgAC1IiJsbL0kgXofYbcPfs5zg&#10;uLOjmTfFevSdOOIQ20AG9ESBQKqCa6k28PJ8d7UEEZMlZ7tAaOAbI6zL87PC5i6caIvHXaoFh1DM&#10;rYEmpT6XMlYNehsnoUfi33sYvE18DrV0gz1xuO/kVKmF9LYlbmhsj7cNVp+7gzcwarXYvH31T9tM&#10;1x/3s8f0QK/OmMuLcXMDIuGY/szwi8/oUDLTPhzIRdEZyOY8JbE+Xc3mINixWmqW9ixd60yBLAv5&#10;f0T5AwAA//8DAFBLAQItABQABgAIAAAAIQC2gziS/gAAAOEBAAATAAAAAAAAAAAAAAAAAAAAAABb&#10;Q29udGVudF9UeXBlc10ueG1sUEsBAi0AFAAGAAgAAAAhADj9If/WAAAAlAEAAAsAAAAAAAAAAAAA&#10;AAAALwEAAF9yZWxzLy5yZWxzUEsBAi0AFAAGAAgAAAAhAGVZlc1sAgAAOAUAAA4AAAAAAAAAAAAA&#10;AAAALgIAAGRycy9lMm9Eb2MueG1sUEsBAi0AFAAGAAgAAAAhABB9fdnhAAAADAEAAA8AAAAAAAAA&#10;AAAAAAAAxgQAAGRycy9kb3ducmV2LnhtbFBLBQYAAAAABAAEAPMAAADUBQAAAAA=&#10;" filled="f" stroked="f" strokeweight=".5pt">
                    <v:textbox inset="1in,0,86.4pt,0">
                      <w:txbxContent>
                        <w:p w14:paraId="7D0C1624" w14:textId="1BF3A88E" w:rsidR="00E40E4E" w:rsidRPr="00835089" w:rsidRDefault="00000000" w:rsidP="00E40E4E">
                          <w:pPr>
                            <w:pStyle w:val="NoSpacing"/>
                            <w:rPr>
                              <w:color w:val="7F7F7F" w:themeColor="text1" w:themeTint="80"/>
                              <w:sz w:val="18"/>
                              <w:szCs w:val="18"/>
                              <w:lang w:val="en-GB"/>
                            </w:rPr>
                          </w:pPr>
                          <w:sdt>
                            <w:sdtPr>
                              <w:rPr>
                                <w:caps/>
                                <w:color w:val="7F7F7F" w:themeColor="text1" w:themeTint="80"/>
                                <w:sz w:val="18"/>
                                <w:szCs w:val="18"/>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00835089" w:rsidRPr="00835089">
                                <w:rPr>
                                  <w:caps/>
                                  <w:color w:val="7F7F7F" w:themeColor="text1" w:themeTint="80"/>
                                  <w:sz w:val="18"/>
                                  <w:szCs w:val="18"/>
                                  <w:lang w:val="en-GB"/>
                                </w:rPr>
                                <w:t>Dr Anupam Mazumdar</w:t>
                              </w:r>
                            </w:sdtContent>
                          </w:sdt>
                          <w:r w:rsidR="00E40E4E" w:rsidRPr="00835089">
                            <w:rPr>
                              <w:caps/>
                              <w:color w:val="7F7F7F" w:themeColor="text1" w:themeTint="80"/>
                              <w:sz w:val="18"/>
                              <w:szCs w:val="18"/>
                              <w:lang w:val="en-GB"/>
                            </w:rPr>
                            <w:t> </w:t>
                          </w:r>
                          <w:r w:rsidR="00E40E4E" w:rsidRPr="00835089">
                            <w:rPr>
                              <w:color w:val="7F7F7F" w:themeColor="text1" w:themeTint="80"/>
                              <w:sz w:val="18"/>
                              <w:szCs w:val="18"/>
                              <w:lang w:val="en-GB"/>
                            </w:rPr>
                            <w:t>| </w:t>
                          </w:r>
                          <w:sdt>
                            <w:sdtPr>
                              <w:rPr>
                                <w:color w:val="7F7F7F" w:themeColor="text1" w:themeTint="80"/>
                                <w:sz w:val="18"/>
                                <w:szCs w:val="18"/>
                                <w:lang w:val="en-GB"/>
                              </w:rPr>
                              <w:alias w:val="Address"/>
                              <w:tag w:val=""/>
                              <w:id w:val="-1023088507"/>
                              <w:dataBinding w:prefixMappings="xmlns:ns0='http://schemas.microsoft.com/office/2006/coverPageProps' " w:xpath="/ns0:CoverPageProperties[1]/ns0:CompanyAddress[1]" w:storeItemID="{55AF091B-3C7A-41E3-B477-F2FDAA23CFDA}"/>
                              <w:text/>
                            </w:sdtPr>
                            <w:sdtContent>
                              <w:r w:rsidR="0020160B" w:rsidRPr="0020160B">
                                <w:rPr>
                                  <w:color w:val="7F7F7F" w:themeColor="text1" w:themeTint="80"/>
                                  <w:sz w:val="18"/>
                                  <w:szCs w:val="18"/>
                                  <w:lang w:val="en-GB"/>
                                </w:rPr>
                                <w:t>LCBB6006</w:t>
                              </w:r>
                            </w:sdtContent>
                          </w:sdt>
                        </w:p>
                      </w:txbxContent>
                    </v:textbox>
                    <w10:wrap type="square" anchorx="page" anchory="margin"/>
                  </v:shape>
                </w:pict>
              </mc:Fallback>
            </mc:AlternateContent>
          </w:r>
          <w:r w:rsidR="00E40E4E" w:rsidRPr="0020160B">
            <w:rPr>
              <w:rFonts w:cs="Arial"/>
              <w:noProof/>
            </w:rPr>
            <mc:AlternateContent>
              <mc:Choice Requires="wpg">
                <w:drawing>
                  <wp:anchor distT="0" distB="0" distL="114300" distR="114300" simplePos="0" relativeHeight="251659264" behindDoc="1" locked="0" layoutInCell="1" allowOverlap="1" wp14:anchorId="7D2332BF" wp14:editId="4A5EB18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7998" cy="716343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7998" cy="7163435"/>
                              <a:chOff x="0" y="0"/>
                              <a:chExt cx="5561330" cy="5477217"/>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A4F126" w14:textId="77777777" w:rsidR="00E40E4E" w:rsidRPr="00835089" w:rsidRDefault="00000000" w:rsidP="00E40E4E">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40E4E" w:rsidRPr="00835089">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2332BF" id="Group 126" o:spid="_x0000_s1027" style="position:absolute;left:0;text-align:left;margin-left:0;margin-top:0;width:540pt;height:564.05pt;z-index:-251657216;mso-width-percent:1154;mso-height-percent:670;mso-top-percent:45;mso-position-horizontal:center;mso-position-horizontal-relative:margin;mso-position-vertical-relative:page;mso-width-percent:1154;mso-height-percent:670;mso-top-percent:45;mso-width-relative:margin" coordsize="55613,5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8ibAUAAIQTAAAOAAAAZHJzL2Uyb0RvYy54bWzsWNtu20YQfS/Qf1jwsUAtkuJFEiwHqVMb&#10;BdImSNwPWJHLS0Ny2SVlyfn6zMwuKVKiLdUN+tQXeS+zZ2dm53LM6zf7smCPQjW5rNaWc2VbTFSR&#10;jPMqXVt/Ptz9vLBY0/Iq5oWsxNp6Eo315ubHH6539Uq4MpNFLBQDkKpZ7eq1lbVtvZrNmigTJW+u&#10;ZC0q2EykKnkLU5XOYsV3gF4WM9e2g9lOqrhWMhJNA6vv9KZ1Q/hJIqL2Q5I0omXF2gLdWvpV9LvB&#10;39nNNV+litdZHhk1+Cu0KHlewaU91DvecrZV+QlUmUdKNjJpryJZzmSS5JEgG8Aaxz6y5l7JbU22&#10;pKtdWvduAtce+enVsNEfj/eq/lx/VFp7GL6X0ZeGVfI241Uq3jY1OBGeFl0129XpangE5+nh/D5R&#10;JeKAXWxPTn7qnSz2LYtgMVj44XIJYRHBXugEc2/u62eIMnirk3NR9qs56fuBM5/DK+JJ3wtD1wlJ&#10;K77SF5N6vTq7GkKqOXit+Xde+5zxWtBjNOiCj4rlMbjFDSxW8RJC+04JgYHKHAorvB7kOtc22q/a&#10;iYMdFGvA/Wyz+13GAMO3raRQusSZvu+Hvtu7xPa8BTlz1rmEr6Jt094LSe/CH983rQ75GEb05LFR&#10;/wFQkrKA6P9pxmy2YyHgGtlOxBmJZCy0T0TckcgkynwgEngem8TxBkKOM5/Wxx8IBYE/jQQP1NsF&#10;Nk0jhQOhZ3WCoD2PtBwIBU44rROEyAVQzgX+di5wuDP0uH3QCKIk7eKAZ11oRPvKxAaMGNQATGEM&#10;lVo2mJ0YKJCAD7oiQIDtK9x9RhjUQ+G5SdSXheHRUbgL4ZeF4V1RuCsBLwvD06Hw8iI18HVQGvyP&#10;+XrORHwCEh8ZqY8ZTyqoocctSFkMWtBG51jNW3wAcjMM2Q5qI+Z1Bn8hyXC9lI/iQZJEe1Ql4a7D&#10;brTd5NEv4uupLAS2uW0A8NIi2jBCG89qgnEhusD8wDe1QK8G2imBvxheCZmshYP+jc/jAzBdoEsb&#10;xCFd64U6APoapJfJa6iOtvUiC/ozup90N1y2/I9uGLmow39+8SJs7Z0RyMtLR6gwxeijQO/DkGQO&#10;jaOgFK/kXV4UOiVwBfqtbl5It2DUPhUC47OoPokE2iNRAFxoIpVubgvFNPOiioLBT0rDVXQABRPA&#10;7886tj2nyCc2KPD8IwceF39xTV4acTwpiOz1Z3XKnLu3P0R3y6rtz5f8L6noloFlOGz3m73u/LiL&#10;KxsZP0H/VlKTSyDDMMik+mqxHRDLtdX8veVKWKz4rQIOsnQ8DzKatTRz7GXoLmCqxtPNeMqrCBCx&#10;WkBBxuFtq125rVWeZsTP0IZKvgX6kOTY5Ol1tHJmAmxIq/wf0CJoqMe0iKopeux70qJFGMzRnZDy&#10;UBGW4YKKMMSDIY0e8E27J432cml3lafjV68iSIEdApGAX13d0p5FHbfsIDiWgMLYswgnDKZhhh3b&#10;RxJxijNkSMhqJpQZ8iNvMYkyZEeu70zjjNhRMIkz5EbPOmfIjdxpq0bM6FmgE2ak3QOl5H9CM8HY&#10;pgkN1vie672GoWDEIUMB52PxOVAQQwFwG/Kyq/KH/Ska4Zk2P+YoXW77JtE0MqQNIetV6lVDzjMF&#10;D4V2cKRr8Z5ZNEVDo5tqQsTlImywH+08ojq+YUCmAGhsSDGS7eN1rOt4po/MAZf4zwjIw6aBl45W&#10;6UVg1e1Z8Vl61R0ZEYjzi0eOgelZEtHIIo+RQWCwHPX0TepQDPGizrhu8/D0+t9LwO6liaWMgC6i&#10;Jq/p0V2L9nwiarpBU/cG4k7t2ex8x+ZMXzDgUw+ZaT5L4bek4Zya+eHj2c03AAAA//8DAFBLAwQU&#10;AAYACAAAACEA09iwItkAAAAHAQAADwAAAGRycy9kb3ducmV2LnhtbEyPwU7DMBBE70j8g7VI3Kid&#10;HkqUxqlQECcOiMAHOPGSGOJ1Gjtt+Hu2XOCy2tGsZt+Uh9WP4oRzdIE0ZBsFAqkL1lGv4f3t6S4H&#10;EZMha8ZAqOEbIxyq66vSFDac6RVPTeoFh1AsjIYhpamQMnYDehM3YUJi7yPM3iSWcy/tbM4c7ke5&#10;VWonvXHEHwYzYT1g99UsXsMUjqH9PMbaP3ePuxdH7n5paq1vb9aHPYiEa/o7hgs+o0PFTG1YyEYx&#10;auAi6XdePJUr1i1v2TbPQFal/M9f/QAAAP//AwBQSwECLQAUAAYACAAAACEAtoM4kv4AAADhAQAA&#10;EwAAAAAAAAAAAAAAAAAAAAAAW0NvbnRlbnRfVHlwZXNdLnhtbFBLAQItABQABgAIAAAAIQA4/SH/&#10;1gAAAJQBAAALAAAAAAAAAAAAAAAAAC8BAABfcmVscy8ucmVsc1BLAQItABQABgAIAAAAIQAkXG8i&#10;bAUAAIQTAAAOAAAAAAAAAAAAAAAAAC4CAABkcnMvZTJvRG9jLnhtbFBLAQItABQABgAIAAAAIQDT&#10;2LAi2QAAAAcBAAAPAAAAAAAAAAAAAAAAAMYHAABkcnMvZG93bnJldi54bWxQSwUGAAAAAAQABADz&#10;AAAAzA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A4F126" w14:textId="77777777" w:rsidR="00E40E4E" w:rsidRPr="00835089" w:rsidRDefault="00000000" w:rsidP="00E40E4E">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40E4E" w:rsidRPr="00835089">
                                  <w:rPr>
                                    <w:color w:val="FFFFFF" w:themeColor="background1"/>
                                    <w:sz w:val="72"/>
                                    <w:szCs w:val="72"/>
                                  </w:rPr>
                                  <w:t xml:space="preserve">     </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40E4E" w:rsidRPr="0020160B">
            <w:rPr>
              <w:rFonts w:cs="Arial"/>
              <w:noProof/>
            </w:rPr>
            <mc:AlternateContent>
              <mc:Choice Requires="wps">
                <w:drawing>
                  <wp:anchor distT="0" distB="0" distL="114300" distR="114300" simplePos="0" relativeHeight="251661312" behindDoc="0" locked="0" layoutInCell="1" allowOverlap="1" wp14:anchorId="2DCDC131" wp14:editId="4979484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997EA4" w14:textId="66792B01" w:rsidR="00E40E4E" w:rsidRPr="00835089" w:rsidRDefault="00825EDA" w:rsidP="00E40E4E">
                                    <w:pPr>
                                      <w:pStyle w:val="NoSpacing"/>
                                      <w:spacing w:before="40" w:after="40"/>
                                      <w:rPr>
                                        <w:caps/>
                                        <w:color w:val="156082" w:themeColor="accent1"/>
                                        <w:sz w:val="28"/>
                                        <w:szCs w:val="28"/>
                                        <w:lang w:val="en-GB"/>
                                      </w:rPr>
                                    </w:pPr>
                                    <w:r w:rsidRPr="00835089">
                                      <w:rPr>
                                        <w:caps/>
                                        <w:color w:val="156082" w:themeColor="accent1"/>
                                        <w:sz w:val="28"/>
                                        <w:szCs w:val="28"/>
                                        <w:lang w:val="en-GB"/>
                                      </w:rPr>
                                      <w:t>PENKO KOYCHEV: 2332008</w:t>
                                    </w:r>
                                  </w:p>
                                </w:sdtContent>
                              </w:sdt>
                              <w:p w14:paraId="1C9C4447" w14:textId="62AFA6FF" w:rsidR="00E40E4E" w:rsidRPr="00835089" w:rsidRDefault="0020160B" w:rsidP="0020160B">
                                <w:pPr>
                                  <w:pStyle w:val="NoSpacing"/>
                                  <w:spacing w:before="40" w:after="40"/>
                                  <w:rPr>
                                    <w:caps/>
                                    <w:color w:val="A02B93" w:themeColor="accent5"/>
                                    <w:sz w:val="24"/>
                                    <w:szCs w:val="24"/>
                                    <w:lang w:val="en-GB"/>
                                  </w:rPr>
                                </w:pPr>
                                <w:r w:rsidRPr="0020160B">
                                  <w:rPr>
                                    <w:b/>
                                    <w:caps/>
                                    <w:color w:val="A02B93" w:themeColor="accent5"/>
                                    <w:sz w:val="24"/>
                                    <w:szCs w:val="24"/>
                                    <w:lang w:val="en-GB"/>
                                  </w:rPr>
                                  <w:t>Project Management</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DCDC131"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997EA4" w14:textId="66792B01" w:rsidR="00E40E4E" w:rsidRPr="00835089" w:rsidRDefault="00825EDA" w:rsidP="00E40E4E">
                              <w:pPr>
                                <w:pStyle w:val="NoSpacing"/>
                                <w:spacing w:before="40" w:after="40"/>
                                <w:rPr>
                                  <w:caps/>
                                  <w:color w:val="156082" w:themeColor="accent1"/>
                                  <w:sz w:val="28"/>
                                  <w:szCs w:val="28"/>
                                  <w:lang w:val="en-GB"/>
                                </w:rPr>
                              </w:pPr>
                              <w:r w:rsidRPr="00835089">
                                <w:rPr>
                                  <w:caps/>
                                  <w:color w:val="156082" w:themeColor="accent1"/>
                                  <w:sz w:val="28"/>
                                  <w:szCs w:val="28"/>
                                  <w:lang w:val="en-GB"/>
                                </w:rPr>
                                <w:t>PENKO KOYCHEV: 2332008</w:t>
                              </w:r>
                            </w:p>
                          </w:sdtContent>
                        </w:sdt>
                        <w:p w14:paraId="1C9C4447" w14:textId="62AFA6FF" w:rsidR="00E40E4E" w:rsidRPr="00835089" w:rsidRDefault="0020160B" w:rsidP="0020160B">
                          <w:pPr>
                            <w:pStyle w:val="NoSpacing"/>
                            <w:spacing w:before="40" w:after="40"/>
                            <w:rPr>
                              <w:caps/>
                              <w:color w:val="A02B93" w:themeColor="accent5"/>
                              <w:sz w:val="24"/>
                              <w:szCs w:val="24"/>
                              <w:lang w:val="en-GB"/>
                            </w:rPr>
                          </w:pPr>
                          <w:r w:rsidRPr="0020160B">
                            <w:rPr>
                              <w:b/>
                              <w:caps/>
                              <w:color w:val="A02B93" w:themeColor="accent5"/>
                              <w:sz w:val="24"/>
                              <w:szCs w:val="24"/>
                              <w:lang w:val="en-GB"/>
                            </w:rPr>
                            <w:t>Project Management</w:t>
                          </w:r>
                        </w:p>
                      </w:txbxContent>
                    </v:textbox>
                    <w10:wrap type="square" anchorx="page" anchory="page"/>
                  </v:shape>
                </w:pict>
              </mc:Fallback>
            </mc:AlternateContent>
          </w:r>
          <w:r w:rsidR="00E40E4E" w:rsidRPr="0020160B">
            <w:rPr>
              <w:rFonts w:eastAsiaTheme="majorEastAsia" w:cs="Arial"/>
              <w:b/>
              <w:bCs/>
              <w:sz w:val="40"/>
              <w:szCs w:val="40"/>
            </w:rPr>
            <w:br w:type="page"/>
          </w:r>
        </w:p>
      </w:sdtContent>
    </w:sdt>
    <w:sdt>
      <w:sdtPr>
        <w:rPr>
          <w:rFonts w:ascii="Arial" w:eastAsiaTheme="minorHAnsi" w:hAnsi="Arial" w:cs="Arial"/>
          <w:color w:val="auto"/>
          <w:kern w:val="2"/>
          <w:sz w:val="22"/>
          <w:szCs w:val="22"/>
          <w:lang w:val="en-GB"/>
          <w14:ligatures w14:val="standardContextual"/>
        </w:rPr>
        <w:id w:val="13352125"/>
        <w:docPartObj>
          <w:docPartGallery w:val="Table of Contents"/>
          <w:docPartUnique/>
        </w:docPartObj>
      </w:sdtPr>
      <w:sdtEndPr>
        <w:rPr>
          <w:b/>
          <w:bCs/>
        </w:rPr>
      </w:sdtEndPr>
      <w:sdtContent>
        <w:p w14:paraId="17673393" w14:textId="30AD38B9" w:rsidR="00987D14" w:rsidRPr="0020160B" w:rsidRDefault="00987D14" w:rsidP="0020160B">
          <w:pPr>
            <w:pStyle w:val="TOCHeading"/>
            <w:spacing w:line="360" w:lineRule="auto"/>
            <w:rPr>
              <w:rFonts w:ascii="Arial" w:hAnsi="Arial" w:cs="Arial"/>
              <w:b/>
              <w:bCs/>
              <w:lang w:val="en-GB"/>
            </w:rPr>
          </w:pPr>
          <w:r w:rsidRPr="0020160B">
            <w:rPr>
              <w:rFonts w:ascii="Arial" w:hAnsi="Arial" w:cs="Arial"/>
              <w:b/>
              <w:bCs/>
              <w:lang w:val="en-GB"/>
            </w:rPr>
            <w:t>Table of Contents</w:t>
          </w:r>
        </w:p>
        <w:p w14:paraId="2B21736B" w14:textId="46BF4B9A" w:rsidR="00957298" w:rsidRDefault="00987D14">
          <w:pPr>
            <w:pStyle w:val="TOC1"/>
            <w:tabs>
              <w:tab w:val="right" w:leader="dot" w:pos="9016"/>
            </w:tabs>
            <w:rPr>
              <w:rFonts w:asciiTheme="minorHAnsi" w:eastAsiaTheme="minorEastAsia" w:hAnsiTheme="minorHAnsi"/>
              <w:noProof/>
              <w:sz w:val="24"/>
              <w:szCs w:val="24"/>
              <w:lang w:eastAsia="en-GB"/>
            </w:rPr>
          </w:pPr>
          <w:r w:rsidRPr="0020160B">
            <w:rPr>
              <w:rFonts w:cs="Arial"/>
              <w:b/>
              <w:bCs/>
            </w:rPr>
            <w:fldChar w:fldCharType="begin"/>
          </w:r>
          <w:r w:rsidRPr="0020160B">
            <w:rPr>
              <w:rFonts w:cs="Arial"/>
              <w:b/>
              <w:bCs/>
            </w:rPr>
            <w:instrText xml:space="preserve"> TOC \o "1-3" \h \z \u </w:instrText>
          </w:r>
          <w:r w:rsidRPr="0020160B">
            <w:rPr>
              <w:rFonts w:cs="Arial"/>
              <w:b/>
              <w:bCs/>
            </w:rPr>
            <w:fldChar w:fldCharType="separate"/>
          </w:r>
          <w:hyperlink w:anchor="_Toc235627539" w:history="1">
            <w:r w:rsidR="00957298" w:rsidRPr="007D426E">
              <w:rPr>
                <w:rStyle w:val="Hyperlink"/>
                <w:rFonts w:cs="Arial"/>
                <w:noProof/>
              </w:rPr>
              <w:t>Introduction</w:t>
            </w:r>
            <w:r w:rsidR="00957298">
              <w:rPr>
                <w:noProof/>
                <w:webHidden/>
              </w:rPr>
              <w:tab/>
            </w:r>
            <w:r w:rsidR="00957298">
              <w:rPr>
                <w:noProof/>
                <w:webHidden/>
              </w:rPr>
              <w:fldChar w:fldCharType="begin"/>
            </w:r>
            <w:r w:rsidR="00957298">
              <w:rPr>
                <w:noProof/>
                <w:webHidden/>
              </w:rPr>
              <w:instrText xml:space="preserve"> PAGEREF _Toc235627539 \h </w:instrText>
            </w:r>
            <w:r w:rsidR="00957298">
              <w:rPr>
                <w:noProof/>
                <w:webHidden/>
              </w:rPr>
            </w:r>
            <w:r w:rsidR="00957298">
              <w:rPr>
                <w:noProof/>
                <w:webHidden/>
              </w:rPr>
              <w:fldChar w:fldCharType="separate"/>
            </w:r>
            <w:r w:rsidR="00957298">
              <w:rPr>
                <w:noProof/>
                <w:webHidden/>
              </w:rPr>
              <w:t>2</w:t>
            </w:r>
            <w:r w:rsidR="00957298">
              <w:rPr>
                <w:noProof/>
                <w:webHidden/>
              </w:rPr>
              <w:fldChar w:fldCharType="end"/>
            </w:r>
          </w:hyperlink>
        </w:p>
        <w:p w14:paraId="3D55AA03" w14:textId="062B0163"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0" w:history="1">
            <w:r w:rsidRPr="007D426E">
              <w:rPr>
                <w:rStyle w:val="Hyperlink"/>
                <w:rFonts w:cs="Arial"/>
                <w:noProof/>
              </w:rPr>
              <w:t>Contracting in project management</w:t>
            </w:r>
            <w:r>
              <w:rPr>
                <w:noProof/>
                <w:webHidden/>
              </w:rPr>
              <w:tab/>
            </w:r>
            <w:r>
              <w:rPr>
                <w:noProof/>
                <w:webHidden/>
              </w:rPr>
              <w:fldChar w:fldCharType="begin"/>
            </w:r>
            <w:r>
              <w:rPr>
                <w:noProof/>
                <w:webHidden/>
              </w:rPr>
              <w:instrText xml:space="preserve"> PAGEREF _Toc235627540 \h </w:instrText>
            </w:r>
            <w:r>
              <w:rPr>
                <w:noProof/>
                <w:webHidden/>
              </w:rPr>
            </w:r>
            <w:r>
              <w:rPr>
                <w:noProof/>
                <w:webHidden/>
              </w:rPr>
              <w:fldChar w:fldCharType="separate"/>
            </w:r>
            <w:r>
              <w:rPr>
                <w:noProof/>
                <w:webHidden/>
              </w:rPr>
              <w:t>2</w:t>
            </w:r>
            <w:r>
              <w:rPr>
                <w:noProof/>
                <w:webHidden/>
              </w:rPr>
              <w:fldChar w:fldCharType="end"/>
            </w:r>
          </w:hyperlink>
        </w:p>
        <w:p w14:paraId="1A67FC46" w14:textId="61F80315"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1" w:history="1">
            <w:r w:rsidRPr="007D426E">
              <w:rPr>
                <w:rStyle w:val="Hyperlink"/>
                <w:rFonts w:cs="Arial"/>
                <w:noProof/>
              </w:rPr>
              <w:t>Turnkey contracting</w:t>
            </w:r>
            <w:r>
              <w:rPr>
                <w:noProof/>
                <w:webHidden/>
              </w:rPr>
              <w:tab/>
            </w:r>
            <w:r>
              <w:rPr>
                <w:noProof/>
                <w:webHidden/>
              </w:rPr>
              <w:fldChar w:fldCharType="begin"/>
            </w:r>
            <w:r>
              <w:rPr>
                <w:noProof/>
                <w:webHidden/>
              </w:rPr>
              <w:instrText xml:space="preserve"> PAGEREF _Toc235627541 \h </w:instrText>
            </w:r>
            <w:r>
              <w:rPr>
                <w:noProof/>
                <w:webHidden/>
              </w:rPr>
            </w:r>
            <w:r>
              <w:rPr>
                <w:noProof/>
                <w:webHidden/>
              </w:rPr>
              <w:fldChar w:fldCharType="separate"/>
            </w:r>
            <w:r>
              <w:rPr>
                <w:noProof/>
                <w:webHidden/>
              </w:rPr>
              <w:t>3</w:t>
            </w:r>
            <w:r>
              <w:rPr>
                <w:noProof/>
                <w:webHidden/>
              </w:rPr>
              <w:fldChar w:fldCharType="end"/>
            </w:r>
          </w:hyperlink>
        </w:p>
        <w:p w14:paraId="2245D256" w14:textId="1491360F"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2" w:history="1">
            <w:r w:rsidRPr="007D426E">
              <w:rPr>
                <w:rStyle w:val="Hyperlink"/>
                <w:rFonts w:cs="Arial"/>
                <w:noProof/>
              </w:rPr>
              <w:t>Multicontract contracting</w:t>
            </w:r>
            <w:r>
              <w:rPr>
                <w:noProof/>
                <w:webHidden/>
              </w:rPr>
              <w:tab/>
            </w:r>
            <w:r>
              <w:rPr>
                <w:noProof/>
                <w:webHidden/>
              </w:rPr>
              <w:fldChar w:fldCharType="begin"/>
            </w:r>
            <w:r>
              <w:rPr>
                <w:noProof/>
                <w:webHidden/>
              </w:rPr>
              <w:instrText xml:space="preserve"> PAGEREF _Toc235627542 \h </w:instrText>
            </w:r>
            <w:r>
              <w:rPr>
                <w:noProof/>
                <w:webHidden/>
              </w:rPr>
            </w:r>
            <w:r>
              <w:rPr>
                <w:noProof/>
                <w:webHidden/>
              </w:rPr>
              <w:fldChar w:fldCharType="separate"/>
            </w:r>
            <w:r>
              <w:rPr>
                <w:noProof/>
                <w:webHidden/>
              </w:rPr>
              <w:t>4</w:t>
            </w:r>
            <w:r>
              <w:rPr>
                <w:noProof/>
                <w:webHidden/>
              </w:rPr>
              <w:fldChar w:fldCharType="end"/>
            </w:r>
          </w:hyperlink>
        </w:p>
        <w:p w14:paraId="6BA2FCF7" w14:textId="4E8DE433"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3" w:history="1">
            <w:r w:rsidRPr="007D426E">
              <w:rPr>
                <w:rStyle w:val="Hyperlink"/>
                <w:rFonts w:cs="Arial"/>
                <w:noProof/>
              </w:rPr>
              <w:t>DIY contracting</w:t>
            </w:r>
            <w:r>
              <w:rPr>
                <w:noProof/>
                <w:webHidden/>
              </w:rPr>
              <w:tab/>
            </w:r>
            <w:r>
              <w:rPr>
                <w:noProof/>
                <w:webHidden/>
              </w:rPr>
              <w:fldChar w:fldCharType="begin"/>
            </w:r>
            <w:r>
              <w:rPr>
                <w:noProof/>
                <w:webHidden/>
              </w:rPr>
              <w:instrText xml:space="preserve"> PAGEREF _Toc235627543 \h </w:instrText>
            </w:r>
            <w:r>
              <w:rPr>
                <w:noProof/>
                <w:webHidden/>
              </w:rPr>
            </w:r>
            <w:r>
              <w:rPr>
                <w:noProof/>
                <w:webHidden/>
              </w:rPr>
              <w:fldChar w:fldCharType="separate"/>
            </w:r>
            <w:r>
              <w:rPr>
                <w:noProof/>
                <w:webHidden/>
              </w:rPr>
              <w:t>4</w:t>
            </w:r>
            <w:r>
              <w:rPr>
                <w:noProof/>
                <w:webHidden/>
              </w:rPr>
              <w:fldChar w:fldCharType="end"/>
            </w:r>
          </w:hyperlink>
        </w:p>
        <w:p w14:paraId="66CF73C2" w14:textId="08F3BB31"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4" w:history="1">
            <w:r w:rsidRPr="007D426E">
              <w:rPr>
                <w:rStyle w:val="Hyperlink"/>
                <w:rFonts w:cs="Arial"/>
                <w:noProof/>
              </w:rPr>
              <w:t>Multicontract + DIY contracting</w:t>
            </w:r>
            <w:r>
              <w:rPr>
                <w:noProof/>
                <w:webHidden/>
              </w:rPr>
              <w:tab/>
            </w:r>
            <w:r>
              <w:rPr>
                <w:noProof/>
                <w:webHidden/>
              </w:rPr>
              <w:fldChar w:fldCharType="begin"/>
            </w:r>
            <w:r>
              <w:rPr>
                <w:noProof/>
                <w:webHidden/>
              </w:rPr>
              <w:instrText xml:space="preserve"> PAGEREF _Toc235627544 \h </w:instrText>
            </w:r>
            <w:r>
              <w:rPr>
                <w:noProof/>
                <w:webHidden/>
              </w:rPr>
            </w:r>
            <w:r>
              <w:rPr>
                <w:noProof/>
                <w:webHidden/>
              </w:rPr>
              <w:fldChar w:fldCharType="separate"/>
            </w:r>
            <w:r>
              <w:rPr>
                <w:noProof/>
                <w:webHidden/>
              </w:rPr>
              <w:t>5</w:t>
            </w:r>
            <w:r>
              <w:rPr>
                <w:noProof/>
                <w:webHidden/>
              </w:rPr>
              <w:fldChar w:fldCharType="end"/>
            </w:r>
          </w:hyperlink>
        </w:p>
        <w:p w14:paraId="3F98C633" w14:textId="69851AEB"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5" w:history="1">
            <w:r w:rsidRPr="007D426E">
              <w:rPr>
                <w:rStyle w:val="Hyperlink"/>
                <w:rFonts w:cs="Arial"/>
                <w:noProof/>
              </w:rPr>
              <w:t>Practical project tools</w:t>
            </w:r>
            <w:r>
              <w:rPr>
                <w:noProof/>
                <w:webHidden/>
              </w:rPr>
              <w:tab/>
            </w:r>
            <w:r>
              <w:rPr>
                <w:noProof/>
                <w:webHidden/>
              </w:rPr>
              <w:fldChar w:fldCharType="begin"/>
            </w:r>
            <w:r>
              <w:rPr>
                <w:noProof/>
                <w:webHidden/>
              </w:rPr>
              <w:instrText xml:space="preserve"> PAGEREF _Toc235627545 \h </w:instrText>
            </w:r>
            <w:r>
              <w:rPr>
                <w:noProof/>
                <w:webHidden/>
              </w:rPr>
            </w:r>
            <w:r>
              <w:rPr>
                <w:noProof/>
                <w:webHidden/>
              </w:rPr>
              <w:fldChar w:fldCharType="separate"/>
            </w:r>
            <w:r>
              <w:rPr>
                <w:noProof/>
                <w:webHidden/>
              </w:rPr>
              <w:t>6</w:t>
            </w:r>
            <w:r>
              <w:rPr>
                <w:noProof/>
                <w:webHidden/>
              </w:rPr>
              <w:fldChar w:fldCharType="end"/>
            </w:r>
          </w:hyperlink>
        </w:p>
        <w:p w14:paraId="62F85B81" w14:textId="2508FAA8"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6" w:history="1">
            <w:r w:rsidRPr="007D426E">
              <w:rPr>
                <w:rStyle w:val="Hyperlink"/>
                <w:rFonts w:cs="Arial"/>
                <w:noProof/>
              </w:rPr>
              <w:t>Conclusion</w:t>
            </w:r>
            <w:r>
              <w:rPr>
                <w:noProof/>
                <w:webHidden/>
              </w:rPr>
              <w:tab/>
            </w:r>
            <w:r>
              <w:rPr>
                <w:noProof/>
                <w:webHidden/>
              </w:rPr>
              <w:fldChar w:fldCharType="begin"/>
            </w:r>
            <w:r>
              <w:rPr>
                <w:noProof/>
                <w:webHidden/>
              </w:rPr>
              <w:instrText xml:space="preserve"> PAGEREF _Toc235627546 \h </w:instrText>
            </w:r>
            <w:r>
              <w:rPr>
                <w:noProof/>
                <w:webHidden/>
              </w:rPr>
            </w:r>
            <w:r>
              <w:rPr>
                <w:noProof/>
                <w:webHidden/>
              </w:rPr>
              <w:fldChar w:fldCharType="separate"/>
            </w:r>
            <w:r>
              <w:rPr>
                <w:noProof/>
                <w:webHidden/>
              </w:rPr>
              <w:t>7</w:t>
            </w:r>
            <w:r>
              <w:rPr>
                <w:noProof/>
                <w:webHidden/>
              </w:rPr>
              <w:fldChar w:fldCharType="end"/>
            </w:r>
          </w:hyperlink>
        </w:p>
        <w:p w14:paraId="6CDB60EB" w14:textId="55F126A9" w:rsidR="00957298" w:rsidRDefault="00957298">
          <w:pPr>
            <w:pStyle w:val="TOC1"/>
            <w:tabs>
              <w:tab w:val="right" w:leader="dot" w:pos="9016"/>
            </w:tabs>
            <w:rPr>
              <w:rFonts w:asciiTheme="minorHAnsi" w:eastAsiaTheme="minorEastAsia" w:hAnsiTheme="minorHAnsi"/>
              <w:noProof/>
              <w:sz w:val="24"/>
              <w:szCs w:val="24"/>
              <w:lang w:eastAsia="en-GB"/>
            </w:rPr>
          </w:pPr>
          <w:hyperlink w:anchor="_Toc235627547" w:history="1">
            <w:r w:rsidRPr="007D426E">
              <w:rPr>
                <w:rStyle w:val="Hyperlink"/>
                <w:rFonts w:cs="Arial"/>
                <w:noProof/>
              </w:rPr>
              <w:t>Reference</w:t>
            </w:r>
            <w:r>
              <w:rPr>
                <w:noProof/>
                <w:webHidden/>
              </w:rPr>
              <w:tab/>
            </w:r>
            <w:r>
              <w:rPr>
                <w:noProof/>
                <w:webHidden/>
              </w:rPr>
              <w:fldChar w:fldCharType="begin"/>
            </w:r>
            <w:r>
              <w:rPr>
                <w:noProof/>
                <w:webHidden/>
              </w:rPr>
              <w:instrText xml:space="preserve"> PAGEREF _Toc235627547 \h </w:instrText>
            </w:r>
            <w:r>
              <w:rPr>
                <w:noProof/>
                <w:webHidden/>
              </w:rPr>
            </w:r>
            <w:r>
              <w:rPr>
                <w:noProof/>
                <w:webHidden/>
              </w:rPr>
              <w:fldChar w:fldCharType="separate"/>
            </w:r>
            <w:r>
              <w:rPr>
                <w:noProof/>
                <w:webHidden/>
              </w:rPr>
              <w:t>8</w:t>
            </w:r>
            <w:r>
              <w:rPr>
                <w:noProof/>
                <w:webHidden/>
              </w:rPr>
              <w:fldChar w:fldCharType="end"/>
            </w:r>
          </w:hyperlink>
        </w:p>
        <w:p w14:paraId="6D324CE4" w14:textId="3721F748" w:rsidR="00987D14" w:rsidRPr="0020160B" w:rsidRDefault="00987D14" w:rsidP="0020160B">
          <w:pPr>
            <w:spacing w:line="360" w:lineRule="auto"/>
            <w:rPr>
              <w:rFonts w:cs="Arial"/>
            </w:rPr>
          </w:pPr>
          <w:r w:rsidRPr="0020160B">
            <w:rPr>
              <w:rFonts w:cs="Arial"/>
              <w:b/>
              <w:bCs/>
            </w:rPr>
            <w:fldChar w:fldCharType="end"/>
          </w:r>
        </w:p>
      </w:sdtContent>
    </w:sdt>
    <w:p w14:paraId="475B29B9" w14:textId="77777777" w:rsidR="0075587D" w:rsidRPr="0020160B" w:rsidRDefault="0075587D" w:rsidP="0020160B">
      <w:pPr>
        <w:spacing w:line="360" w:lineRule="auto"/>
        <w:rPr>
          <w:rFonts w:cs="Arial"/>
          <w:b/>
          <w:bCs/>
        </w:rPr>
      </w:pPr>
    </w:p>
    <w:p w14:paraId="683FC3FF" w14:textId="77777777" w:rsidR="0075587D" w:rsidRPr="0020160B" w:rsidRDefault="0075587D" w:rsidP="0020160B">
      <w:pPr>
        <w:spacing w:line="360" w:lineRule="auto"/>
        <w:rPr>
          <w:rFonts w:cs="Arial"/>
          <w:b/>
          <w:bCs/>
        </w:rPr>
      </w:pPr>
    </w:p>
    <w:p w14:paraId="7E771DEF" w14:textId="77777777" w:rsidR="0075587D" w:rsidRPr="0020160B" w:rsidRDefault="0075587D" w:rsidP="0020160B">
      <w:pPr>
        <w:spacing w:line="360" w:lineRule="auto"/>
        <w:rPr>
          <w:rFonts w:cs="Arial"/>
          <w:b/>
          <w:bCs/>
        </w:rPr>
      </w:pPr>
    </w:p>
    <w:p w14:paraId="1723AE4C" w14:textId="77777777" w:rsidR="0075587D" w:rsidRPr="0020160B" w:rsidRDefault="0075587D" w:rsidP="0020160B">
      <w:pPr>
        <w:spacing w:line="360" w:lineRule="auto"/>
        <w:rPr>
          <w:rFonts w:cs="Arial"/>
          <w:b/>
          <w:bCs/>
        </w:rPr>
      </w:pPr>
    </w:p>
    <w:p w14:paraId="5B3B3096" w14:textId="77777777" w:rsidR="0075587D" w:rsidRPr="0020160B" w:rsidRDefault="0075587D" w:rsidP="0020160B">
      <w:pPr>
        <w:spacing w:line="360" w:lineRule="auto"/>
        <w:rPr>
          <w:rFonts w:cs="Arial"/>
          <w:b/>
          <w:bCs/>
        </w:rPr>
      </w:pPr>
    </w:p>
    <w:p w14:paraId="58F6A68F" w14:textId="77777777" w:rsidR="0075587D" w:rsidRPr="0020160B" w:rsidRDefault="0075587D" w:rsidP="0020160B">
      <w:pPr>
        <w:spacing w:line="360" w:lineRule="auto"/>
        <w:rPr>
          <w:rFonts w:cs="Arial"/>
          <w:b/>
          <w:bCs/>
        </w:rPr>
      </w:pPr>
    </w:p>
    <w:p w14:paraId="577BB285" w14:textId="77777777" w:rsidR="008863F5" w:rsidRPr="0020160B" w:rsidRDefault="008863F5" w:rsidP="0020160B">
      <w:pPr>
        <w:spacing w:line="360" w:lineRule="auto"/>
        <w:rPr>
          <w:rFonts w:cs="Arial"/>
          <w:b/>
          <w:bCs/>
        </w:rPr>
      </w:pPr>
    </w:p>
    <w:p w14:paraId="0ECE44E5" w14:textId="77777777" w:rsidR="008863F5" w:rsidRPr="0020160B" w:rsidRDefault="008863F5" w:rsidP="0020160B">
      <w:pPr>
        <w:spacing w:line="360" w:lineRule="auto"/>
        <w:rPr>
          <w:rFonts w:cs="Arial"/>
          <w:b/>
          <w:bCs/>
        </w:rPr>
      </w:pPr>
    </w:p>
    <w:p w14:paraId="1BCBF4D8" w14:textId="77777777" w:rsidR="008863F5" w:rsidRPr="0020160B" w:rsidRDefault="008863F5" w:rsidP="0020160B">
      <w:pPr>
        <w:spacing w:line="360" w:lineRule="auto"/>
        <w:rPr>
          <w:rFonts w:cs="Arial"/>
          <w:b/>
          <w:bCs/>
        </w:rPr>
      </w:pPr>
    </w:p>
    <w:p w14:paraId="20BB2FCA" w14:textId="77777777" w:rsidR="008863F5" w:rsidRPr="0020160B" w:rsidRDefault="008863F5" w:rsidP="0020160B">
      <w:pPr>
        <w:spacing w:line="360" w:lineRule="auto"/>
        <w:rPr>
          <w:rFonts w:cs="Arial"/>
          <w:b/>
          <w:bCs/>
        </w:rPr>
      </w:pPr>
    </w:p>
    <w:p w14:paraId="54AB95E6" w14:textId="77777777" w:rsidR="008863F5" w:rsidRPr="0020160B" w:rsidRDefault="008863F5" w:rsidP="0020160B">
      <w:pPr>
        <w:spacing w:line="360" w:lineRule="auto"/>
        <w:rPr>
          <w:rFonts w:cs="Arial"/>
          <w:b/>
          <w:bCs/>
        </w:rPr>
      </w:pPr>
    </w:p>
    <w:p w14:paraId="53592661" w14:textId="77777777" w:rsidR="008863F5" w:rsidRPr="0020160B" w:rsidRDefault="008863F5" w:rsidP="0020160B">
      <w:pPr>
        <w:spacing w:line="360" w:lineRule="auto"/>
        <w:rPr>
          <w:rFonts w:cs="Arial"/>
          <w:b/>
          <w:bCs/>
        </w:rPr>
      </w:pPr>
    </w:p>
    <w:p w14:paraId="5B33C2F9" w14:textId="77777777" w:rsidR="0075587D" w:rsidRPr="0020160B" w:rsidRDefault="0075587D" w:rsidP="0020160B">
      <w:pPr>
        <w:spacing w:line="360" w:lineRule="auto"/>
        <w:rPr>
          <w:rFonts w:cs="Arial"/>
          <w:b/>
          <w:bCs/>
        </w:rPr>
      </w:pPr>
    </w:p>
    <w:p w14:paraId="012B099A" w14:textId="77777777" w:rsidR="0075587D" w:rsidRDefault="0075587D" w:rsidP="0020160B">
      <w:pPr>
        <w:spacing w:line="360" w:lineRule="auto"/>
        <w:rPr>
          <w:rFonts w:cs="Arial"/>
          <w:b/>
          <w:bCs/>
        </w:rPr>
      </w:pPr>
    </w:p>
    <w:p w14:paraId="771F6513" w14:textId="77777777" w:rsidR="00957298" w:rsidRDefault="00957298" w:rsidP="0020160B">
      <w:pPr>
        <w:spacing w:line="360" w:lineRule="auto"/>
        <w:rPr>
          <w:rFonts w:cs="Arial"/>
          <w:b/>
          <w:bCs/>
        </w:rPr>
      </w:pPr>
    </w:p>
    <w:p w14:paraId="578E1E98" w14:textId="77777777" w:rsidR="00957298" w:rsidRPr="0020160B" w:rsidRDefault="00957298" w:rsidP="0020160B">
      <w:pPr>
        <w:spacing w:line="360" w:lineRule="auto"/>
        <w:rPr>
          <w:rFonts w:cs="Arial"/>
          <w:b/>
          <w:bCs/>
        </w:rPr>
      </w:pPr>
    </w:p>
    <w:p w14:paraId="3AEE4ED5" w14:textId="77777777" w:rsidR="0020160B" w:rsidRPr="0020160B" w:rsidRDefault="0020160B" w:rsidP="0020160B">
      <w:pPr>
        <w:pStyle w:val="Heading1"/>
        <w:spacing w:line="360" w:lineRule="auto"/>
        <w:rPr>
          <w:rFonts w:ascii="Arial" w:hAnsi="Arial" w:cs="Arial"/>
        </w:rPr>
      </w:pPr>
      <w:bookmarkStart w:id="0" w:name="_Toc235627539"/>
      <w:r w:rsidRPr="0020160B">
        <w:rPr>
          <w:rFonts w:ascii="Arial" w:hAnsi="Arial" w:cs="Arial"/>
        </w:rPr>
        <w:lastRenderedPageBreak/>
        <w:t>Introduction</w:t>
      </w:r>
      <w:bookmarkEnd w:id="0"/>
    </w:p>
    <w:p w14:paraId="6353082F" w14:textId="77777777" w:rsidR="0020160B" w:rsidRPr="0020160B" w:rsidRDefault="0020160B" w:rsidP="0020160B">
      <w:pPr>
        <w:spacing w:line="360" w:lineRule="auto"/>
        <w:rPr>
          <w:rFonts w:cs="Arial"/>
        </w:rPr>
      </w:pPr>
      <w:r w:rsidRPr="0020160B">
        <w:rPr>
          <w:rFonts w:cs="Arial"/>
        </w:rPr>
        <w:t>Project management is the disciplined application of knowledge, skills, tools, and techniques to deliver a unique project outcome within agreed constraints of scope, time, cost, quality, risk, and stakeholder expectations (PMI, 2021). One of the most important decisions in project delivery is how work will be contracted and who will carry responsibility for design, coordination, procurement, execution, and risk. Contracting affects governance, control, cost certainty, speed, and the degree of managerial effort required from the client or project owner.</w:t>
      </w:r>
    </w:p>
    <w:p w14:paraId="036DE5DE" w14:textId="77777777" w:rsidR="0020160B" w:rsidRPr="0020160B" w:rsidRDefault="0020160B" w:rsidP="0020160B">
      <w:pPr>
        <w:spacing w:line="360" w:lineRule="auto"/>
        <w:rPr>
          <w:rFonts w:cs="Arial"/>
        </w:rPr>
      </w:pPr>
      <w:r w:rsidRPr="0020160B">
        <w:rPr>
          <w:rFonts w:cs="Arial"/>
        </w:rPr>
        <w:t xml:space="preserve">This essay explains four methods of contracting in project management: turnkey, </w:t>
      </w:r>
      <w:proofErr w:type="spellStart"/>
      <w:r w:rsidRPr="0020160B">
        <w:rPr>
          <w:rFonts w:cs="Arial"/>
        </w:rPr>
        <w:t>multicontract</w:t>
      </w:r>
      <w:proofErr w:type="spellEnd"/>
      <w:r w:rsidRPr="0020160B">
        <w:rPr>
          <w:rFonts w:cs="Arial"/>
        </w:rPr>
        <w:t xml:space="preserve">, DIY, and </w:t>
      </w:r>
      <w:proofErr w:type="spellStart"/>
      <w:r w:rsidRPr="0020160B">
        <w:rPr>
          <w:rFonts w:cs="Arial"/>
        </w:rPr>
        <w:t>multicontract</w:t>
      </w:r>
      <w:proofErr w:type="spellEnd"/>
      <w:r w:rsidRPr="0020160B">
        <w:rPr>
          <w:rFonts w:cs="Arial"/>
        </w:rPr>
        <w:t xml:space="preserve"> + DIY. It argues that contracting strategy should not be treated as a purely administrative choice, because it shapes project risk allocation, stakeholder management, scheduling, and performance outcomes. The discussion also shows how tools such as the Work Breakdown Structure, risk register, stakeholder matrix, and Gantt chart support better contract decisions and implementation.</w:t>
      </w:r>
    </w:p>
    <w:p w14:paraId="2A18339E" w14:textId="77777777" w:rsidR="0020160B" w:rsidRPr="0020160B" w:rsidRDefault="0020160B" w:rsidP="0020160B">
      <w:pPr>
        <w:pStyle w:val="Heading1"/>
        <w:spacing w:line="360" w:lineRule="auto"/>
        <w:rPr>
          <w:rFonts w:ascii="Arial" w:hAnsi="Arial" w:cs="Arial"/>
        </w:rPr>
      </w:pPr>
      <w:bookmarkStart w:id="1" w:name="_Toc235627540"/>
      <w:r w:rsidRPr="0020160B">
        <w:rPr>
          <w:rFonts w:ascii="Arial" w:hAnsi="Arial" w:cs="Arial"/>
        </w:rPr>
        <w:t>Contracting in project management</w:t>
      </w:r>
      <w:bookmarkEnd w:id="1"/>
    </w:p>
    <w:p w14:paraId="7D80F030" w14:textId="77777777" w:rsidR="0020160B" w:rsidRPr="0020160B" w:rsidRDefault="0020160B" w:rsidP="0020160B">
      <w:pPr>
        <w:spacing w:line="360" w:lineRule="auto"/>
        <w:rPr>
          <w:rFonts w:cs="Arial"/>
        </w:rPr>
      </w:pPr>
      <w:r w:rsidRPr="0020160B">
        <w:rPr>
          <w:rFonts w:cs="Arial"/>
        </w:rPr>
        <w:t>Contracting is the formal mechanism through which project responsibilities are allocated between the client and one or more external or internal parties. In practice, the chosen contracting method influences who designs the solution, who procures resources, who manages subcontractors, and who bears the consequences of delay or defect. A sound contracting strategy is therefore an extension of project planning rather than a separate legal exercise. Research on project procurement consistently shows that alignment between contract form and project complexity is central to successful delivery (Walker and Smyth, 2016; Masterman, 2002).</w:t>
      </w:r>
    </w:p>
    <w:p w14:paraId="568B5FB1" w14:textId="77777777" w:rsidR="0020160B" w:rsidRPr="0020160B" w:rsidRDefault="0020160B" w:rsidP="0020160B">
      <w:pPr>
        <w:spacing w:line="360" w:lineRule="auto"/>
        <w:rPr>
          <w:rFonts w:cs="Arial"/>
        </w:rPr>
      </w:pPr>
      <w:r w:rsidRPr="0020160B">
        <w:rPr>
          <w:rFonts w:cs="Arial"/>
        </w:rPr>
        <w:t>Projects may choose to contract out for several reasons. First, the client may lack in-house technical capacity, specialist labour, or time to perform the work independently. Second, outsourcing can transfer selected risks to parties better placed to manage them. Third, contracting can improve access to specialist expertise and equipment while allowing the client to focus on strategic oversight. However, contracting out also creates coordination costs, interface risks, and the possibility of reduced control over quality or design decisions (Baccarini, 1996; Turner, 2014).</w:t>
      </w:r>
    </w:p>
    <w:p w14:paraId="3BE2E5B0" w14:textId="77777777" w:rsidR="0020160B" w:rsidRPr="0020160B" w:rsidRDefault="0020160B" w:rsidP="0020160B">
      <w:pPr>
        <w:spacing w:line="360" w:lineRule="auto"/>
        <w:rPr>
          <w:rFonts w:cs="Arial"/>
        </w:rPr>
      </w:pPr>
      <w:r w:rsidRPr="0020160B">
        <w:rPr>
          <w:rFonts w:cs="Arial"/>
        </w:rPr>
        <w:t xml:space="preserve">A useful way to analyse contract choice is to match the method to project characteristics. Highly defined and standardised projects often benefit from greater contractual separation </w:t>
      </w:r>
      <w:r w:rsidRPr="0020160B">
        <w:rPr>
          <w:rFonts w:cs="Arial"/>
        </w:rPr>
        <w:lastRenderedPageBreak/>
        <w:t>and single-point accountability, while uncertain, fast-changing, or highly integrated projects may require more client involvement and flexible coordination. This means no single method is universally best; each has advantages and disadvantages depending on context, complexity, and the client’s risk appetite.</w:t>
      </w:r>
    </w:p>
    <w:p w14:paraId="0A92695B" w14:textId="77777777" w:rsidR="0020160B" w:rsidRPr="0020160B" w:rsidRDefault="0020160B" w:rsidP="0020160B">
      <w:pPr>
        <w:pStyle w:val="Heading1"/>
        <w:spacing w:line="360" w:lineRule="auto"/>
        <w:rPr>
          <w:rFonts w:ascii="Arial" w:hAnsi="Arial" w:cs="Arial"/>
        </w:rPr>
      </w:pPr>
      <w:bookmarkStart w:id="2" w:name="_Toc235627541"/>
      <w:r w:rsidRPr="0020160B">
        <w:rPr>
          <w:rFonts w:ascii="Arial" w:hAnsi="Arial" w:cs="Arial"/>
        </w:rPr>
        <w:t>Turnkey contracting</w:t>
      </w:r>
      <w:bookmarkEnd w:id="2"/>
    </w:p>
    <w:p w14:paraId="2DE0886C" w14:textId="77777777" w:rsidR="0020160B" w:rsidRPr="0020160B" w:rsidRDefault="0020160B" w:rsidP="0020160B">
      <w:pPr>
        <w:spacing w:line="360" w:lineRule="auto"/>
        <w:rPr>
          <w:rFonts w:cs="Arial"/>
        </w:rPr>
      </w:pPr>
      <w:r w:rsidRPr="0020160B">
        <w:rPr>
          <w:rFonts w:cs="Arial"/>
        </w:rPr>
        <w:t xml:space="preserve">Turnkey contracting is a method in which a single contractor or consortium is responsible for delivering a complete project ready for use. The client “turns the key” and receives a finished asset or system, often with minimal day-to-day involvement in design and execution. Turnkey is common where the </w:t>
      </w:r>
      <w:proofErr w:type="gramStart"/>
      <w:r w:rsidRPr="0020160B">
        <w:rPr>
          <w:rFonts w:cs="Arial"/>
        </w:rPr>
        <w:t>end product</w:t>
      </w:r>
      <w:proofErr w:type="gramEnd"/>
      <w:r w:rsidRPr="0020160B">
        <w:rPr>
          <w:rFonts w:cs="Arial"/>
        </w:rPr>
        <w:t xml:space="preserve"> is well specified and where the client values speed, simplicity, and single-point responsibility. It is frequently used in large infrastructure, industrial facilities, and technology systems where integrated delivery is important (Meredith, Shafer and Mantel, 2017).</w:t>
      </w:r>
    </w:p>
    <w:p w14:paraId="19DE7233" w14:textId="77777777" w:rsidR="0020160B" w:rsidRPr="0020160B" w:rsidRDefault="0020160B" w:rsidP="0020160B">
      <w:pPr>
        <w:spacing w:line="360" w:lineRule="auto"/>
        <w:rPr>
          <w:rFonts w:cs="Arial"/>
        </w:rPr>
      </w:pPr>
      <w:r w:rsidRPr="0020160B">
        <w:rPr>
          <w:rFonts w:cs="Arial"/>
        </w:rPr>
        <w:t>The main advantage of turnkey contracting is convenience for the client. Because one party carries broad responsibility, coordination problems between designers, suppliers, and construction teams are reduced. The client also benefits from clearer accountability, as one contractor is answerable for overall performance, schedule, and handover. In addition, turnkey arrangements can accelerate delivery because design and execution may overlap, reducing the total project duration compared with sequential procurement approaches.</w:t>
      </w:r>
    </w:p>
    <w:p w14:paraId="05CFD5A3" w14:textId="77777777" w:rsidR="0020160B" w:rsidRPr="0020160B" w:rsidRDefault="0020160B" w:rsidP="0020160B">
      <w:pPr>
        <w:spacing w:line="360" w:lineRule="auto"/>
        <w:rPr>
          <w:rFonts w:cs="Arial"/>
        </w:rPr>
      </w:pPr>
      <w:r w:rsidRPr="0020160B">
        <w:rPr>
          <w:rFonts w:cs="Arial"/>
        </w:rPr>
        <w:t>The disadvantages are equally important. The client may lose design control and may have limited ability to influence detailed decisions once the contract is signed. If requirements were not fully defined at the outset, the contractor may include contingencies in the price or resist changes later. Turnkey projects can also expose the client to dependency on one provider, which may create commercial and operational risk if the contractor underperforms. For this reason, turnkey is most suitable where scope clarity is high, performance criteria are measurable, and the client wants a relatively passive delivery role.</w:t>
      </w:r>
    </w:p>
    <w:p w14:paraId="11439028" w14:textId="77777777" w:rsidR="0020160B" w:rsidRPr="0020160B" w:rsidRDefault="0020160B" w:rsidP="0020160B">
      <w:pPr>
        <w:spacing w:line="360" w:lineRule="auto"/>
        <w:rPr>
          <w:rFonts w:cs="Arial"/>
        </w:rPr>
      </w:pPr>
      <w:r w:rsidRPr="0020160B">
        <w:rPr>
          <w:rFonts w:cs="Arial"/>
        </w:rPr>
        <w:t>A practical example would be a standard warehouse or prefabricated facility where the owner wants a complete operational asset with limited internal project management capacity. In such a case, turnkey may be efficient because the design is repeatable and the client mainly wants predictable delivery rather than extensive customisation.</w:t>
      </w:r>
    </w:p>
    <w:p w14:paraId="67FDFC03" w14:textId="77777777" w:rsidR="0020160B" w:rsidRPr="0020160B" w:rsidRDefault="0020160B" w:rsidP="0020160B">
      <w:pPr>
        <w:pStyle w:val="Heading1"/>
        <w:spacing w:line="360" w:lineRule="auto"/>
        <w:rPr>
          <w:rFonts w:ascii="Arial" w:hAnsi="Arial" w:cs="Arial"/>
        </w:rPr>
      </w:pPr>
      <w:bookmarkStart w:id="3" w:name="_Toc235627542"/>
      <w:proofErr w:type="spellStart"/>
      <w:r w:rsidRPr="0020160B">
        <w:rPr>
          <w:rFonts w:ascii="Arial" w:hAnsi="Arial" w:cs="Arial"/>
        </w:rPr>
        <w:lastRenderedPageBreak/>
        <w:t>Multicontract</w:t>
      </w:r>
      <w:proofErr w:type="spellEnd"/>
      <w:r w:rsidRPr="0020160B">
        <w:rPr>
          <w:rFonts w:ascii="Arial" w:hAnsi="Arial" w:cs="Arial"/>
        </w:rPr>
        <w:t xml:space="preserve"> contracting</w:t>
      </w:r>
      <w:bookmarkEnd w:id="3"/>
    </w:p>
    <w:p w14:paraId="15B9E2BF" w14:textId="77777777" w:rsidR="0020160B" w:rsidRPr="0020160B" w:rsidRDefault="0020160B" w:rsidP="0020160B">
      <w:pPr>
        <w:spacing w:line="360" w:lineRule="auto"/>
        <w:rPr>
          <w:rFonts w:cs="Arial"/>
        </w:rPr>
      </w:pPr>
      <w:proofErr w:type="spellStart"/>
      <w:r w:rsidRPr="0020160B">
        <w:rPr>
          <w:rFonts w:cs="Arial"/>
        </w:rPr>
        <w:t>Multicontract</w:t>
      </w:r>
      <w:proofErr w:type="spellEnd"/>
      <w:r w:rsidRPr="0020160B">
        <w:rPr>
          <w:rFonts w:cs="Arial"/>
        </w:rPr>
        <w:t xml:space="preserve"> contracting, sometimes called multiple prime contracting, involves the client </w:t>
      </w:r>
      <w:proofErr w:type="gramStart"/>
      <w:r w:rsidRPr="0020160B">
        <w:rPr>
          <w:rFonts w:cs="Arial"/>
        </w:rPr>
        <w:t>entering into</w:t>
      </w:r>
      <w:proofErr w:type="gramEnd"/>
      <w:r w:rsidRPr="0020160B">
        <w:rPr>
          <w:rFonts w:cs="Arial"/>
        </w:rPr>
        <w:t xml:space="preserve"> separate contracts with several specialist suppliers or contractors. Instead of relying on one main contractor, the client directly manages distinct work packages such as civil works, mechanical systems, electrical systems, IT infrastructure, or landscaping. This approach is suitable when the project can be clearly divided into packages and when specialist expertise is needed in different technical domains (Kerzner, 2022).</w:t>
      </w:r>
    </w:p>
    <w:p w14:paraId="173C8332" w14:textId="77777777" w:rsidR="0020160B" w:rsidRPr="0020160B" w:rsidRDefault="0020160B" w:rsidP="0020160B">
      <w:pPr>
        <w:spacing w:line="360" w:lineRule="auto"/>
        <w:rPr>
          <w:rFonts w:cs="Arial"/>
        </w:rPr>
      </w:pPr>
      <w:r w:rsidRPr="0020160B">
        <w:rPr>
          <w:rFonts w:cs="Arial"/>
        </w:rPr>
        <w:t xml:space="preserve">Its chief advantage is flexibility. The client can choose the best specialist for each package, compare competitive bids more effectively, and avoid paying a premium for one large general contractor to coordinate everything. </w:t>
      </w:r>
      <w:proofErr w:type="spellStart"/>
      <w:r w:rsidRPr="0020160B">
        <w:rPr>
          <w:rFonts w:cs="Arial"/>
        </w:rPr>
        <w:t>Multicontracting</w:t>
      </w:r>
      <w:proofErr w:type="spellEnd"/>
      <w:r w:rsidRPr="0020160B">
        <w:rPr>
          <w:rFonts w:cs="Arial"/>
        </w:rPr>
        <w:t xml:space="preserve"> can also improve transparency over individual package costs and may create opportunities for innovation, because each specialist contractor can focus on its own scope. On complex or technically diverse projects, this can improve quality and technical fit.</w:t>
      </w:r>
    </w:p>
    <w:p w14:paraId="0781C56C" w14:textId="77777777" w:rsidR="0020160B" w:rsidRPr="0020160B" w:rsidRDefault="0020160B" w:rsidP="0020160B">
      <w:pPr>
        <w:spacing w:line="360" w:lineRule="auto"/>
        <w:rPr>
          <w:rFonts w:cs="Arial"/>
        </w:rPr>
      </w:pPr>
      <w:r w:rsidRPr="0020160B">
        <w:rPr>
          <w:rFonts w:cs="Arial"/>
        </w:rPr>
        <w:t xml:space="preserve">The disadvantages are mainly managerial. The client must coordinate interfaces between multiple contractors, which increases administration and integration risk. If one package is delayed, it can affect several others, and disputes may arise over responsibility when work boundaries overlap. The client also needs strong internal project management capability to manage procurement, communication, and schedule integration. In effect, </w:t>
      </w:r>
      <w:proofErr w:type="spellStart"/>
      <w:r w:rsidRPr="0020160B">
        <w:rPr>
          <w:rFonts w:cs="Arial"/>
        </w:rPr>
        <w:t>multicontracting</w:t>
      </w:r>
      <w:proofErr w:type="spellEnd"/>
      <w:r w:rsidRPr="0020160B">
        <w:rPr>
          <w:rFonts w:cs="Arial"/>
        </w:rPr>
        <w:t xml:space="preserve"> shifts the coordination burden from the contractor to the client.</w:t>
      </w:r>
    </w:p>
    <w:p w14:paraId="187F72D0" w14:textId="77777777" w:rsidR="0020160B" w:rsidRPr="0020160B" w:rsidRDefault="0020160B" w:rsidP="0020160B">
      <w:pPr>
        <w:spacing w:line="360" w:lineRule="auto"/>
        <w:rPr>
          <w:rFonts w:cs="Arial"/>
        </w:rPr>
      </w:pPr>
      <w:r w:rsidRPr="0020160B">
        <w:rPr>
          <w:rFonts w:cs="Arial"/>
        </w:rPr>
        <w:t>This approach is often appropriate for public-sector or institutional projects where procurement rules require transparency and where the client has capable procurement and project controls teams. For example, a university campus upgrade might use separate contracts for building works, ICT, furniture, and specialist laboratory systems. In such a case, the project benefits from specialist sourcing, but only if coordination is actively managed.</w:t>
      </w:r>
    </w:p>
    <w:p w14:paraId="6C646057" w14:textId="77777777" w:rsidR="0020160B" w:rsidRPr="0020160B" w:rsidRDefault="0020160B" w:rsidP="0020160B">
      <w:pPr>
        <w:pStyle w:val="Heading1"/>
        <w:spacing w:line="360" w:lineRule="auto"/>
        <w:rPr>
          <w:rFonts w:ascii="Arial" w:hAnsi="Arial" w:cs="Arial"/>
        </w:rPr>
      </w:pPr>
      <w:bookmarkStart w:id="4" w:name="_Toc235627543"/>
      <w:r w:rsidRPr="0020160B">
        <w:rPr>
          <w:rFonts w:ascii="Arial" w:hAnsi="Arial" w:cs="Arial"/>
        </w:rPr>
        <w:t>DIY contracting</w:t>
      </w:r>
      <w:bookmarkEnd w:id="4"/>
    </w:p>
    <w:p w14:paraId="61D0CE15" w14:textId="77777777" w:rsidR="0020160B" w:rsidRPr="0020160B" w:rsidRDefault="0020160B" w:rsidP="0020160B">
      <w:pPr>
        <w:spacing w:line="360" w:lineRule="auto"/>
        <w:rPr>
          <w:rFonts w:cs="Arial"/>
        </w:rPr>
      </w:pPr>
      <w:r w:rsidRPr="0020160B">
        <w:rPr>
          <w:rFonts w:cs="Arial"/>
        </w:rPr>
        <w:t xml:space="preserve">DIY contracting means the client performs most or </w:t>
      </w:r>
      <w:proofErr w:type="gramStart"/>
      <w:r w:rsidRPr="0020160B">
        <w:rPr>
          <w:rFonts w:cs="Arial"/>
        </w:rPr>
        <w:t>all of</w:t>
      </w:r>
      <w:proofErr w:type="gramEnd"/>
      <w:r w:rsidRPr="0020160B">
        <w:rPr>
          <w:rFonts w:cs="Arial"/>
        </w:rPr>
        <w:t xml:space="preserve"> the project work using internal resources rather than outsourcing to external contractors. In this model, the client retains direct control over planning, design, procurement, execution, and monitoring. It is often chosen when the organisation already has the capability, labour force, and equipment needed to deliver the project, or when the work is small enough that external contracting would be inefficient.</w:t>
      </w:r>
    </w:p>
    <w:p w14:paraId="227EEBCC" w14:textId="77777777" w:rsidR="0020160B" w:rsidRPr="0020160B" w:rsidRDefault="0020160B" w:rsidP="0020160B">
      <w:pPr>
        <w:spacing w:line="360" w:lineRule="auto"/>
        <w:rPr>
          <w:rFonts w:cs="Arial"/>
        </w:rPr>
      </w:pPr>
      <w:r w:rsidRPr="0020160B">
        <w:rPr>
          <w:rFonts w:cs="Arial"/>
        </w:rPr>
        <w:lastRenderedPageBreak/>
        <w:t>The main advantage of DIY is control. The client can make decisions quickly, adapt plans without renegotiating with third parties, and retain sensitive knowledge in-house. DIY can also reduce external contract costs and improve organisational learning, because the team develops experience that can be reused on future projects. For projects involving proprietary processes or confidential information, this may be especially valuable.</w:t>
      </w:r>
    </w:p>
    <w:p w14:paraId="7A28C7B9" w14:textId="77777777" w:rsidR="0020160B" w:rsidRPr="0020160B" w:rsidRDefault="0020160B" w:rsidP="0020160B">
      <w:pPr>
        <w:spacing w:line="360" w:lineRule="auto"/>
        <w:rPr>
          <w:rFonts w:cs="Arial"/>
        </w:rPr>
      </w:pPr>
      <w:r w:rsidRPr="0020160B">
        <w:rPr>
          <w:rFonts w:cs="Arial"/>
        </w:rPr>
        <w:t>The disadvantages are significant when the project is large or complex. Internal teams may lack specialist expertise, which can increase technical error, delay, or rework. DIY also places full risk and resource pressure on the client organisation, including staffing, supervision, and schedule management. If internal priorities change, the project may suffer from competing demands and loss of momentum. For this reason, DIY works best for small, routine, well-understood projects where the organisation already has relevant capability and capacity.</w:t>
      </w:r>
    </w:p>
    <w:p w14:paraId="09830384" w14:textId="77777777" w:rsidR="0020160B" w:rsidRPr="0020160B" w:rsidRDefault="0020160B" w:rsidP="0020160B">
      <w:pPr>
        <w:spacing w:line="360" w:lineRule="auto"/>
        <w:rPr>
          <w:rFonts w:cs="Arial"/>
        </w:rPr>
      </w:pPr>
      <w:r w:rsidRPr="0020160B">
        <w:rPr>
          <w:rFonts w:cs="Arial"/>
        </w:rPr>
        <w:t>A simple example is an internal office refurbishment managed by an in-house estates team. The work may be limited enough that the organisation can perform most tasks itself, but this would become much less suitable for a large digital transformation or infrastructure build.</w:t>
      </w:r>
    </w:p>
    <w:p w14:paraId="022A8373" w14:textId="77777777" w:rsidR="0020160B" w:rsidRPr="0020160B" w:rsidRDefault="0020160B" w:rsidP="0020160B">
      <w:pPr>
        <w:pStyle w:val="Heading1"/>
        <w:spacing w:line="360" w:lineRule="auto"/>
        <w:rPr>
          <w:rFonts w:ascii="Arial" w:hAnsi="Arial" w:cs="Arial"/>
        </w:rPr>
      </w:pPr>
      <w:bookmarkStart w:id="5" w:name="_Toc235627544"/>
      <w:proofErr w:type="spellStart"/>
      <w:r w:rsidRPr="0020160B">
        <w:rPr>
          <w:rFonts w:ascii="Arial" w:hAnsi="Arial" w:cs="Arial"/>
        </w:rPr>
        <w:t>Multicontract</w:t>
      </w:r>
      <w:proofErr w:type="spellEnd"/>
      <w:r w:rsidRPr="0020160B">
        <w:rPr>
          <w:rFonts w:ascii="Arial" w:hAnsi="Arial" w:cs="Arial"/>
        </w:rPr>
        <w:t xml:space="preserve"> + DIY contracting</w:t>
      </w:r>
      <w:bookmarkEnd w:id="5"/>
    </w:p>
    <w:p w14:paraId="34017180" w14:textId="77777777" w:rsidR="0020160B" w:rsidRPr="0020160B" w:rsidRDefault="0020160B" w:rsidP="0020160B">
      <w:pPr>
        <w:spacing w:line="360" w:lineRule="auto"/>
        <w:rPr>
          <w:rFonts w:cs="Arial"/>
        </w:rPr>
      </w:pPr>
      <w:proofErr w:type="spellStart"/>
      <w:r w:rsidRPr="0020160B">
        <w:rPr>
          <w:rFonts w:cs="Arial"/>
        </w:rPr>
        <w:t>Multicontract</w:t>
      </w:r>
      <w:proofErr w:type="spellEnd"/>
      <w:r w:rsidRPr="0020160B">
        <w:rPr>
          <w:rFonts w:cs="Arial"/>
        </w:rPr>
        <w:t xml:space="preserve"> + DIY is a hybrid method in which the client performs some work internally while also outsourcing selected specialist packages to external contractors. This arrangement is often used when the client wants to retain control over core elements of the project but lacks capacity or expertise for all components. It is particularly useful where some tasks are strategic or confidential, while others are routine or highly specialised.</w:t>
      </w:r>
    </w:p>
    <w:p w14:paraId="366C011D" w14:textId="77777777" w:rsidR="0020160B" w:rsidRPr="0020160B" w:rsidRDefault="0020160B" w:rsidP="0020160B">
      <w:pPr>
        <w:spacing w:line="360" w:lineRule="auto"/>
        <w:rPr>
          <w:rFonts w:cs="Arial"/>
        </w:rPr>
      </w:pPr>
      <w:r w:rsidRPr="0020160B">
        <w:rPr>
          <w:rFonts w:cs="Arial"/>
        </w:rPr>
        <w:t>The main advantage is balance. The client can keep strategic control over sensitive work while outsourcing specialist or capacity-heavy activities. This can reduce cost compared with fully outsourced delivery and still provide access to external expertise where needed. The hybrid approach can also support organisational learning, because internal staff work alongside external specialists and can absorb knowledge through collaboration. When managed well, it can be a pragmatic compromise between control and flexibility.</w:t>
      </w:r>
    </w:p>
    <w:p w14:paraId="68737632" w14:textId="77777777" w:rsidR="0020160B" w:rsidRPr="0020160B" w:rsidRDefault="0020160B" w:rsidP="0020160B">
      <w:pPr>
        <w:spacing w:line="360" w:lineRule="auto"/>
        <w:rPr>
          <w:rFonts w:cs="Arial"/>
        </w:rPr>
      </w:pPr>
      <w:r w:rsidRPr="0020160B">
        <w:rPr>
          <w:rFonts w:cs="Arial"/>
        </w:rPr>
        <w:t>The disadvantages are complexity and blurred accountability. The client must manage both internal and external resources, which increases the need for careful planning, communication, and authority structures. Interfaces between in-house and outsourced work can become weak points if responsibilities are not clearly documented. The risk of overlap or duplication is also higher, particularly where scope boundaries are poorly defined. This method therefore requires strong governance, clear roles, and disciplined change control.</w:t>
      </w:r>
    </w:p>
    <w:p w14:paraId="308A5300" w14:textId="77777777" w:rsidR="0020160B" w:rsidRPr="0020160B" w:rsidRDefault="0020160B" w:rsidP="0020160B">
      <w:pPr>
        <w:spacing w:line="360" w:lineRule="auto"/>
        <w:rPr>
          <w:rFonts w:cs="Arial"/>
        </w:rPr>
      </w:pPr>
      <w:r w:rsidRPr="0020160B">
        <w:rPr>
          <w:rFonts w:cs="Arial"/>
        </w:rPr>
        <w:lastRenderedPageBreak/>
        <w:t>A suitable example would be an ERP implementation where the client’s internal IT team handles user support, data preparation, and business process mapping, while external consultants deliver configuration, migration, and specialist development. Here, the hybrid model is sensible because it allows the client to protect knowledge while still accessing technical expertise.</w:t>
      </w:r>
    </w:p>
    <w:p w14:paraId="459F03FC" w14:textId="77777777" w:rsidR="0020160B" w:rsidRPr="0020160B" w:rsidRDefault="0020160B" w:rsidP="0020160B">
      <w:pPr>
        <w:pStyle w:val="Heading1"/>
        <w:spacing w:line="360" w:lineRule="auto"/>
        <w:rPr>
          <w:rFonts w:ascii="Arial" w:hAnsi="Arial" w:cs="Arial"/>
        </w:rPr>
      </w:pPr>
      <w:bookmarkStart w:id="6" w:name="_Toc235627545"/>
      <w:r w:rsidRPr="0020160B">
        <w:rPr>
          <w:rFonts w:ascii="Arial" w:hAnsi="Arial" w:cs="Arial"/>
        </w:rPr>
        <w:t>Practical project tools</w:t>
      </w:r>
      <w:bookmarkEnd w:id="6"/>
    </w:p>
    <w:p w14:paraId="0068C45A" w14:textId="77777777" w:rsidR="0020160B" w:rsidRPr="0020160B" w:rsidRDefault="0020160B" w:rsidP="0020160B">
      <w:pPr>
        <w:spacing w:line="360" w:lineRule="auto"/>
        <w:rPr>
          <w:rFonts w:cs="Arial"/>
        </w:rPr>
      </w:pPr>
      <w:r w:rsidRPr="0020160B">
        <w:rPr>
          <w:rFonts w:cs="Arial"/>
        </w:rPr>
        <w:t xml:space="preserve">Contracting choices should be supported by core planning tools. A Work Breakdown Structure helps decompose the project into deliverables and work packages, making it easier to decide which tasks can be outsourced and which should remain internal (PMI, 2021). A risk register identifies contract-related risks such as delayed handovers, supplier failure, interface clashes, and scope creep, while also recording mitigation actions. These risks are particularly relevant in </w:t>
      </w:r>
      <w:proofErr w:type="spellStart"/>
      <w:r w:rsidRPr="0020160B">
        <w:rPr>
          <w:rFonts w:cs="Arial"/>
        </w:rPr>
        <w:t>multicontract</w:t>
      </w:r>
      <w:proofErr w:type="spellEnd"/>
      <w:r w:rsidRPr="0020160B">
        <w:rPr>
          <w:rFonts w:cs="Arial"/>
        </w:rPr>
        <w:t xml:space="preserve"> and hybrid approaches, where coordination risk is usually higher.</w:t>
      </w:r>
    </w:p>
    <w:p w14:paraId="4E415017" w14:textId="77777777" w:rsidR="0020160B" w:rsidRPr="0020160B" w:rsidRDefault="0020160B" w:rsidP="0020160B">
      <w:pPr>
        <w:spacing w:line="360" w:lineRule="auto"/>
        <w:rPr>
          <w:rFonts w:cs="Arial"/>
        </w:rPr>
      </w:pPr>
      <w:r w:rsidRPr="0020160B">
        <w:rPr>
          <w:rFonts w:cs="Arial"/>
        </w:rPr>
        <w:t xml:space="preserve">A stakeholder matrix clarifies who has interest, influence, and responsibility across the project. This is important because different contracting methods create different stakeholder relationships: turnkey reduces operational involvement for the client, whereas </w:t>
      </w:r>
      <w:proofErr w:type="spellStart"/>
      <w:r w:rsidRPr="0020160B">
        <w:rPr>
          <w:rFonts w:cs="Arial"/>
        </w:rPr>
        <w:t>multicontract</w:t>
      </w:r>
      <w:proofErr w:type="spellEnd"/>
      <w:r w:rsidRPr="0020160B">
        <w:rPr>
          <w:rFonts w:cs="Arial"/>
        </w:rPr>
        <w:t xml:space="preserve"> and DIY increase it. A Gantt chart then translates the work package structure into a schedule, helping the manager identify dependencies between internal and external tasks. Together, these tools create a stronger foundation for procurement decisions and contract administration.</w:t>
      </w:r>
    </w:p>
    <w:p w14:paraId="3AAA6051" w14:textId="77777777" w:rsidR="0020160B" w:rsidRDefault="0020160B" w:rsidP="0020160B">
      <w:pPr>
        <w:spacing w:line="360" w:lineRule="auto"/>
        <w:rPr>
          <w:rFonts w:cs="Arial"/>
        </w:rPr>
      </w:pPr>
      <w:r w:rsidRPr="0020160B">
        <w:rPr>
          <w:rFonts w:cs="Arial"/>
        </w:rPr>
        <w:t>For example, in a university systems upgrade, the WBS may show separate work packages for infrastructure, software, testing, data migration, and training. The risk register would flag interface and timing risks, the stakeholder matrix would show IT, academic, procurement, and supplier interests, and the Gantt chart would sequence procurement, build, and rollout activities. This integrated planning reduces the chance that the contract form will be chosen without considering delivery realities.</w:t>
      </w:r>
    </w:p>
    <w:p w14:paraId="0AFCD8F4" w14:textId="77777777" w:rsidR="0020160B" w:rsidRDefault="0020160B" w:rsidP="0020160B">
      <w:pPr>
        <w:spacing w:line="360" w:lineRule="auto"/>
        <w:rPr>
          <w:rFonts w:cs="Arial"/>
        </w:rPr>
      </w:pPr>
    </w:p>
    <w:p w14:paraId="582C7BE3" w14:textId="77777777" w:rsidR="0020160B" w:rsidRDefault="0020160B" w:rsidP="0020160B">
      <w:pPr>
        <w:spacing w:line="360" w:lineRule="auto"/>
        <w:rPr>
          <w:rFonts w:cs="Arial"/>
        </w:rPr>
      </w:pPr>
    </w:p>
    <w:p w14:paraId="3F8D10A9" w14:textId="77777777" w:rsidR="0020160B" w:rsidRDefault="0020160B" w:rsidP="0020160B">
      <w:pPr>
        <w:spacing w:line="360" w:lineRule="auto"/>
        <w:rPr>
          <w:rFonts w:cs="Arial"/>
        </w:rPr>
      </w:pPr>
    </w:p>
    <w:p w14:paraId="4AC10FF1" w14:textId="77777777" w:rsidR="0020160B" w:rsidRPr="0020160B" w:rsidRDefault="0020160B" w:rsidP="0020160B">
      <w:pPr>
        <w:spacing w:line="360" w:lineRule="auto"/>
        <w:rPr>
          <w:rFonts w:cs="Arial"/>
        </w:rPr>
      </w:pPr>
    </w:p>
    <w:p w14:paraId="353DE31C" w14:textId="77777777" w:rsidR="0020160B" w:rsidRPr="0020160B" w:rsidRDefault="0020160B" w:rsidP="0020160B">
      <w:pPr>
        <w:pStyle w:val="Heading1"/>
        <w:spacing w:line="360" w:lineRule="auto"/>
        <w:rPr>
          <w:rFonts w:ascii="Arial" w:hAnsi="Arial" w:cs="Arial"/>
        </w:rPr>
      </w:pPr>
      <w:bookmarkStart w:id="7" w:name="_Toc235627546"/>
      <w:r w:rsidRPr="0020160B">
        <w:rPr>
          <w:rFonts w:ascii="Arial" w:hAnsi="Arial" w:cs="Arial"/>
        </w:rPr>
        <w:lastRenderedPageBreak/>
        <w:t>Conclusion</w:t>
      </w:r>
      <w:bookmarkEnd w:id="7"/>
    </w:p>
    <w:p w14:paraId="223E814A" w14:textId="77777777" w:rsidR="0020160B" w:rsidRPr="0020160B" w:rsidRDefault="0020160B" w:rsidP="0020160B">
      <w:pPr>
        <w:spacing w:line="360" w:lineRule="auto"/>
        <w:rPr>
          <w:rFonts w:cs="Arial"/>
        </w:rPr>
      </w:pPr>
      <w:r w:rsidRPr="0020160B">
        <w:rPr>
          <w:rFonts w:cs="Arial"/>
        </w:rPr>
        <w:t xml:space="preserve">The four contracting methods in project management each offer a different balance of control, cost, risk, and coordination effort. Turnkey is best when the client wants a single point of responsibility and the scope is relatively clear. </w:t>
      </w:r>
      <w:proofErr w:type="spellStart"/>
      <w:r w:rsidRPr="0020160B">
        <w:rPr>
          <w:rFonts w:cs="Arial"/>
        </w:rPr>
        <w:t>Multicontract</w:t>
      </w:r>
      <w:proofErr w:type="spellEnd"/>
      <w:r w:rsidRPr="0020160B">
        <w:rPr>
          <w:rFonts w:cs="Arial"/>
        </w:rPr>
        <w:t xml:space="preserve"> is effective when specialist packages can be separated and the client has strong coordination capacity. DIY suits smaller or internal projects where the organisation already has the required skills. </w:t>
      </w:r>
      <w:proofErr w:type="spellStart"/>
      <w:r w:rsidRPr="0020160B">
        <w:rPr>
          <w:rFonts w:cs="Arial"/>
        </w:rPr>
        <w:t>Multicontract</w:t>
      </w:r>
      <w:proofErr w:type="spellEnd"/>
      <w:r w:rsidRPr="0020160B">
        <w:rPr>
          <w:rFonts w:cs="Arial"/>
        </w:rPr>
        <w:t xml:space="preserve"> + DIY is a flexible hybrid that can work well when some elements should remain internal while others are outsourced.</w:t>
      </w:r>
    </w:p>
    <w:p w14:paraId="52F2BEBC" w14:textId="77777777" w:rsidR="0020160B" w:rsidRDefault="0020160B" w:rsidP="0020160B">
      <w:pPr>
        <w:spacing w:line="360" w:lineRule="auto"/>
        <w:rPr>
          <w:rFonts w:cs="Arial"/>
        </w:rPr>
      </w:pPr>
      <w:r w:rsidRPr="0020160B">
        <w:rPr>
          <w:rFonts w:cs="Arial"/>
        </w:rPr>
        <w:t>Overall, the best contracting method depends on the project’s complexity, uncertainty, stakeholder environment, and the client’s internal capability. Contract choice should therefore be made through structured analysis rather than habit or convenience. When combined with tools such as the WBS, risk register, stakeholder matrix, and Gantt chart, the selected method can support better governance, clearer accountability, and more successful project outcomes.</w:t>
      </w:r>
    </w:p>
    <w:p w14:paraId="62ECFAA8" w14:textId="77777777" w:rsidR="0020160B" w:rsidRDefault="0020160B" w:rsidP="0020160B">
      <w:pPr>
        <w:spacing w:line="360" w:lineRule="auto"/>
        <w:rPr>
          <w:rFonts w:cs="Arial"/>
        </w:rPr>
      </w:pPr>
    </w:p>
    <w:p w14:paraId="08E976B2" w14:textId="77777777" w:rsidR="0020160B" w:rsidRDefault="0020160B" w:rsidP="0020160B">
      <w:pPr>
        <w:spacing w:line="360" w:lineRule="auto"/>
        <w:rPr>
          <w:rFonts w:cs="Arial"/>
        </w:rPr>
      </w:pPr>
    </w:p>
    <w:p w14:paraId="3F0D9244" w14:textId="77777777" w:rsidR="0020160B" w:rsidRDefault="0020160B" w:rsidP="0020160B">
      <w:pPr>
        <w:spacing w:line="360" w:lineRule="auto"/>
        <w:rPr>
          <w:rFonts w:cs="Arial"/>
        </w:rPr>
      </w:pPr>
    </w:p>
    <w:p w14:paraId="68F307A0" w14:textId="77777777" w:rsidR="0020160B" w:rsidRDefault="0020160B" w:rsidP="0020160B">
      <w:pPr>
        <w:spacing w:line="360" w:lineRule="auto"/>
        <w:rPr>
          <w:rFonts w:cs="Arial"/>
        </w:rPr>
      </w:pPr>
    </w:p>
    <w:p w14:paraId="0F7CEC56" w14:textId="77777777" w:rsidR="0020160B" w:rsidRDefault="0020160B" w:rsidP="0020160B">
      <w:pPr>
        <w:spacing w:line="360" w:lineRule="auto"/>
        <w:rPr>
          <w:rFonts w:cs="Arial"/>
        </w:rPr>
      </w:pPr>
    </w:p>
    <w:p w14:paraId="5810CA10" w14:textId="77777777" w:rsidR="0020160B" w:rsidRDefault="0020160B" w:rsidP="0020160B">
      <w:pPr>
        <w:spacing w:line="360" w:lineRule="auto"/>
        <w:rPr>
          <w:rFonts w:cs="Arial"/>
        </w:rPr>
      </w:pPr>
    </w:p>
    <w:p w14:paraId="2B87C6CA" w14:textId="77777777" w:rsidR="0020160B" w:rsidRDefault="0020160B" w:rsidP="0020160B">
      <w:pPr>
        <w:spacing w:line="360" w:lineRule="auto"/>
        <w:rPr>
          <w:rFonts w:cs="Arial"/>
        </w:rPr>
      </w:pPr>
    </w:p>
    <w:p w14:paraId="4003F4CA" w14:textId="77777777" w:rsidR="0020160B" w:rsidRDefault="0020160B" w:rsidP="0020160B">
      <w:pPr>
        <w:spacing w:line="360" w:lineRule="auto"/>
        <w:rPr>
          <w:rFonts w:cs="Arial"/>
        </w:rPr>
      </w:pPr>
    </w:p>
    <w:p w14:paraId="0AD4E197" w14:textId="77777777" w:rsidR="0020160B" w:rsidRDefault="0020160B" w:rsidP="0020160B">
      <w:pPr>
        <w:spacing w:line="360" w:lineRule="auto"/>
        <w:rPr>
          <w:rFonts w:cs="Arial"/>
        </w:rPr>
      </w:pPr>
    </w:p>
    <w:p w14:paraId="29E6B461" w14:textId="77777777" w:rsidR="0020160B" w:rsidRDefault="0020160B" w:rsidP="0020160B">
      <w:pPr>
        <w:spacing w:line="360" w:lineRule="auto"/>
        <w:rPr>
          <w:rFonts w:cs="Arial"/>
        </w:rPr>
      </w:pPr>
    </w:p>
    <w:p w14:paraId="28464432" w14:textId="77777777" w:rsidR="0020160B" w:rsidRDefault="0020160B" w:rsidP="0020160B">
      <w:pPr>
        <w:spacing w:line="360" w:lineRule="auto"/>
        <w:rPr>
          <w:rFonts w:cs="Arial"/>
        </w:rPr>
      </w:pPr>
    </w:p>
    <w:p w14:paraId="2EC9B11A" w14:textId="77777777" w:rsidR="0020160B" w:rsidRDefault="0020160B" w:rsidP="0020160B">
      <w:pPr>
        <w:spacing w:line="360" w:lineRule="auto"/>
        <w:rPr>
          <w:rFonts w:cs="Arial"/>
        </w:rPr>
      </w:pPr>
    </w:p>
    <w:p w14:paraId="7C48C2CE" w14:textId="77777777" w:rsidR="0020160B" w:rsidRDefault="0020160B" w:rsidP="0020160B">
      <w:pPr>
        <w:spacing w:line="360" w:lineRule="auto"/>
        <w:rPr>
          <w:rFonts w:cs="Arial"/>
        </w:rPr>
      </w:pPr>
    </w:p>
    <w:p w14:paraId="29B8D05C" w14:textId="77777777" w:rsidR="0020160B" w:rsidRPr="0020160B" w:rsidRDefault="0020160B" w:rsidP="0020160B">
      <w:pPr>
        <w:spacing w:line="360" w:lineRule="auto"/>
        <w:rPr>
          <w:rFonts w:cs="Arial"/>
        </w:rPr>
      </w:pPr>
    </w:p>
    <w:p w14:paraId="458C1DBE" w14:textId="7ADF872C" w:rsidR="0020160B" w:rsidRPr="0020160B" w:rsidRDefault="0020160B" w:rsidP="0020160B">
      <w:pPr>
        <w:pStyle w:val="Heading1"/>
        <w:spacing w:line="360" w:lineRule="auto"/>
        <w:rPr>
          <w:rFonts w:ascii="Arial" w:hAnsi="Arial" w:cs="Arial"/>
        </w:rPr>
      </w:pPr>
      <w:bookmarkStart w:id="8" w:name="_Toc235627547"/>
      <w:r w:rsidRPr="0020160B">
        <w:rPr>
          <w:rFonts w:ascii="Arial" w:hAnsi="Arial" w:cs="Arial"/>
        </w:rPr>
        <w:lastRenderedPageBreak/>
        <w:t>Reference</w:t>
      </w:r>
      <w:bookmarkEnd w:id="8"/>
      <w:r w:rsidRPr="0020160B">
        <w:rPr>
          <w:rFonts w:ascii="Arial" w:hAnsi="Arial" w:cs="Arial"/>
        </w:rPr>
        <w:t xml:space="preserve"> </w:t>
      </w:r>
    </w:p>
    <w:p w14:paraId="2B5DEDFF" w14:textId="77777777" w:rsidR="0020160B" w:rsidRPr="0020160B" w:rsidRDefault="0020160B" w:rsidP="0020160B">
      <w:pPr>
        <w:spacing w:line="360" w:lineRule="auto"/>
        <w:rPr>
          <w:rFonts w:cs="Arial"/>
        </w:rPr>
      </w:pPr>
      <w:r w:rsidRPr="0020160B">
        <w:rPr>
          <w:rFonts w:cs="Arial"/>
        </w:rPr>
        <w:t xml:space="preserve">Baccarini, D. (1996) ‘The concept of project complexity: a review’, </w:t>
      </w:r>
      <w:r w:rsidRPr="0020160B">
        <w:rPr>
          <w:rFonts w:cs="Arial"/>
          <w:i/>
          <w:iCs/>
        </w:rPr>
        <w:t>International Journal of Project Management</w:t>
      </w:r>
      <w:r w:rsidRPr="0020160B">
        <w:rPr>
          <w:rFonts w:cs="Arial"/>
        </w:rPr>
        <w:t>, 14(4), pp. 201–204.</w:t>
      </w:r>
    </w:p>
    <w:p w14:paraId="4D801FA9" w14:textId="77777777" w:rsidR="0020160B" w:rsidRPr="0020160B" w:rsidRDefault="0020160B" w:rsidP="0020160B">
      <w:pPr>
        <w:spacing w:line="360" w:lineRule="auto"/>
        <w:rPr>
          <w:rFonts w:cs="Arial"/>
        </w:rPr>
      </w:pPr>
      <w:r w:rsidRPr="0020160B">
        <w:rPr>
          <w:rFonts w:cs="Arial"/>
        </w:rPr>
        <w:t xml:space="preserve">Kerzner, H. (2022) </w:t>
      </w:r>
      <w:r w:rsidRPr="0020160B">
        <w:rPr>
          <w:rFonts w:cs="Arial"/>
          <w:i/>
          <w:iCs/>
        </w:rPr>
        <w:t>Project Management: A Systems Approach to Planning, Scheduling, and Controlling</w:t>
      </w:r>
      <w:r w:rsidRPr="0020160B">
        <w:rPr>
          <w:rFonts w:cs="Arial"/>
        </w:rPr>
        <w:t xml:space="preserve">. 13th </w:t>
      </w:r>
      <w:proofErr w:type="spellStart"/>
      <w:r w:rsidRPr="0020160B">
        <w:rPr>
          <w:rFonts w:cs="Arial"/>
        </w:rPr>
        <w:t>edn</w:t>
      </w:r>
      <w:proofErr w:type="spellEnd"/>
      <w:r w:rsidRPr="0020160B">
        <w:rPr>
          <w:rFonts w:cs="Arial"/>
        </w:rPr>
        <w:t>. Hoboken: Wiley.</w:t>
      </w:r>
    </w:p>
    <w:p w14:paraId="474B6FEF" w14:textId="77777777" w:rsidR="0020160B" w:rsidRPr="0020160B" w:rsidRDefault="0020160B" w:rsidP="0020160B">
      <w:pPr>
        <w:spacing w:line="360" w:lineRule="auto"/>
        <w:rPr>
          <w:rFonts w:cs="Arial"/>
        </w:rPr>
      </w:pPr>
      <w:r w:rsidRPr="0020160B">
        <w:rPr>
          <w:rFonts w:cs="Arial"/>
        </w:rPr>
        <w:t xml:space="preserve">Masterman, J.W.E. (2002) </w:t>
      </w:r>
      <w:r w:rsidRPr="0020160B">
        <w:rPr>
          <w:rFonts w:cs="Arial"/>
          <w:i/>
          <w:iCs/>
        </w:rPr>
        <w:t>An Introduction to Building Procurement Systems</w:t>
      </w:r>
      <w:r w:rsidRPr="0020160B">
        <w:rPr>
          <w:rFonts w:cs="Arial"/>
        </w:rPr>
        <w:t xml:space="preserve">. 2nd </w:t>
      </w:r>
      <w:proofErr w:type="spellStart"/>
      <w:r w:rsidRPr="0020160B">
        <w:rPr>
          <w:rFonts w:cs="Arial"/>
        </w:rPr>
        <w:t>edn</w:t>
      </w:r>
      <w:proofErr w:type="spellEnd"/>
      <w:r w:rsidRPr="0020160B">
        <w:rPr>
          <w:rFonts w:cs="Arial"/>
        </w:rPr>
        <w:t>. Oxford: Routledge.</w:t>
      </w:r>
    </w:p>
    <w:p w14:paraId="3411FFFD" w14:textId="77777777" w:rsidR="0020160B" w:rsidRPr="0020160B" w:rsidRDefault="0020160B" w:rsidP="0020160B">
      <w:pPr>
        <w:spacing w:line="360" w:lineRule="auto"/>
        <w:rPr>
          <w:rFonts w:cs="Arial"/>
        </w:rPr>
      </w:pPr>
      <w:r w:rsidRPr="0020160B">
        <w:rPr>
          <w:rFonts w:cs="Arial"/>
        </w:rPr>
        <w:t xml:space="preserve">Meredith, J.R., Shafer, S.M. and Mantel, S.J. (2017) </w:t>
      </w:r>
      <w:r w:rsidRPr="0020160B">
        <w:rPr>
          <w:rFonts w:cs="Arial"/>
          <w:i/>
          <w:iCs/>
        </w:rPr>
        <w:t>Project Management: A Managerial Approach</w:t>
      </w:r>
      <w:r w:rsidRPr="0020160B">
        <w:rPr>
          <w:rFonts w:cs="Arial"/>
        </w:rPr>
        <w:t xml:space="preserve">. 10th </w:t>
      </w:r>
      <w:proofErr w:type="spellStart"/>
      <w:r w:rsidRPr="0020160B">
        <w:rPr>
          <w:rFonts w:cs="Arial"/>
        </w:rPr>
        <w:t>edn</w:t>
      </w:r>
      <w:proofErr w:type="spellEnd"/>
      <w:r w:rsidRPr="0020160B">
        <w:rPr>
          <w:rFonts w:cs="Arial"/>
        </w:rPr>
        <w:t>. Hoboken: Wiley.</w:t>
      </w:r>
    </w:p>
    <w:p w14:paraId="3196506C" w14:textId="77777777" w:rsidR="0020160B" w:rsidRPr="0020160B" w:rsidRDefault="0020160B" w:rsidP="0020160B">
      <w:pPr>
        <w:spacing w:line="360" w:lineRule="auto"/>
        <w:rPr>
          <w:rFonts w:cs="Arial"/>
        </w:rPr>
      </w:pPr>
      <w:r w:rsidRPr="0020160B">
        <w:rPr>
          <w:rFonts w:cs="Arial"/>
        </w:rPr>
        <w:t xml:space="preserve">PMI (2021) </w:t>
      </w:r>
      <w:r w:rsidRPr="0020160B">
        <w:rPr>
          <w:rFonts w:cs="Arial"/>
          <w:i/>
          <w:iCs/>
        </w:rPr>
        <w:t>A Guide to the Project Management Body of Knowledge (PMBOK Guide)</w:t>
      </w:r>
      <w:r w:rsidRPr="0020160B">
        <w:rPr>
          <w:rFonts w:cs="Arial"/>
        </w:rPr>
        <w:t xml:space="preserve">. 7th </w:t>
      </w:r>
      <w:proofErr w:type="spellStart"/>
      <w:r w:rsidRPr="0020160B">
        <w:rPr>
          <w:rFonts w:cs="Arial"/>
        </w:rPr>
        <w:t>edn</w:t>
      </w:r>
      <w:proofErr w:type="spellEnd"/>
      <w:r w:rsidRPr="0020160B">
        <w:rPr>
          <w:rFonts w:cs="Arial"/>
        </w:rPr>
        <w:t>. Newtown Square, PA: Project Management Institute.</w:t>
      </w:r>
    </w:p>
    <w:p w14:paraId="6E980BF5" w14:textId="77777777" w:rsidR="0020160B" w:rsidRPr="0020160B" w:rsidRDefault="0020160B" w:rsidP="0020160B">
      <w:pPr>
        <w:spacing w:line="360" w:lineRule="auto"/>
        <w:rPr>
          <w:rFonts w:cs="Arial"/>
        </w:rPr>
      </w:pPr>
      <w:r w:rsidRPr="0020160B">
        <w:rPr>
          <w:rFonts w:cs="Arial"/>
        </w:rPr>
        <w:t xml:space="preserve">Turner, J.R. (2014) </w:t>
      </w:r>
      <w:r w:rsidRPr="0020160B">
        <w:rPr>
          <w:rFonts w:cs="Arial"/>
          <w:i/>
          <w:iCs/>
        </w:rPr>
        <w:t>Handbook of Project-Based Management: Leading Strategic Change in Organizations</w:t>
      </w:r>
      <w:r w:rsidRPr="0020160B">
        <w:rPr>
          <w:rFonts w:cs="Arial"/>
        </w:rPr>
        <w:t xml:space="preserve">. 4th </w:t>
      </w:r>
      <w:proofErr w:type="spellStart"/>
      <w:r w:rsidRPr="0020160B">
        <w:rPr>
          <w:rFonts w:cs="Arial"/>
        </w:rPr>
        <w:t>edn</w:t>
      </w:r>
      <w:proofErr w:type="spellEnd"/>
      <w:r w:rsidRPr="0020160B">
        <w:rPr>
          <w:rFonts w:cs="Arial"/>
        </w:rPr>
        <w:t>. New York: McGraw-Hill Education.</w:t>
      </w:r>
    </w:p>
    <w:p w14:paraId="5A0FB634" w14:textId="77777777" w:rsidR="0020160B" w:rsidRPr="0020160B" w:rsidRDefault="0020160B" w:rsidP="0020160B">
      <w:pPr>
        <w:spacing w:line="360" w:lineRule="auto"/>
        <w:rPr>
          <w:rFonts w:cs="Arial"/>
        </w:rPr>
      </w:pPr>
      <w:r w:rsidRPr="0020160B">
        <w:rPr>
          <w:rFonts w:cs="Arial"/>
        </w:rPr>
        <w:t xml:space="preserve">Walker, D.H.T. and Smyth, H. (2016) </w:t>
      </w:r>
      <w:r w:rsidRPr="0020160B">
        <w:rPr>
          <w:rFonts w:cs="Arial"/>
          <w:i/>
          <w:iCs/>
        </w:rPr>
        <w:t>Procurement Strategies in Construction</w:t>
      </w:r>
      <w:r w:rsidRPr="0020160B">
        <w:rPr>
          <w:rFonts w:cs="Arial"/>
        </w:rPr>
        <w:t xml:space="preserve">. 2nd </w:t>
      </w:r>
      <w:proofErr w:type="spellStart"/>
      <w:r w:rsidRPr="0020160B">
        <w:rPr>
          <w:rFonts w:cs="Arial"/>
        </w:rPr>
        <w:t>edn</w:t>
      </w:r>
      <w:proofErr w:type="spellEnd"/>
      <w:r w:rsidRPr="0020160B">
        <w:rPr>
          <w:rFonts w:cs="Arial"/>
        </w:rPr>
        <w:t>. Chichester: Wiley-Blackwell.</w:t>
      </w:r>
    </w:p>
    <w:p w14:paraId="27CDE101" w14:textId="77777777" w:rsidR="0020160B" w:rsidRPr="0020160B" w:rsidRDefault="0020160B" w:rsidP="0020160B">
      <w:pPr>
        <w:spacing w:line="360" w:lineRule="auto"/>
        <w:rPr>
          <w:rFonts w:cs="Arial"/>
        </w:rPr>
      </w:pPr>
      <w:r w:rsidRPr="0020160B">
        <w:rPr>
          <w:rFonts w:cs="Arial"/>
        </w:rPr>
        <w:t xml:space="preserve">Winch, G.M. (2010) </w:t>
      </w:r>
      <w:r w:rsidRPr="0020160B">
        <w:rPr>
          <w:rFonts w:cs="Arial"/>
          <w:i/>
          <w:iCs/>
        </w:rPr>
        <w:t>Managing Construction Projects</w:t>
      </w:r>
      <w:r w:rsidRPr="0020160B">
        <w:rPr>
          <w:rFonts w:cs="Arial"/>
        </w:rPr>
        <w:t xml:space="preserve">. 2nd </w:t>
      </w:r>
      <w:proofErr w:type="spellStart"/>
      <w:r w:rsidRPr="0020160B">
        <w:rPr>
          <w:rFonts w:cs="Arial"/>
        </w:rPr>
        <w:t>edn</w:t>
      </w:r>
      <w:proofErr w:type="spellEnd"/>
      <w:r w:rsidRPr="0020160B">
        <w:rPr>
          <w:rFonts w:cs="Arial"/>
        </w:rPr>
        <w:t>. Oxford: Wiley-Blackwell.</w:t>
      </w:r>
    </w:p>
    <w:p w14:paraId="203D9D5C" w14:textId="77777777" w:rsidR="0020160B" w:rsidRPr="0020160B" w:rsidRDefault="0020160B" w:rsidP="0020160B">
      <w:pPr>
        <w:spacing w:line="360" w:lineRule="auto"/>
        <w:rPr>
          <w:rFonts w:cs="Arial"/>
        </w:rPr>
      </w:pPr>
      <w:r w:rsidRPr="0020160B">
        <w:rPr>
          <w:rFonts w:cs="Arial"/>
        </w:rPr>
        <w:t xml:space="preserve">Lock, D. (2020) </w:t>
      </w:r>
      <w:r w:rsidRPr="0020160B">
        <w:rPr>
          <w:rFonts w:cs="Arial"/>
          <w:i/>
          <w:iCs/>
        </w:rPr>
        <w:t>Project Management</w:t>
      </w:r>
      <w:r w:rsidRPr="0020160B">
        <w:rPr>
          <w:rFonts w:cs="Arial"/>
        </w:rPr>
        <w:t xml:space="preserve">. 11th </w:t>
      </w:r>
      <w:proofErr w:type="spellStart"/>
      <w:r w:rsidRPr="0020160B">
        <w:rPr>
          <w:rFonts w:cs="Arial"/>
        </w:rPr>
        <w:t>edn</w:t>
      </w:r>
      <w:proofErr w:type="spellEnd"/>
      <w:r w:rsidRPr="0020160B">
        <w:rPr>
          <w:rFonts w:cs="Arial"/>
        </w:rPr>
        <w:t>. Farnham: Gower.</w:t>
      </w:r>
    </w:p>
    <w:p w14:paraId="76CA9C86" w14:textId="77777777" w:rsidR="0020160B" w:rsidRPr="0020160B" w:rsidRDefault="0020160B" w:rsidP="0020160B">
      <w:pPr>
        <w:spacing w:line="360" w:lineRule="auto"/>
        <w:rPr>
          <w:rFonts w:cs="Arial"/>
        </w:rPr>
      </w:pPr>
      <w:r w:rsidRPr="0020160B">
        <w:rPr>
          <w:rFonts w:cs="Arial"/>
        </w:rPr>
        <w:t xml:space="preserve">Pinto, J.K. (2019) </w:t>
      </w:r>
      <w:r w:rsidRPr="0020160B">
        <w:rPr>
          <w:rFonts w:cs="Arial"/>
          <w:i/>
          <w:iCs/>
        </w:rPr>
        <w:t>Project Management: Achieving Competitive Advantage</w:t>
      </w:r>
      <w:r w:rsidRPr="0020160B">
        <w:rPr>
          <w:rFonts w:cs="Arial"/>
        </w:rPr>
        <w:t xml:space="preserve">. 4th </w:t>
      </w:r>
      <w:proofErr w:type="spellStart"/>
      <w:r w:rsidRPr="0020160B">
        <w:rPr>
          <w:rFonts w:cs="Arial"/>
        </w:rPr>
        <w:t>edn</w:t>
      </w:r>
      <w:proofErr w:type="spellEnd"/>
      <w:r w:rsidRPr="0020160B">
        <w:rPr>
          <w:rFonts w:cs="Arial"/>
        </w:rPr>
        <w:t>. Harlow: Pearson.</w:t>
      </w:r>
    </w:p>
    <w:p w14:paraId="455D5CD7" w14:textId="77777777" w:rsidR="0020160B" w:rsidRPr="0020160B" w:rsidRDefault="0020160B" w:rsidP="0020160B">
      <w:pPr>
        <w:spacing w:line="360" w:lineRule="auto"/>
        <w:rPr>
          <w:rFonts w:cs="Arial"/>
        </w:rPr>
      </w:pPr>
    </w:p>
    <w:sectPr w:rsidR="0020160B" w:rsidRPr="0020160B" w:rsidSect="00A150B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9B262" w14:textId="77777777" w:rsidR="00197048" w:rsidRPr="00835089" w:rsidRDefault="00197048" w:rsidP="00CD1240">
      <w:pPr>
        <w:spacing w:after="0" w:line="240" w:lineRule="auto"/>
      </w:pPr>
      <w:r w:rsidRPr="00835089">
        <w:separator/>
      </w:r>
    </w:p>
  </w:endnote>
  <w:endnote w:type="continuationSeparator" w:id="0">
    <w:p w14:paraId="739C407A" w14:textId="77777777" w:rsidR="00197048" w:rsidRPr="00835089" w:rsidRDefault="00197048" w:rsidP="00CD1240">
      <w:pPr>
        <w:spacing w:after="0" w:line="240" w:lineRule="auto"/>
      </w:pPr>
      <w:r w:rsidRPr="008350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8213469"/>
      <w:docPartObj>
        <w:docPartGallery w:val="Page Numbers (Bottom of Page)"/>
        <w:docPartUnique/>
      </w:docPartObj>
    </w:sdtPr>
    <w:sdtContent>
      <w:p w14:paraId="3337DCF9" w14:textId="7DE2621F" w:rsidR="00A150B6" w:rsidRPr="00835089" w:rsidRDefault="00A150B6">
        <w:pPr>
          <w:pStyle w:val="Footer"/>
          <w:jc w:val="right"/>
        </w:pPr>
        <w:r w:rsidRPr="00835089">
          <w:fldChar w:fldCharType="begin"/>
        </w:r>
        <w:r w:rsidRPr="00835089">
          <w:instrText xml:space="preserve"> PAGE   \* MERGEFORMAT </w:instrText>
        </w:r>
        <w:r w:rsidRPr="00835089">
          <w:fldChar w:fldCharType="separate"/>
        </w:r>
        <w:r w:rsidRPr="00835089">
          <w:t>2</w:t>
        </w:r>
        <w:r w:rsidRPr="00835089">
          <w:fldChar w:fldCharType="end"/>
        </w:r>
      </w:p>
    </w:sdtContent>
  </w:sdt>
  <w:p w14:paraId="6C3AC420" w14:textId="77777777" w:rsidR="00CD1240" w:rsidRPr="00835089" w:rsidRDefault="00CD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98336" w14:textId="77777777" w:rsidR="00197048" w:rsidRPr="00835089" w:rsidRDefault="00197048" w:rsidP="00CD1240">
      <w:pPr>
        <w:spacing w:after="0" w:line="240" w:lineRule="auto"/>
      </w:pPr>
      <w:r w:rsidRPr="00835089">
        <w:separator/>
      </w:r>
    </w:p>
  </w:footnote>
  <w:footnote w:type="continuationSeparator" w:id="0">
    <w:p w14:paraId="4B742AE6" w14:textId="77777777" w:rsidR="00197048" w:rsidRPr="00835089" w:rsidRDefault="00197048" w:rsidP="00CD1240">
      <w:pPr>
        <w:spacing w:after="0" w:line="240" w:lineRule="auto"/>
      </w:pPr>
      <w:r w:rsidRPr="008350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225E0"/>
    <w:multiLevelType w:val="hybridMultilevel"/>
    <w:tmpl w:val="71369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1D6A50"/>
    <w:multiLevelType w:val="multilevel"/>
    <w:tmpl w:val="9DB6F9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F6794"/>
    <w:multiLevelType w:val="multilevel"/>
    <w:tmpl w:val="ADA87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D6810"/>
    <w:multiLevelType w:val="hybridMultilevel"/>
    <w:tmpl w:val="D47AC682"/>
    <w:lvl w:ilvl="0" w:tplc="033A29A0">
      <w:start w:val="1"/>
      <w:numFmt w:val="none"/>
      <w:lvlText w:val="•"/>
      <w:lvlJc w:val="left"/>
      <w:pPr>
        <w:tabs>
          <w:tab w:val="num" w:pos="1080"/>
        </w:tabs>
        <w:ind w:left="720" w:hanging="360"/>
      </w:pPr>
      <w:rPr>
        <w:rFonts w:ascii="Georgia" w:eastAsia="Georgia" w:hAnsi="Georgia" w:cs="Georgia"/>
      </w:rPr>
    </w:lvl>
    <w:lvl w:ilvl="1" w:tplc="25348682">
      <w:numFmt w:val="decimal"/>
      <w:lvlText w:val=""/>
      <w:lvlJc w:val="left"/>
      <w:pPr>
        <w:ind w:left="0" w:firstLine="0"/>
      </w:pPr>
    </w:lvl>
    <w:lvl w:ilvl="2" w:tplc="B860CDAE">
      <w:numFmt w:val="decimal"/>
      <w:lvlText w:val=""/>
      <w:lvlJc w:val="left"/>
      <w:pPr>
        <w:ind w:left="0" w:firstLine="0"/>
      </w:pPr>
    </w:lvl>
    <w:lvl w:ilvl="3" w:tplc="14685B1C">
      <w:numFmt w:val="decimal"/>
      <w:lvlText w:val=""/>
      <w:lvlJc w:val="left"/>
      <w:pPr>
        <w:ind w:left="0" w:firstLine="0"/>
      </w:pPr>
    </w:lvl>
    <w:lvl w:ilvl="4" w:tplc="D0643F06">
      <w:numFmt w:val="decimal"/>
      <w:lvlText w:val=""/>
      <w:lvlJc w:val="left"/>
      <w:pPr>
        <w:ind w:left="0" w:firstLine="0"/>
      </w:pPr>
    </w:lvl>
    <w:lvl w:ilvl="5" w:tplc="5614B57E">
      <w:numFmt w:val="decimal"/>
      <w:lvlText w:val=""/>
      <w:lvlJc w:val="left"/>
      <w:pPr>
        <w:ind w:left="0" w:firstLine="0"/>
      </w:pPr>
    </w:lvl>
    <w:lvl w:ilvl="6" w:tplc="1794E572">
      <w:numFmt w:val="decimal"/>
      <w:lvlText w:val=""/>
      <w:lvlJc w:val="left"/>
      <w:pPr>
        <w:ind w:left="0" w:firstLine="0"/>
      </w:pPr>
    </w:lvl>
    <w:lvl w:ilvl="7" w:tplc="D53C0A0E">
      <w:numFmt w:val="decimal"/>
      <w:lvlText w:val=""/>
      <w:lvlJc w:val="left"/>
      <w:pPr>
        <w:ind w:left="0" w:firstLine="0"/>
      </w:pPr>
    </w:lvl>
    <w:lvl w:ilvl="8" w:tplc="1D48DD44">
      <w:numFmt w:val="decimal"/>
      <w:lvlText w:val=""/>
      <w:lvlJc w:val="left"/>
      <w:pPr>
        <w:ind w:left="0" w:firstLine="0"/>
      </w:pPr>
    </w:lvl>
  </w:abstractNum>
  <w:abstractNum w:abstractNumId="4" w15:restartNumberingAfterBreak="0">
    <w:nsid w:val="28866297"/>
    <w:multiLevelType w:val="multilevel"/>
    <w:tmpl w:val="FA36A4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1A214C"/>
    <w:multiLevelType w:val="multilevel"/>
    <w:tmpl w:val="51E0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6185E"/>
    <w:multiLevelType w:val="multilevel"/>
    <w:tmpl w:val="071C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43720C"/>
    <w:multiLevelType w:val="multilevel"/>
    <w:tmpl w:val="0AD4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D78AF"/>
    <w:multiLevelType w:val="multilevel"/>
    <w:tmpl w:val="5E067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4850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2247C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974066"/>
    <w:multiLevelType w:val="multilevel"/>
    <w:tmpl w:val="A81E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93262"/>
    <w:multiLevelType w:val="multilevel"/>
    <w:tmpl w:val="2890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7D7D8C"/>
    <w:multiLevelType w:val="multilevel"/>
    <w:tmpl w:val="60EC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238DD"/>
    <w:multiLevelType w:val="multilevel"/>
    <w:tmpl w:val="481A61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183DEE"/>
    <w:multiLevelType w:val="hybridMultilevel"/>
    <w:tmpl w:val="0CE2A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0D035B"/>
    <w:multiLevelType w:val="multilevel"/>
    <w:tmpl w:val="F880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A96827"/>
    <w:multiLevelType w:val="multilevel"/>
    <w:tmpl w:val="C064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DD610C"/>
    <w:multiLevelType w:val="multilevel"/>
    <w:tmpl w:val="A15C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036B0A"/>
    <w:multiLevelType w:val="multilevel"/>
    <w:tmpl w:val="3F5E75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5E621F"/>
    <w:multiLevelType w:val="multilevel"/>
    <w:tmpl w:val="259AE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DD4387"/>
    <w:multiLevelType w:val="multilevel"/>
    <w:tmpl w:val="980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CB046D"/>
    <w:multiLevelType w:val="multilevel"/>
    <w:tmpl w:val="F97C8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977348">
    <w:abstractNumId w:val="12"/>
  </w:num>
  <w:num w:numId="2" w16cid:durableId="1554537925">
    <w:abstractNumId w:val="14"/>
  </w:num>
  <w:num w:numId="3" w16cid:durableId="1029768017">
    <w:abstractNumId w:val="1"/>
  </w:num>
  <w:num w:numId="4" w16cid:durableId="1351375638">
    <w:abstractNumId w:val="19"/>
  </w:num>
  <w:num w:numId="5" w16cid:durableId="1062561474">
    <w:abstractNumId w:val="4"/>
  </w:num>
  <w:num w:numId="6" w16cid:durableId="1765763554">
    <w:abstractNumId w:val="5"/>
  </w:num>
  <w:num w:numId="7" w16cid:durableId="1847093351">
    <w:abstractNumId w:val="13"/>
  </w:num>
  <w:num w:numId="8" w16cid:durableId="81532647">
    <w:abstractNumId w:val="21"/>
  </w:num>
  <w:num w:numId="9" w16cid:durableId="34624930">
    <w:abstractNumId w:val="11"/>
  </w:num>
  <w:num w:numId="10" w16cid:durableId="1450009386">
    <w:abstractNumId w:val="16"/>
  </w:num>
  <w:num w:numId="11" w16cid:durableId="1413351108">
    <w:abstractNumId w:val="22"/>
  </w:num>
  <w:num w:numId="12" w16cid:durableId="170485292">
    <w:abstractNumId w:val="7"/>
  </w:num>
  <w:num w:numId="13" w16cid:durableId="1255742768">
    <w:abstractNumId w:val="17"/>
  </w:num>
  <w:num w:numId="14" w16cid:durableId="1172912661">
    <w:abstractNumId w:val="20"/>
  </w:num>
  <w:num w:numId="15" w16cid:durableId="396711228">
    <w:abstractNumId w:val="18"/>
  </w:num>
  <w:num w:numId="16" w16cid:durableId="1616476595">
    <w:abstractNumId w:val="6"/>
  </w:num>
  <w:num w:numId="17" w16cid:durableId="1809858496">
    <w:abstractNumId w:val="2"/>
  </w:num>
  <w:num w:numId="18" w16cid:durableId="1435782269">
    <w:abstractNumId w:val="0"/>
  </w:num>
  <w:num w:numId="19" w16cid:durableId="857161618">
    <w:abstractNumId w:val="10"/>
  </w:num>
  <w:num w:numId="20" w16cid:durableId="485973409">
    <w:abstractNumId w:val="9"/>
  </w:num>
  <w:num w:numId="21" w16cid:durableId="875196625">
    <w:abstractNumId w:val="15"/>
  </w:num>
  <w:num w:numId="22" w16cid:durableId="640158943">
    <w:abstractNumId w:val="3"/>
    <w:lvlOverride w:ilvl="0">
      <w:startOverride w:val="1"/>
    </w:lvlOverride>
    <w:lvlOverride w:ilvl="1"/>
    <w:lvlOverride w:ilvl="2"/>
    <w:lvlOverride w:ilvl="3"/>
    <w:lvlOverride w:ilvl="4"/>
    <w:lvlOverride w:ilvl="5"/>
    <w:lvlOverride w:ilvl="6"/>
    <w:lvlOverride w:ilvl="7"/>
    <w:lvlOverride w:ilvl="8"/>
  </w:num>
  <w:num w:numId="23" w16cid:durableId="21109321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B68"/>
    <w:rsid w:val="000B41E9"/>
    <w:rsid w:val="00131A03"/>
    <w:rsid w:val="00161BA8"/>
    <w:rsid w:val="00182038"/>
    <w:rsid w:val="00193B68"/>
    <w:rsid w:val="00197048"/>
    <w:rsid w:val="001A5409"/>
    <w:rsid w:val="001B52BE"/>
    <w:rsid w:val="001F6B29"/>
    <w:rsid w:val="0020160B"/>
    <w:rsid w:val="002246B1"/>
    <w:rsid w:val="00230BDD"/>
    <w:rsid w:val="00372000"/>
    <w:rsid w:val="00481FF9"/>
    <w:rsid w:val="004A1574"/>
    <w:rsid w:val="004C2535"/>
    <w:rsid w:val="005355B8"/>
    <w:rsid w:val="00611FED"/>
    <w:rsid w:val="00684007"/>
    <w:rsid w:val="0075587D"/>
    <w:rsid w:val="00825EDA"/>
    <w:rsid w:val="00835089"/>
    <w:rsid w:val="00885D6A"/>
    <w:rsid w:val="008863F5"/>
    <w:rsid w:val="008B1491"/>
    <w:rsid w:val="008D3569"/>
    <w:rsid w:val="008D469C"/>
    <w:rsid w:val="008E695C"/>
    <w:rsid w:val="008F6630"/>
    <w:rsid w:val="0092184C"/>
    <w:rsid w:val="00957298"/>
    <w:rsid w:val="00987D14"/>
    <w:rsid w:val="009B002A"/>
    <w:rsid w:val="009B7B0D"/>
    <w:rsid w:val="00A150B6"/>
    <w:rsid w:val="00A26BBA"/>
    <w:rsid w:val="00AF4AB7"/>
    <w:rsid w:val="00B17DA0"/>
    <w:rsid w:val="00B90BDB"/>
    <w:rsid w:val="00BE76B1"/>
    <w:rsid w:val="00C86D27"/>
    <w:rsid w:val="00CD1240"/>
    <w:rsid w:val="00E40E4E"/>
    <w:rsid w:val="00ED53B2"/>
    <w:rsid w:val="00F70DB1"/>
    <w:rsid w:val="00FB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E874"/>
  <w15:chartTrackingRefBased/>
  <w15:docId w15:val="{0D577E4C-E65B-452C-9B10-B22E99A34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B6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B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3B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3B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3B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3B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3B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3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B6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B6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3B6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3B6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3B6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3B6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3B6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B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B6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3B68"/>
    <w:pPr>
      <w:spacing w:before="160"/>
      <w:jc w:val="center"/>
    </w:pPr>
    <w:rPr>
      <w:i/>
      <w:iCs/>
      <w:color w:val="404040" w:themeColor="text1" w:themeTint="BF"/>
    </w:rPr>
  </w:style>
  <w:style w:type="character" w:customStyle="1" w:styleId="QuoteChar">
    <w:name w:val="Quote Char"/>
    <w:basedOn w:val="DefaultParagraphFont"/>
    <w:link w:val="Quote"/>
    <w:uiPriority w:val="29"/>
    <w:rsid w:val="00193B68"/>
    <w:rPr>
      <w:i/>
      <w:iCs/>
      <w:color w:val="404040" w:themeColor="text1" w:themeTint="BF"/>
    </w:rPr>
  </w:style>
  <w:style w:type="paragraph" w:styleId="ListParagraph">
    <w:name w:val="List Paragraph"/>
    <w:basedOn w:val="Normal"/>
    <w:uiPriority w:val="34"/>
    <w:qFormat/>
    <w:rsid w:val="00193B68"/>
    <w:pPr>
      <w:ind w:left="720"/>
      <w:contextualSpacing/>
    </w:pPr>
  </w:style>
  <w:style w:type="character" w:styleId="IntenseEmphasis">
    <w:name w:val="Intense Emphasis"/>
    <w:basedOn w:val="DefaultParagraphFont"/>
    <w:uiPriority w:val="21"/>
    <w:qFormat/>
    <w:rsid w:val="00193B68"/>
    <w:rPr>
      <w:i/>
      <w:iCs/>
      <w:color w:val="0F4761" w:themeColor="accent1" w:themeShade="BF"/>
    </w:rPr>
  </w:style>
  <w:style w:type="paragraph" w:styleId="IntenseQuote">
    <w:name w:val="Intense Quote"/>
    <w:basedOn w:val="Normal"/>
    <w:next w:val="Normal"/>
    <w:link w:val="IntenseQuoteChar"/>
    <w:uiPriority w:val="30"/>
    <w:qFormat/>
    <w:rsid w:val="0019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B68"/>
    <w:rPr>
      <w:i/>
      <w:iCs/>
      <w:color w:val="0F4761" w:themeColor="accent1" w:themeShade="BF"/>
    </w:rPr>
  </w:style>
  <w:style w:type="character" w:styleId="IntenseReference">
    <w:name w:val="Intense Reference"/>
    <w:basedOn w:val="DefaultParagraphFont"/>
    <w:uiPriority w:val="32"/>
    <w:qFormat/>
    <w:rsid w:val="00193B68"/>
    <w:rPr>
      <w:b/>
      <w:bCs/>
      <w:smallCaps/>
      <w:color w:val="0F4761" w:themeColor="accent1" w:themeShade="BF"/>
      <w:spacing w:val="5"/>
    </w:rPr>
  </w:style>
  <w:style w:type="character" w:styleId="Hyperlink">
    <w:name w:val="Hyperlink"/>
    <w:basedOn w:val="DefaultParagraphFont"/>
    <w:uiPriority w:val="99"/>
    <w:unhideWhenUsed/>
    <w:rsid w:val="00193B68"/>
    <w:rPr>
      <w:color w:val="467886" w:themeColor="hyperlink"/>
      <w:u w:val="single"/>
    </w:rPr>
  </w:style>
  <w:style w:type="character" w:styleId="UnresolvedMention">
    <w:name w:val="Unresolved Mention"/>
    <w:basedOn w:val="DefaultParagraphFont"/>
    <w:uiPriority w:val="99"/>
    <w:semiHidden/>
    <w:unhideWhenUsed/>
    <w:rsid w:val="00193B68"/>
    <w:rPr>
      <w:color w:val="605E5C"/>
      <w:shd w:val="clear" w:color="auto" w:fill="E1DFDD"/>
    </w:rPr>
  </w:style>
  <w:style w:type="paragraph" w:styleId="TOCHeading">
    <w:name w:val="TOC Heading"/>
    <w:basedOn w:val="Heading1"/>
    <w:next w:val="Normal"/>
    <w:uiPriority w:val="39"/>
    <w:unhideWhenUsed/>
    <w:qFormat/>
    <w:rsid w:val="00987D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7D14"/>
    <w:pPr>
      <w:spacing w:after="100"/>
    </w:pPr>
  </w:style>
  <w:style w:type="paragraph" w:styleId="TOC2">
    <w:name w:val="toc 2"/>
    <w:basedOn w:val="Normal"/>
    <w:next w:val="Normal"/>
    <w:autoRedefine/>
    <w:uiPriority w:val="39"/>
    <w:unhideWhenUsed/>
    <w:rsid w:val="00987D14"/>
    <w:pPr>
      <w:spacing w:after="100"/>
      <w:ind w:left="220"/>
    </w:pPr>
  </w:style>
  <w:style w:type="paragraph" w:styleId="NoSpacing">
    <w:name w:val="No Spacing"/>
    <w:link w:val="NoSpacingChar"/>
    <w:uiPriority w:val="1"/>
    <w:qFormat/>
    <w:rsid w:val="00E40E4E"/>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E40E4E"/>
    <w:rPr>
      <w:rFonts w:asciiTheme="minorHAnsi" w:eastAsiaTheme="minorEastAsia" w:hAnsiTheme="minorHAnsi"/>
      <w:kern w:val="0"/>
      <w:lang w:val="en-US"/>
      <w14:ligatures w14:val="none"/>
    </w:rPr>
  </w:style>
  <w:style w:type="paragraph" w:styleId="Header">
    <w:name w:val="header"/>
    <w:basedOn w:val="Normal"/>
    <w:link w:val="HeaderChar"/>
    <w:uiPriority w:val="99"/>
    <w:unhideWhenUsed/>
    <w:rsid w:val="00CD1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240"/>
  </w:style>
  <w:style w:type="paragraph" w:styleId="Footer">
    <w:name w:val="footer"/>
    <w:basedOn w:val="Normal"/>
    <w:link w:val="FooterChar"/>
    <w:uiPriority w:val="99"/>
    <w:unhideWhenUsed/>
    <w:rsid w:val="00CD1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240"/>
  </w:style>
  <w:style w:type="character" w:styleId="Strong">
    <w:name w:val="Strong"/>
    <w:basedOn w:val="DefaultParagraphFont"/>
    <w:uiPriority w:val="22"/>
    <w:qFormat/>
    <w:rsid w:val="008F66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22571">
      <w:bodyDiv w:val="1"/>
      <w:marLeft w:val="0"/>
      <w:marRight w:val="0"/>
      <w:marTop w:val="0"/>
      <w:marBottom w:val="0"/>
      <w:divBdr>
        <w:top w:val="none" w:sz="0" w:space="0" w:color="auto"/>
        <w:left w:val="none" w:sz="0" w:space="0" w:color="auto"/>
        <w:bottom w:val="none" w:sz="0" w:space="0" w:color="auto"/>
        <w:right w:val="none" w:sz="0" w:space="0" w:color="auto"/>
      </w:divBdr>
    </w:div>
    <w:div w:id="636104807">
      <w:bodyDiv w:val="1"/>
      <w:marLeft w:val="0"/>
      <w:marRight w:val="0"/>
      <w:marTop w:val="0"/>
      <w:marBottom w:val="0"/>
      <w:divBdr>
        <w:top w:val="none" w:sz="0" w:space="0" w:color="auto"/>
        <w:left w:val="none" w:sz="0" w:space="0" w:color="auto"/>
        <w:bottom w:val="none" w:sz="0" w:space="0" w:color="auto"/>
        <w:right w:val="none" w:sz="0" w:space="0" w:color="auto"/>
      </w:divBdr>
      <w:divsChild>
        <w:div w:id="1073892578">
          <w:marLeft w:val="0"/>
          <w:marRight w:val="0"/>
          <w:marTop w:val="0"/>
          <w:marBottom w:val="0"/>
          <w:divBdr>
            <w:top w:val="none" w:sz="0" w:space="0" w:color="auto"/>
            <w:left w:val="none" w:sz="0" w:space="0" w:color="auto"/>
            <w:bottom w:val="none" w:sz="0" w:space="0" w:color="auto"/>
            <w:right w:val="none" w:sz="0" w:space="0" w:color="auto"/>
          </w:divBdr>
          <w:divsChild>
            <w:div w:id="12874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91856">
      <w:bodyDiv w:val="1"/>
      <w:marLeft w:val="0"/>
      <w:marRight w:val="0"/>
      <w:marTop w:val="0"/>
      <w:marBottom w:val="0"/>
      <w:divBdr>
        <w:top w:val="none" w:sz="0" w:space="0" w:color="auto"/>
        <w:left w:val="none" w:sz="0" w:space="0" w:color="auto"/>
        <w:bottom w:val="none" w:sz="0" w:space="0" w:color="auto"/>
        <w:right w:val="none" w:sz="0" w:space="0" w:color="auto"/>
      </w:divBdr>
      <w:divsChild>
        <w:div w:id="1988977095">
          <w:marLeft w:val="0"/>
          <w:marRight w:val="0"/>
          <w:marTop w:val="0"/>
          <w:marBottom w:val="0"/>
          <w:divBdr>
            <w:top w:val="none" w:sz="0" w:space="0" w:color="auto"/>
            <w:left w:val="none" w:sz="0" w:space="0" w:color="auto"/>
            <w:bottom w:val="none" w:sz="0" w:space="0" w:color="auto"/>
            <w:right w:val="none" w:sz="0" w:space="0" w:color="auto"/>
          </w:divBdr>
          <w:divsChild>
            <w:div w:id="2871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99220">
      <w:bodyDiv w:val="1"/>
      <w:marLeft w:val="0"/>
      <w:marRight w:val="0"/>
      <w:marTop w:val="0"/>
      <w:marBottom w:val="0"/>
      <w:divBdr>
        <w:top w:val="none" w:sz="0" w:space="0" w:color="auto"/>
        <w:left w:val="none" w:sz="0" w:space="0" w:color="auto"/>
        <w:bottom w:val="none" w:sz="0" w:space="0" w:color="auto"/>
        <w:right w:val="none" w:sz="0" w:space="0" w:color="auto"/>
      </w:divBdr>
    </w:div>
    <w:div w:id="1631588141">
      <w:bodyDiv w:val="1"/>
      <w:marLeft w:val="0"/>
      <w:marRight w:val="0"/>
      <w:marTop w:val="0"/>
      <w:marBottom w:val="0"/>
      <w:divBdr>
        <w:top w:val="none" w:sz="0" w:space="0" w:color="auto"/>
        <w:left w:val="none" w:sz="0" w:space="0" w:color="auto"/>
        <w:bottom w:val="none" w:sz="0" w:space="0" w:color="auto"/>
        <w:right w:val="none" w:sz="0" w:space="0" w:color="auto"/>
      </w:divBdr>
    </w:div>
    <w:div w:id="177925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LCBB6006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022539-5834-4D9C-BAFA-B4EB6CFE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Dr Anupam Mazumdar</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PENKO KOYCHEV: 2332008</dc:subject>
  <dc:creator>Penko koychev</dc:creator>
  <cp:keywords/>
  <dc:description/>
  <cp:lastModifiedBy>Vasil Stoev</cp:lastModifiedBy>
  <cp:revision>35</cp:revision>
  <dcterms:created xsi:type="dcterms:W3CDTF">2025-06-19T12:36:00Z</dcterms:created>
  <dcterms:modified xsi:type="dcterms:W3CDTF">2026-07-22T14:45:00Z</dcterms:modified>
</cp:coreProperties>
</file>