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B779E" w14:textId="77777777" w:rsidR="000A667E" w:rsidRPr="000A667E" w:rsidRDefault="000A667E" w:rsidP="000A667E">
      <w:pPr>
        <w:tabs>
          <w:tab w:val="right" w:pos="10567"/>
        </w:tabs>
        <w:spacing w:after="63" w:line="360" w:lineRule="auto"/>
        <w:rPr>
          <w:rFonts w:ascii="Arial" w:hAnsi="Arial" w:cs="Arial"/>
        </w:rPr>
      </w:pPr>
      <w:r w:rsidRPr="000A667E">
        <w:rPr>
          <w:rFonts w:ascii="Arial" w:hAnsi="Arial" w:cs="Arial"/>
          <w:noProof/>
        </w:rPr>
        <w:drawing>
          <wp:inline distT="0" distB="0" distL="0" distR="0" wp14:anchorId="3C784839" wp14:editId="6D7790F7">
            <wp:extent cx="1809750" cy="723900"/>
            <wp:effectExtent l="0" t="0" r="0" b="0"/>
            <wp:docPr id="343" name="Picture 343"/>
            <wp:cNvGraphicFramePr/>
            <a:graphic xmlns:a="http://schemas.openxmlformats.org/drawingml/2006/main">
              <a:graphicData uri="http://schemas.openxmlformats.org/drawingml/2006/picture">
                <pic:pic xmlns:pic="http://schemas.openxmlformats.org/drawingml/2006/picture">
                  <pic:nvPicPr>
                    <pic:cNvPr id="343" name="Picture 343"/>
                    <pic:cNvPicPr/>
                  </pic:nvPicPr>
                  <pic:blipFill>
                    <a:blip r:embed="rId6"/>
                    <a:stretch>
                      <a:fillRect/>
                    </a:stretch>
                  </pic:blipFill>
                  <pic:spPr>
                    <a:xfrm>
                      <a:off x="0" y="0"/>
                      <a:ext cx="1809750" cy="723900"/>
                    </a:xfrm>
                    <a:prstGeom prst="rect">
                      <a:avLst/>
                    </a:prstGeom>
                  </pic:spPr>
                </pic:pic>
              </a:graphicData>
            </a:graphic>
          </wp:inline>
        </w:drawing>
      </w:r>
      <w:r w:rsidRPr="000A667E">
        <w:rPr>
          <w:rFonts w:ascii="Arial" w:hAnsi="Arial" w:cs="Arial"/>
        </w:rPr>
        <w:tab/>
        <w:t xml:space="preserve">  </w:t>
      </w:r>
    </w:p>
    <w:p w14:paraId="69C960CE" w14:textId="59A29584" w:rsidR="002644E8" w:rsidRPr="002644E8" w:rsidRDefault="002644E8" w:rsidP="002644E8">
      <w:pPr>
        <w:tabs>
          <w:tab w:val="left" w:pos="3530"/>
        </w:tabs>
        <w:spacing w:after="0" w:line="360" w:lineRule="auto"/>
        <w:ind w:right="108"/>
        <w:rPr>
          <w:rFonts w:ascii="Arial" w:hAnsi="Arial" w:cs="Arial"/>
        </w:rPr>
      </w:pPr>
      <w:r>
        <w:rPr>
          <w:rFonts w:ascii="Arial" w:hAnsi="Arial" w:cs="Arial"/>
        </w:rPr>
        <w:tab/>
      </w:r>
    </w:p>
    <w:p w14:paraId="3CEC6917" w14:textId="77777777" w:rsidR="00BD19C7" w:rsidRDefault="00BD19C7" w:rsidP="00BD19C7">
      <w:pPr>
        <w:tabs>
          <w:tab w:val="left" w:pos="3530"/>
        </w:tabs>
        <w:spacing w:after="0" w:line="360" w:lineRule="auto"/>
        <w:ind w:right="108"/>
        <w:rPr>
          <w:rFonts w:ascii="Arial" w:hAnsi="Arial" w:cs="Arial"/>
          <w:lang w:val="en-GB"/>
        </w:rPr>
      </w:pPr>
    </w:p>
    <w:p w14:paraId="58DDB235" w14:textId="77777777" w:rsidR="00BD19C7" w:rsidRDefault="00BD19C7" w:rsidP="00BD19C7">
      <w:pPr>
        <w:tabs>
          <w:tab w:val="left" w:pos="3530"/>
        </w:tabs>
        <w:spacing w:after="0" w:line="360" w:lineRule="auto"/>
        <w:ind w:right="108"/>
        <w:rPr>
          <w:rFonts w:ascii="Arial" w:hAnsi="Arial" w:cs="Arial"/>
          <w:lang w:val="en-GB"/>
        </w:rPr>
      </w:pPr>
    </w:p>
    <w:p w14:paraId="4C5F9BAB" w14:textId="77777777" w:rsidR="00BD19C7" w:rsidRDefault="00BD19C7" w:rsidP="00BD19C7">
      <w:pPr>
        <w:tabs>
          <w:tab w:val="left" w:pos="3530"/>
        </w:tabs>
        <w:spacing w:after="0" w:line="360" w:lineRule="auto"/>
        <w:ind w:right="108"/>
        <w:rPr>
          <w:rFonts w:ascii="Arial" w:hAnsi="Arial" w:cs="Arial"/>
          <w:lang w:val="en-GB"/>
        </w:rPr>
      </w:pPr>
    </w:p>
    <w:p w14:paraId="53EE19B9" w14:textId="77777777" w:rsidR="00BD19C7" w:rsidRDefault="00BD19C7" w:rsidP="00BD19C7">
      <w:pPr>
        <w:tabs>
          <w:tab w:val="left" w:pos="3530"/>
        </w:tabs>
        <w:spacing w:after="0" w:line="360" w:lineRule="auto"/>
        <w:ind w:right="108"/>
        <w:rPr>
          <w:rFonts w:ascii="Arial" w:hAnsi="Arial" w:cs="Arial"/>
          <w:lang w:val="en-GB"/>
        </w:rPr>
      </w:pPr>
    </w:p>
    <w:p w14:paraId="61A3DFE3" w14:textId="77777777" w:rsidR="00BD19C7" w:rsidRDefault="00BD19C7" w:rsidP="00BD19C7">
      <w:pPr>
        <w:tabs>
          <w:tab w:val="left" w:pos="3530"/>
        </w:tabs>
        <w:spacing w:after="0" w:line="360" w:lineRule="auto"/>
        <w:ind w:right="108"/>
        <w:rPr>
          <w:rFonts w:ascii="Arial" w:hAnsi="Arial" w:cs="Arial"/>
          <w:lang w:val="en-GB"/>
        </w:rPr>
      </w:pPr>
    </w:p>
    <w:p w14:paraId="7ABE6CB2" w14:textId="77777777" w:rsidR="00BD19C7" w:rsidRPr="00BD19C7" w:rsidRDefault="00BD19C7" w:rsidP="00BD19C7">
      <w:pPr>
        <w:tabs>
          <w:tab w:val="left" w:pos="3530"/>
        </w:tabs>
        <w:spacing w:after="0" w:line="360" w:lineRule="auto"/>
        <w:ind w:right="108"/>
        <w:rPr>
          <w:rFonts w:ascii="Arial" w:hAnsi="Arial" w:cs="Arial"/>
          <w:lang w:val="en-GB"/>
        </w:rPr>
      </w:pPr>
    </w:p>
    <w:p w14:paraId="66867126" w14:textId="2D0920D3" w:rsidR="00BD19C7" w:rsidRDefault="00BD19C7" w:rsidP="00BD19C7">
      <w:pPr>
        <w:tabs>
          <w:tab w:val="left" w:pos="3530"/>
        </w:tabs>
        <w:spacing w:after="0" w:line="360" w:lineRule="auto"/>
        <w:ind w:right="108"/>
        <w:rPr>
          <w:rFonts w:ascii="Arial" w:hAnsi="Arial" w:cs="Arial"/>
          <w:lang w:val="nl-NL"/>
        </w:rPr>
      </w:pPr>
      <w:r w:rsidRPr="00BD19C7">
        <w:rPr>
          <w:rFonts w:ascii="Arial" w:hAnsi="Arial" w:cs="Arial"/>
          <w:b/>
          <w:bCs/>
          <w:lang w:val="nl-NL"/>
        </w:rPr>
        <w:t>Module name</w:t>
      </w:r>
      <w:r w:rsidRPr="00BD19C7">
        <w:rPr>
          <w:rFonts w:ascii="Arial" w:hAnsi="Arial" w:cs="Arial"/>
          <w:lang w:val="nl-NL"/>
        </w:rPr>
        <w:t>:</w:t>
      </w:r>
      <w:r>
        <w:rPr>
          <w:rFonts w:ascii="Arial" w:hAnsi="Arial" w:cs="Arial"/>
          <w:lang w:val="nl-NL"/>
        </w:rPr>
        <w:t xml:space="preserve">  Introduction To Public Health</w:t>
      </w:r>
    </w:p>
    <w:p w14:paraId="548869ED" w14:textId="765CF095" w:rsidR="00BD19C7" w:rsidRDefault="00BD19C7" w:rsidP="00BD19C7">
      <w:pPr>
        <w:tabs>
          <w:tab w:val="left" w:pos="3530"/>
        </w:tabs>
        <w:spacing w:after="0" w:line="360" w:lineRule="auto"/>
        <w:ind w:right="108"/>
        <w:rPr>
          <w:rFonts w:ascii="Arial" w:hAnsi="Arial" w:cs="Arial"/>
          <w:lang w:val="nl-NL"/>
        </w:rPr>
      </w:pPr>
      <w:r w:rsidRPr="00BD19C7">
        <w:rPr>
          <w:rFonts w:ascii="Arial" w:hAnsi="Arial" w:cs="Arial"/>
          <w:lang w:val="nl-NL"/>
        </w:rPr>
        <w:t xml:space="preserve"> </w:t>
      </w:r>
    </w:p>
    <w:p w14:paraId="3BEFEAE0" w14:textId="77777777" w:rsidR="00BD19C7" w:rsidRPr="00BD19C7" w:rsidRDefault="00BD19C7" w:rsidP="00BD19C7">
      <w:pPr>
        <w:tabs>
          <w:tab w:val="left" w:pos="3530"/>
        </w:tabs>
        <w:spacing w:after="0" w:line="360" w:lineRule="auto"/>
        <w:ind w:right="108"/>
        <w:rPr>
          <w:rFonts w:ascii="Arial" w:hAnsi="Arial" w:cs="Arial"/>
          <w:lang w:val="nl-NL"/>
        </w:rPr>
      </w:pPr>
    </w:p>
    <w:p w14:paraId="10548962" w14:textId="2A4CA6C8" w:rsidR="00BD19C7" w:rsidRPr="00BD19C7" w:rsidRDefault="00BD19C7" w:rsidP="00BD19C7">
      <w:pPr>
        <w:tabs>
          <w:tab w:val="left" w:pos="3530"/>
        </w:tabs>
        <w:spacing w:after="0" w:line="360" w:lineRule="auto"/>
        <w:ind w:right="108"/>
        <w:rPr>
          <w:rFonts w:ascii="Arial" w:hAnsi="Arial" w:cs="Arial"/>
          <w:lang w:val="en-GB"/>
        </w:rPr>
      </w:pPr>
      <w:r w:rsidRPr="00BD19C7">
        <w:rPr>
          <w:rFonts w:ascii="Arial" w:hAnsi="Arial" w:cs="Arial"/>
          <w:b/>
          <w:bCs/>
          <w:lang w:val="en-GB"/>
        </w:rPr>
        <w:t>Module code</w:t>
      </w:r>
      <w:r w:rsidRPr="00BD19C7">
        <w:rPr>
          <w:rFonts w:ascii="Arial" w:hAnsi="Arial" w:cs="Arial"/>
          <w:lang w:val="en-GB"/>
        </w:rPr>
        <w:t>:</w:t>
      </w:r>
      <w:r>
        <w:rPr>
          <w:rFonts w:ascii="Arial" w:hAnsi="Arial" w:cs="Arial"/>
          <w:lang w:val="en-GB"/>
        </w:rPr>
        <w:t xml:space="preserve">  LCHS4008_LON</w:t>
      </w:r>
    </w:p>
    <w:p w14:paraId="162737BD" w14:textId="77777777" w:rsidR="00BD19C7" w:rsidRDefault="00BD19C7" w:rsidP="00BD19C7">
      <w:pPr>
        <w:tabs>
          <w:tab w:val="left" w:pos="3530"/>
        </w:tabs>
        <w:spacing w:after="0" w:line="360" w:lineRule="auto"/>
        <w:ind w:right="108"/>
        <w:rPr>
          <w:rFonts w:ascii="Arial" w:hAnsi="Arial" w:cs="Arial"/>
          <w:b/>
          <w:bCs/>
          <w:lang w:val="nl-NL"/>
        </w:rPr>
      </w:pPr>
    </w:p>
    <w:p w14:paraId="249B6127" w14:textId="77777777" w:rsidR="00BD19C7" w:rsidRPr="00BD19C7" w:rsidRDefault="00BD19C7" w:rsidP="00BD19C7">
      <w:pPr>
        <w:tabs>
          <w:tab w:val="left" w:pos="3530"/>
        </w:tabs>
        <w:spacing w:after="0" w:line="360" w:lineRule="auto"/>
        <w:ind w:right="108"/>
        <w:rPr>
          <w:rFonts w:ascii="Arial" w:hAnsi="Arial" w:cs="Arial"/>
          <w:b/>
          <w:bCs/>
          <w:lang w:val="nl-NL"/>
        </w:rPr>
      </w:pPr>
    </w:p>
    <w:p w14:paraId="79921DE8" w14:textId="425E2680" w:rsidR="00BD19C7" w:rsidRDefault="00BD19C7" w:rsidP="00BD19C7">
      <w:pPr>
        <w:tabs>
          <w:tab w:val="left" w:pos="3530"/>
        </w:tabs>
        <w:spacing w:after="0" w:line="360" w:lineRule="auto"/>
        <w:ind w:right="108"/>
        <w:rPr>
          <w:rFonts w:ascii="Arial" w:hAnsi="Arial" w:cs="Arial"/>
          <w:lang w:val="nl-NL"/>
        </w:rPr>
      </w:pPr>
      <w:r w:rsidRPr="00BD19C7">
        <w:rPr>
          <w:rFonts w:ascii="Arial" w:hAnsi="Arial" w:cs="Arial"/>
          <w:b/>
          <w:bCs/>
          <w:lang w:val="nl-NL"/>
        </w:rPr>
        <w:t>Student name</w:t>
      </w:r>
      <w:r w:rsidRPr="00BD19C7">
        <w:rPr>
          <w:rFonts w:ascii="Arial" w:hAnsi="Arial" w:cs="Arial"/>
          <w:lang w:val="nl-NL"/>
        </w:rPr>
        <w:t>:</w:t>
      </w:r>
      <w:r>
        <w:rPr>
          <w:rFonts w:ascii="Arial" w:hAnsi="Arial" w:cs="Arial"/>
          <w:lang w:val="nl-NL"/>
        </w:rPr>
        <w:t xml:space="preserve">  Suzan Wakayamba Namitala</w:t>
      </w:r>
    </w:p>
    <w:p w14:paraId="43293079" w14:textId="77777777" w:rsidR="00BD19C7" w:rsidRDefault="00BD19C7" w:rsidP="00BD19C7">
      <w:pPr>
        <w:tabs>
          <w:tab w:val="left" w:pos="3530"/>
        </w:tabs>
        <w:spacing w:after="0" w:line="360" w:lineRule="auto"/>
        <w:ind w:right="108"/>
        <w:rPr>
          <w:rFonts w:ascii="Arial" w:hAnsi="Arial" w:cs="Arial"/>
          <w:lang w:val="nl-NL"/>
        </w:rPr>
      </w:pPr>
    </w:p>
    <w:p w14:paraId="097B8170" w14:textId="77777777" w:rsidR="00BD19C7" w:rsidRPr="00BD19C7" w:rsidRDefault="00BD19C7" w:rsidP="00BD19C7">
      <w:pPr>
        <w:tabs>
          <w:tab w:val="left" w:pos="3530"/>
        </w:tabs>
        <w:spacing w:after="0" w:line="360" w:lineRule="auto"/>
        <w:ind w:right="108"/>
        <w:rPr>
          <w:rFonts w:ascii="Arial" w:hAnsi="Arial" w:cs="Arial"/>
          <w:lang w:val="nl-NL"/>
        </w:rPr>
      </w:pPr>
    </w:p>
    <w:p w14:paraId="75923BB9" w14:textId="31472F1B" w:rsidR="00BD19C7" w:rsidRDefault="00BD19C7" w:rsidP="00BD19C7">
      <w:pPr>
        <w:tabs>
          <w:tab w:val="left" w:pos="3530"/>
        </w:tabs>
        <w:spacing w:after="0" w:line="360" w:lineRule="auto"/>
        <w:ind w:right="108"/>
        <w:rPr>
          <w:rFonts w:ascii="Arial" w:hAnsi="Arial" w:cs="Arial"/>
          <w:lang w:val="nl-NL"/>
        </w:rPr>
      </w:pPr>
      <w:r w:rsidRPr="00BD19C7">
        <w:rPr>
          <w:rFonts w:ascii="Arial" w:hAnsi="Arial" w:cs="Arial"/>
          <w:b/>
          <w:bCs/>
          <w:lang w:val="nl-NL"/>
        </w:rPr>
        <w:t>Student ID</w:t>
      </w:r>
      <w:r>
        <w:rPr>
          <w:rFonts w:ascii="Arial" w:hAnsi="Arial" w:cs="Arial"/>
          <w:lang w:val="nl-NL"/>
        </w:rPr>
        <w:t>:  2515844</w:t>
      </w:r>
    </w:p>
    <w:p w14:paraId="060A1E86" w14:textId="77777777" w:rsidR="00BD19C7" w:rsidRDefault="00BD19C7" w:rsidP="00BD19C7">
      <w:pPr>
        <w:tabs>
          <w:tab w:val="left" w:pos="3530"/>
        </w:tabs>
        <w:spacing w:after="0" w:line="360" w:lineRule="auto"/>
        <w:ind w:right="108"/>
        <w:rPr>
          <w:rFonts w:ascii="Arial" w:hAnsi="Arial" w:cs="Arial"/>
          <w:lang w:val="nl-NL"/>
        </w:rPr>
      </w:pPr>
    </w:p>
    <w:p w14:paraId="36325D3D" w14:textId="77777777" w:rsidR="00BD19C7" w:rsidRPr="00BD19C7" w:rsidRDefault="00BD19C7" w:rsidP="00BD19C7">
      <w:pPr>
        <w:tabs>
          <w:tab w:val="left" w:pos="3530"/>
        </w:tabs>
        <w:spacing w:after="0" w:line="360" w:lineRule="auto"/>
        <w:ind w:right="108"/>
        <w:rPr>
          <w:rFonts w:ascii="Arial" w:hAnsi="Arial" w:cs="Arial"/>
          <w:lang w:val="nl-NL"/>
        </w:rPr>
      </w:pPr>
    </w:p>
    <w:p w14:paraId="4D41A6F6" w14:textId="026549AF" w:rsidR="00BD19C7" w:rsidRPr="00BD19C7" w:rsidRDefault="00BD19C7" w:rsidP="00BD19C7">
      <w:pPr>
        <w:tabs>
          <w:tab w:val="left" w:pos="3530"/>
        </w:tabs>
        <w:spacing w:after="0" w:line="360" w:lineRule="auto"/>
        <w:ind w:right="108"/>
        <w:rPr>
          <w:rFonts w:ascii="Arial" w:hAnsi="Arial" w:cs="Arial"/>
          <w:lang w:val="en-GB"/>
        </w:rPr>
      </w:pPr>
      <w:r w:rsidRPr="00BD19C7">
        <w:rPr>
          <w:rFonts w:ascii="Arial" w:hAnsi="Arial" w:cs="Arial"/>
          <w:b/>
          <w:bCs/>
          <w:lang w:val="en-GB"/>
        </w:rPr>
        <w:t>Lecturer’s name</w:t>
      </w:r>
      <w:r w:rsidRPr="00BD19C7">
        <w:rPr>
          <w:rFonts w:ascii="Arial" w:hAnsi="Arial" w:cs="Arial"/>
          <w:lang w:val="en-GB"/>
        </w:rPr>
        <w:t>:</w:t>
      </w:r>
      <w:r>
        <w:rPr>
          <w:rFonts w:ascii="Arial" w:hAnsi="Arial" w:cs="Arial"/>
          <w:lang w:val="en-GB"/>
        </w:rPr>
        <w:t xml:space="preserve">  Dr Patronella Ganza</w:t>
      </w:r>
    </w:p>
    <w:p w14:paraId="6AAF129E" w14:textId="77777777" w:rsidR="00BD19C7" w:rsidRPr="00BD19C7" w:rsidRDefault="00BD19C7" w:rsidP="00BD19C7">
      <w:pPr>
        <w:tabs>
          <w:tab w:val="left" w:pos="3530"/>
        </w:tabs>
        <w:spacing w:after="0" w:line="360" w:lineRule="auto"/>
        <w:ind w:right="108"/>
        <w:rPr>
          <w:rFonts w:ascii="Arial" w:hAnsi="Arial" w:cs="Arial"/>
          <w:lang w:val="en-GB"/>
        </w:rPr>
      </w:pPr>
    </w:p>
    <w:p w14:paraId="596A1CC6" w14:textId="77777777" w:rsidR="00BD19C7" w:rsidRPr="00BD19C7" w:rsidRDefault="00BD19C7" w:rsidP="00BD19C7">
      <w:pPr>
        <w:tabs>
          <w:tab w:val="left" w:pos="3530"/>
        </w:tabs>
        <w:spacing w:after="0" w:line="360" w:lineRule="auto"/>
        <w:ind w:right="108"/>
        <w:rPr>
          <w:rFonts w:ascii="Arial" w:hAnsi="Arial" w:cs="Arial"/>
          <w:lang w:val="en-GB"/>
        </w:rPr>
      </w:pPr>
    </w:p>
    <w:p w14:paraId="56DECEEA" w14:textId="77777777" w:rsidR="00BD19C7" w:rsidRPr="00BD19C7" w:rsidRDefault="00BD19C7" w:rsidP="00BD19C7">
      <w:pPr>
        <w:tabs>
          <w:tab w:val="left" w:pos="3530"/>
        </w:tabs>
        <w:spacing w:after="0" w:line="360" w:lineRule="auto"/>
        <w:ind w:right="108"/>
        <w:rPr>
          <w:rFonts w:ascii="Arial" w:hAnsi="Arial" w:cs="Arial"/>
          <w:lang w:val="en-GB"/>
        </w:rPr>
      </w:pPr>
    </w:p>
    <w:p w14:paraId="6D93BAD7" w14:textId="77777777" w:rsidR="002644E8" w:rsidRPr="002644E8" w:rsidRDefault="002644E8" w:rsidP="002644E8">
      <w:pPr>
        <w:tabs>
          <w:tab w:val="left" w:pos="3530"/>
        </w:tabs>
        <w:spacing w:after="0" w:line="360" w:lineRule="auto"/>
        <w:ind w:right="108"/>
        <w:rPr>
          <w:rFonts w:ascii="Arial" w:hAnsi="Arial" w:cs="Arial"/>
        </w:rPr>
      </w:pPr>
    </w:p>
    <w:p w14:paraId="3FF8D9D7" w14:textId="5773BB8C" w:rsidR="000A667E" w:rsidRPr="000A667E" w:rsidRDefault="000A667E" w:rsidP="002644E8">
      <w:pPr>
        <w:tabs>
          <w:tab w:val="left" w:pos="3530"/>
        </w:tabs>
        <w:spacing w:after="0" w:line="360" w:lineRule="auto"/>
        <w:ind w:right="108"/>
        <w:rPr>
          <w:rFonts w:ascii="Arial" w:hAnsi="Arial" w:cs="Arial"/>
        </w:rPr>
      </w:pPr>
    </w:p>
    <w:p w14:paraId="48C9E718" w14:textId="77777777" w:rsidR="000A667E" w:rsidRPr="000A667E" w:rsidRDefault="000A667E" w:rsidP="000A667E">
      <w:pPr>
        <w:spacing w:after="302" w:line="360" w:lineRule="auto"/>
        <w:rPr>
          <w:rFonts w:ascii="Arial" w:hAnsi="Arial" w:cs="Arial"/>
        </w:rPr>
      </w:pPr>
      <w:r w:rsidRPr="000A667E">
        <w:rPr>
          <w:rFonts w:ascii="Arial" w:hAnsi="Arial" w:cs="Arial"/>
        </w:rPr>
        <w:t xml:space="preserve"> </w:t>
      </w:r>
    </w:p>
    <w:p w14:paraId="70F65EA9" w14:textId="5BE1F43C" w:rsidR="000A667E" w:rsidRPr="000A667E" w:rsidRDefault="000A667E" w:rsidP="000A667E">
      <w:pPr>
        <w:spacing w:after="0" w:line="360" w:lineRule="auto"/>
        <w:ind w:right="22"/>
        <w:jc w:val="center"/>
        <w:rPr>
          <w:rFonts w:ascii="Arial" w:hAnsi="Arial" w:cs="Arial"/>
        </w:rPr>
      </w:pPr>
    </w:p>
    <w:p w14:paraId="693FD641" w14:textId="77777777" w:rsidR="000A667E" w:rsidRPr="000A667E" w:rsidRDefault="000A667E" w:rsidP="000A667E">
      <w:pPr>
        <w:spacing w:line="360" w:lineRule="auto"/>
        <w:rPr>
          <w:rFonts w:ascii="Arial" w:hAnsi="Arial" w:cs="Arial"/>
          <w:b/>
          <w:bCs/>
        </w:rPr>
      </w:pPr>
    </w:p>
    <w:p w14:paraId="77D6A265" w14:textId="77777777" w:rsidR="000A667E" w:rsidRPr="000A667E" w:rsidRDefault="000A667E" w:rsidP="000A667E">
      <w:pPr>
        <w:spacing w:line="360" w:lineRule="auto"/>
        <w:rPr>
          <w:rFonts w:ascii="Arial" w:hAnsi="Arial" w:cs="Arial"/>
          <w:b/>
          <w:bCs/>
        </w:rPr>
      </w:pPr>
    </w:p>
    <w:p w14:paraId="0DF9FEB3" w14:textId="77777777" w:rsidR="000A667E" w:rsidRPr="000A667E" w:rsidRDefault="000A667E" w:rsidP="000A667E">
      <w:pPr>
        <w:spacing w:line="360" w:lineRule="auto"/>
        <w:rPr>
          <w:rFonts w:ascii="Arial" w:hAnsi="Arial" w:cs="Arial"/>
          <w:b/>
          <w:bCs/>
        </w:rPr>
      </w:pPr>
    </w:p>
    <w:p w14:paraId="65674BC9" w14:textId="77777777" w:rsidR="000A667E" w:rsidRPr="000A667E" w:rsidRDefault="000A667E" w:rsidP="000A667E">
      <w:pPr>
        <w:spacing w:line="360" w:lineRule="auto"/>
        <w:rPr>
          <w:rFonts w:ascii="Arial" w:hAnsi="Arial" w:cs="Arial"/>
          <w:b/>
          <w:bCs/>
        </w:rPr>
      </w:pPr>
    </w:p>
    <w:p w14:paraId="317174D1" w14:textId="77777777" w:rsidR="000A667E" w:rsidRPr="000A667E" w:rsidRDefault="000A667E" w:rsidP="000A667E">
      <w:pPr>
        <w:spacing w:line="360" w:lineRule="auto"/>
        <w:rPr>
          <w:rFonts w:ascii="Arial" w:hAnsi="Arial" w:cs="Arial"/>
          <w:b/>
          <w:bCs/>
        </w:rPr>
      </w:pPr>
    </w:p>
    <w:p w14:paraId="28A36BA3" w14:textId="77777777" w:rsidR="000A667E" w:rsidRPr="000A667E" w:rsidRDefault="000A667E" w:rsidP="000A667E">
      <w:pPr>
        <w:spacing w:line="360" w:lineRule="auto"/>
        <w:rPr>
          <w:rFonts w:ascii="Arial" w:hAnsi="Arial" w:cs="Arial"/>
          <w:b/>
          <w:bCs/>
        </w:rPr>
      </w:pPr>
    </w:p>
    <w:p w14:paraId="60301E43" w14:textId="77777777" w:rsidR="000A667E" w:rsidRPr="000A667E" w:rsidRDefault="000A667E" w:rsidP="000A667E">
      <w:pPr>
        <w:spacing w:line="360" w:lineRule="auto"/>
        <w:rPr>
          <w:rFonts w:ascii="Arial" w:hAnsi="Arial" w:cs="Arial"/>
          <w:b/>
          <w:bCs/>
        </w:rPr>
      </w:pPr>
    </w:p>
    <w:p w14:paraId="46F90F12" w14:textId="77777777" w:rsidR="000A667E" w:rsidRPr="000A667E" w:rsidRDefault="000A667E" w:rsidP="000A667E">
      <w:pPr>
        <w:spacing w:line="360" w:lineRule="auto"/>
        <w:rPr>
          <w:rFonts w:ascii="Arial" w:hAnsi="Arial" w:cs="Arial"/>
          <w:b/>
          <w:bCs/>
        </w:rPr>
      </w:pPr>
    </w:p>
    <w:sdt>
      <w:sdtPr>
        <w:rPr>
          <w:rFonts w:asciiTheme="minorHAnsi" w:eastAsiaTheme="minorHAnsi" w:hAnsiTheme="minorHAnsi" w:cstheme="minorBidi"/>
          <w:color w:val="auto"/>
          <w:kern w:val="2"/>
          <w:sz w:val="24"/>
          <w:szCs w:val="24"/>
          <w14:ligatures w14:val="standardContextual"/>
        </w:rPr>
        <w:id w:val="-76981843"/>
        <w:docPartObj>
          <w:docPartGallery w:val="Table of Contents"/>
          <w:docPartUnique/>
        </w:docPartObj>
      </w:sdtPr>
      <w:sdtEndPr>
        <w:rPr>
          <w:b/>
          <w:bCs/>
          <w:noProof/>
        </w:rPr>
      </w:sdtEndPr>
      <w:sdtContent>
        <w:p w14:paraId="20FE965D" w14:textId="55F045DE" w:rsidR="00F1202B" w:rsidRDefault="00F1202B">
          <w:pPr>
            <w:pStyle w:val="TOCHeading"/>
          </w:pPr>
          <w:r>
            <w:t>Table of Contents</w:t>
          </w:r>
        </w:p>
        <w:p w14:paraId="49114A70" w14:textId="33E97E9B" w:rsidR="00F1202B" w:rsidRDefault="00F1202B">
          <w:pPr>
            <w:pStyle w:val="TOC1"/>
            <w:tabs>
              <w:tab w:val="left" w:pos="480"/>
              <w:tab w:val="right" w:leader="dot" w:pos="9350"/>
            </w:tabs>
            <w:rPr>
              <w:noProof/>
            </w:rPr>
          </w:pPr>
          <w:r>
            <w:fldChar w:fldCharType="begin"/>
          </w:r>
          <w:r>
            <w:instrText xml:space="preserve"> TOC \o "1-3" \h \z \u </w:instrText>
          </w:r>
          <w:r>
            <w:fldChar w:fldCharType="separate"/>
          </w:r>
          <w:hyperlink w:anchor="_Toc226548881" w:history="1">
            <w:r w:rsidRPr="00D56474">
              <w:rPr>
                <w:rStyle w:val="Hyperlink"/>
                <w:rFonts w:ascii="Arial" w:hAnsi="Arial" w:cs="Arial"/>
                <w:b/>
                <w:bCs/>
                <w:noProof/>
              </w:rPr>
              <w:t>1.</w:t>
            </w:r>
            <w:r>
              <w:rPr>
                <w:noProof/>
              </w:rPr>
              <w:tab/>
            </w:r>
            <w:r w:rsidRPr="00D5647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_Toc226548881 \h </w:instrText>
            </w:r>
            <w:r>
              <w:rPr>
                <w:noProof/>
                <w:webHidden/>
              </w:rPr>
            </w:r>
            <w:r>
              <w:rPr>
                <w:noProof/>
                <w:webHidden/>
              </w:rPr>
              <w:fldChar w:fldCharType="separate"/>
            </w:r>
            <w:r>
              <w:rPr>
                <w:noProof/>
                <w:webHidden/>
              </w:rPr>
              <w:t>2</w:t>
            </w:r>
            <w:r>
              <w:rPr>
                <w:noProof/>
                <w:webHidden/>
              </w:rPr>
              <w:fldChar w:fldCharType="end"/>
            </w:r>
          </w:hyperlink>
        </w:p>
        <w:p w14:paraId="3761978F" w14:textId="74E515FD" w:rsidR="00F1202B" w:rsidRDefault="00F1202B">
          <w:pPr>
            <w:pStyle w:val="TOC1"/>
            <w:tabs>
              <w:tab w:val="left" w:pos="480"/>
              <w:tab w:val="right" w:leader="dot" w:pos="9350"/>
            </w:tabs>
            <w:rPr>
              <w:noProof/>
            </w:rPr>
          </w:pPr>
          <w:hyperlink w:anchor="_Toc226548882" w:history="1">
            <w:r w:rsidRPr="00D56474">
              <w:rPr>
                <w:rStyle w:val="Hyperlink"/>
                <w:rFonts w:ascii="Arial" w:hAnsi="Arial" w:cs="Arial"/>
                <w:b/>
                <w:bCs/>
                <w:noProof/>
              </w:rPr>
              <w:t>2.</w:t>
            </w:r>
            <w:r>
              <w:rPr>
                <w:noProof/>
              </w:rPr>
              <w:tab/>
            </w:r>
            <w:r w:rsidRPr="00D56474">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_Toc226548882 \h </w:instrText>
            </w:r>
            <w:r>
              <w:rPr>
                <w:noProof/>
                <w:webHidden/>
              </w:rPr>
            </w:r>
            <w:r>
              <w:rPr>
                <w:noProof/>
                <w:webHidden/>
              </w:rPr>
              <w:fldChar w:fldCharType="separate"/>
            </w:r>
            <w:r>
              <w:rPr>
                <w:noProof/>
                <w:webHidden/>
              </w:rPr>
              <w:t>2</w:t>
            </w:r>
            <w:r>
              <w:rPr>
                <w:noProof/>
                <w:webHidden/>
              </w:rPr>
              <w:fldChar w:fldCharType="end"/>
            </w:r>
          </w:hyperlink>
        </w:p>
        <w:p w14:paraId="36001FDE" w14:textId="200399C4" w:rsidR="00F1202B" w:rsidRDefault="00F1202B">
          <w:pPr>
            <w:pStyle w:val="TOC2"/>
            <w:tabs>
              <w:tab w:val="left" w:pos="960"/>
              <w:tab w:val="right" w:leader="dot" w:pos="9350"/>
            </w:tabs>
            <w:rPr>
              <w:noProof/>
            </w:rPr>
          </w:pPr>
          <w:hyperlink w:anchor="_Toc226548883" w:history="1">
            <w:r w:rsidRPr="00D56474">
              <w:rPr>
                <w:rStyle w:val="Hyperlink"/>
                <w:rFonts w:ascii="Arial" w:hAnsi="Arial" w:cs="Arial"/>
                <w:b/>
                <w:bCs/>
                <w:noProof/>
              </w:rPr>
              <w:t>2.1.</w:t>
            </w:r>
            <w:r>
              <w:rPr>
                <w:noProof/>
              </w:rPr>
              <w:tab/>
            </w:r>
            <w:r w:rsidRPr="00D56474">
              <w:rPr>
                <w:rStyle w:val="Hyperlink"/>
                <w:rFonts w:ascii="Arial" w:hAnsi="Arial" w:cs="Arial"/>
                <w:b/>
                <w:bCs/>
                <w:noProof/>
              </w:rPr>
              <w:t>Approaches to Measuring and Monitoring Dementia</w:t>
            </w:r>
            <w:r>
              <w:rPr>
                <w:noProof/>
                <w:webHidden/>
              </w:rPr>
              <w:tab/>
            </w:r>
            <w:r>
              <w:rPr>
                <w:noProof/>
                <w:webHidden/>
              </w:rPr>
              <w:fldChar w:fldCharType="begin"/>
            </w:r>
            <w:r>
              <w:rPr>
                <w:noProof/>
                <w:webHidden/>
              </w:rPr>
              <w:instrText xml:space="preserve"> PAGEREF _Toc226548883 \h </w:instrText>
            </w:r>
            <w:r>
              <w:rPr>
                <w:noProof/>
                <w:webHidden/>
              </w:rPr>
            </w:r>
            <w:r>
              <w:rPr>
                <w:noProof/>
                <w:webHidden/>
              </w:rPr>
              <w:fldChar w:fldCharType="separate"/>
            </w:r>
            <w:r>
              <w:rPr>
                <w:noProof/>
                <w:webHidden/>
              </w:rPr>
              <w:t>2</w:t>
            </w:r>
            <w:r>
              <w:rPr>
                <w:noProof/>
                <w:webHidden/>
              </w:rPr>
              <w:fldChar w:fldCharType="end"/>
            </w:r>
          </w:hyperlink>
        </w:p>
        <w:p w14:paraId="3DD35619" w14:textId="2B7E9D64" w:rsidR="00F1202B" w:rsidRDefault="00F1202B">
          <w:pPr>
            <w:pStyle w:val="TOC2"/>
            <w:tabs>
              <w:tab w:val="left" w:pos="960"/>
              <w:tab w:val="right" w:leader="dot" w:pos="9350"/>
            </w:tabs>
            <w:rPr>
              <w:noProof/>
            </w:rPr>
          </w:pPr>
          <w:hyperlink w:anchor="_Toc226548884" w:history="1">
            <w:r w:rsidRPr="00D56474">
              <w:rPr>
                <w:rStyle w:val="Hyperlink"/>
                <w:rFonts w:ascii="Arial" w:hAnsi="Arial" w:cs="Arial"/>
                <w:b/>
                <w:bCs/>
                <w:noProof/>
              </w:rPr>
              <w:t>2.2.</w:t>
            </w:r>
            <w:r>
              <w:rPr>
                <w:noProof/>
              </w:rPr>
              <w:tab/>
            </w:r>
            <w:r w:rsidRPr="00D56474">
              <w:rPr>
                <w:rStyle w:val="Hyperlink"/>
                <w:rFonts w:ascii="Arial" w:hAnsi="Arial" w:cs="Arial"/>
                <w:b/>
                <w:bCs/>
                <w:noProof/>
              </w:rPr>
              <w:t>Control of Dementia</w:t>
            </w:r>
            <w:r>
              <w:rPr>
                <w:noProof/>
                <w:webHidden/>
              </w:rPr>
              <w:tab/>
            </w:r>
            <w:r>
              <w:rPr>
                <w:noProof/>
                <w:webHidden/>
              </w:rPr>
              <w:fldChar w:fldCharType="begin"/>
            </w:r>
            <w:r>
              <w:rPr>
                <w:noProof/>
                <w:webHidden/>
              </w:rPr>
              <w:instrText xml:space="preserve"> PAGEREF _Toc226548884 \h </w:instrText>
            </w:r>
            <w:r>
              <w:rPr>
                <w:noProof/>
                <w:webHidden/>
              </w:rPr>
            </w:r>
            <w:r>
              <w:rPr>
                <w:noProof/>
                <w:webHidden/>
              </w:rPr>
              <w:fldChar w:fldCharType="separate"/>
            </w:r>
            <w:r>
              <w:rPr>
                <w:noProof/>
                <w:webHidden/>
              </w:rPr>
              <w:t>3</w:t>
            </w:r>
            <w:r>
              <w:rPr>
                <w:noProof/>
                <w:webHidden/>
              </w:rPr>
              <w:fldChar w:fldCharType="end"/>
            </w:r>
          </w:hyperlink>
        </w:p>
        <w:p w14:paraId="6F9ADDBD" w14:textId="57213EFE" w:rsidR="00F1202B" w:rsidRDefault="00F1202B">
          <w:pPr>
            <w:pStyle w:val="TOC2"/>
            <w:tabs>
              <w:tab w:val="left" w:pos="960"/>
              <w:tab w:val="right" w:leader="dot" w:pos="9350"/>
            </w:tabs>
            <w:rPr>
              <w:noProof/>
            </w:rPr>
          </w:pPr>
          <w:hyperlink w:anchor="_Toc226548885" w:history="1">
            <w:r w:rsidRPr="00D56474">
              <w:rPr>
                <w:rStyle w:val="Hyperlink"/>
                <w:rFonts w:ascii="Arial" w:hAnsi="Arial" w:cs="Arial"/>
                <w:b/>
                <w:bCs/>
                <w:noProof/>
              </w:rPr>
              <w:t>2.3.</w:t>
            </w:r>
            <w:r>
              <w:rPr>
                <w:noProof/>
              </w:rPr>
              <w:tab/>
            </w:r>
            <w:r w:rsidRPr="00D56474">
              <w:rPr>
                <w:rStyle w:val="Hyperlink"/>
                <w:rFonts w:ascii="Arial" w:hAnsi="Arial" w:cs="Arial"/>
                <w:b/>
                <w:bCs/>
                <w:noProof/>
              </w:rPr>
              <w:t>Consequences of Dementia on People in the Community</w:t>
            </w:r>
            <w:r>
              <w:rPr>
                <w:noProof/>
                <w:webHidden/>
              </w:rPr>
              <w:tab/>
            </w:r>
            <w:r>
              <w:rPr>
                <w:noProof/>
                <w:webHidden/>
              </w:rPr>
              <w:fldChar w:fldCharType="begin"/>
            </w:r>
            <w:r>
              <w:rPr>
                <w:noProof/>
                <w:webHidden/>
              </w:rPr>
              <w:instrText xml:space="preserve"> PAGEREF _Toc226548885 \h </w:instrText>
            </w:r>
            <w:r>
              <w:rPr>
                <w:noProof/>
                <w:webHidden/>
              </w:rPr>
            </w:r>
            <w:r>
              <w:rPr>
                <w:noProof/>
                <w:webHidden/>
              </w:rPr>
              <w:fldChar w:fldCharType="separate"/>
            </w:r>
            <w:r>
              <w:rPr>
                <w:noProof/>
                <w:webHidden/>
              </w:rPr>
              <w:t>4</w:t>
            </w:r>
            <w:r>
              <w:rPr>
                <w:noProof/>
                <w:webHidden/>
              </w:rPr>
              <w:fldChar w:fldCharType="end"/>
            </w:r>
          </w:hyperlink>
        </w:p>
        <w:p w14:paraId="233981A4" w14:textId="441458B6" w:rsidR="00F1202B" w:rsidRDefault="00F1202B">
          <w:pPr>
            <w:pStyle w:val="TOC2"/>
            <w:tabs>
              <w:tab w:val="left" w:pos="960"/>
              <w:tab w:val="right" w:leader="dot" w:pos="9350"/>
            </w:tabs>
            <w:rPr>
              <w:noProof/>
            </w:rPr>
          </w:pPr>
          <w:hyperlink w:anchor="_Toc226548886" w:history="1">
            <w:r w:rsidRPr="00D56474">
              <w:rPr>
                <w:rStyle w:val="Hyperlink"/>
                <w:rFonts w:ascii="Arial" w:hAnsi="Arial" w:cs="Arial"/>
                <w:b/>
                <w:bCs/>
                <w:noProof/>
              </w:rPr>
              <w:t>2.4.</w:t>
            </w:r>
            <w:r>
              <w:rPr>
                <w:noProof/>
              </w:rPr>
              <w:tab/>
            </w:r>
            <w:r w:rsidRPr="00D56474">
              <w:rPr>
                <w:rStyle w:val="Hyperlink"/>
                <w:rFonts w:ascii="Arial" w:hAnsi="Arial" w:cs="Arial"/>
                <w:b/>
                <w:bCs/>
                <w:noProof/>
              </w:rPr>
              <w:t>Health and Social Care Support Services Required</w:t>
            </w:r>
            <w:r>
              <w:rPr>
                <w:noProof/>
                <w:webHidden/>
              </w:rPr>
              <w:tab/>
            </w:r>
            <w:r>
              <w:rPr>
                <w:noProof/>
                <w:webHidden/>
              </w:rPr>
              <w:fldChar w:fldCharType="begin"/>
            </w:r>
            <w:r>
              <w:rPr>
                <w:noProof/>
                <w:webHidden/>
              </w:rPr>
              <w:instrText xml:space="preserve"> PAGEREF _Toc226548886 \h </w:instrText>
            </w:r>
            <w:r>
              <w:rPr>
                <w:noProof/>
                <w:webHidden/>
              </w:rPr>
            </w:r>
            <w:r>
              <w:rPr>
                <w:noProof/>
                <w:webHidden/>
              </w:rPr>
              <w:fldChar w:fldCharType="separate"/>
            </w:r>
            <w:r>
              <w:rPr>
                <w:noProof/>
                <w:webHidden/>
              </w:rPr>
              <w:t>5</w:t>
            </w:r>
            <w:r>
              <w:rPr>
                <w:noProof/>
                <w:webHidden/>
              </w:rPr>
              <w:fldChar w:fldCharType="end"/>
            </w:r>
          </w:hyperlink>
        </w:p>
        <w:p w14:paraId="702F2C4B" w14:textId="0F4438B0" w:rsidR="00F1202B" w:rsidRDefault="00F1202B">
          <w:pPr>
            <w:pStyle w:val="TOC1"/>
            <w:tabs>
              <w:tab w:val="left" w:pos="480"/>
              <w:tab w:val="right" w:leader="dot" w:pos="9350"/>
            </w:tabs>
            <w:rPr>
              <w:noProof/>
            </w:rPr>
          </w:pPr>
          <w:hyperlink w:anchor="_Toc226548887" w:history="1">
            <w:r w:rsidRPr="00D56474">
              <w:rPr>
                <w:rStyle w:val="Hyperlink"/>
                <w:rFonts w:ascii="Arial" w:hAnsi="Arial" w:cs="Arial"/>
                <w:b/>
                <w:bCs/>
                <w:noProof/>
              </w:rPr>
              <w:t>3.</w:t>
            </w:r>
            <w:r>
              <w:rPr>
                <w:noProof/>
              </w:rPr>
              <w:tab/>
            </w:r>
            <w:r w:rsidRPr="00D5647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_Toc226548887 \h </w:instrText>
            </w:r>
            <w:r>
              <w:rPr>
                <w:noProof/>
                <w:webHidden/>
              </w:rPr>
            </w:r>
            <w:r>
              <w:rPr>
                <w:noProof/>
                <w:webHidden/>
              </w:rPr>
              <w:fldChar w:fldCharType="separate"/>
            </w:r>
            <w:r>
              <w:rPr>
                <w:noProof/>
                <w:webHidden/>
              </w:rPr>
              <w:t>6</w:t>
            </w:r>
            <w:r>
              <w:rPr>
                <w:noProof/>
                <w:webHidden/>
              </w:rPr>
              <w:fldChar w:fldCharType="end"/>
            </w:r>
          </w:hyperlink>
        </w:p>
        <w:p w14:paraId="5CC33088" w14:textId="6636BC9E" w:rsidR="00F1202B" w:rsidRDefault="00F1202B">
          <w:pPr>
            <w:pStyle w:val="TOC1"/>
            <w:tabs>
              <w:tab w:val="left" w:pos="480"/>
              <w:tab w:val="right" w:leader="dot" w:pos="9350"/>
            </w:tabs>
            <w:rPr>
              <w:noProof/>
            </w:rPr>
          </w:pPr>
          <w:hyperlink w:anchor="_Toc226548888" w:history="1">
            <w:r w:rsidRPr="00D56474">
              <w:rPr>
                <w:rStyle w:val="Hyperlink"/>
                <w:rFonts w:ascii="Arial" w:hAnsi="Arial" w:cs="Arial"/>
                <w:b/>
                <w:bCs/>
                <w:noProof/>
              </w:rPr>
              <w:t>4.</w:t>
            </w:r>
            <w:r>
              <w:rPr>
                <w:noProof/>
              </w:rPr>
              <w:tab/>
            </w:r>
            <w:r w:rsidRPr="00D56474">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_Toc226548888 \h </w:instrText>
            </w:r>
            <w:r>
              <w:rPr>
                <w:noProof/>
                <w:webHidden/>
              </w:rPr>
            </w:r>
            <w:r>
              <w:rPr>
                <w:noProof/>
                <w:webHidden/>
              </w:rPr>
              <w:fldChar w:fldCharType="separate"/>
            </w:r>
            <w:r>
              <w:rPr>
                <w:noProof/>
                <w:webHidden/>
              </w:rPr>
              <w:t>6</w:t>
            </w:r>
            <w:r>
              <w:rPr>
                <w:noProof/>
                <w:webHidden/>
              </w:rPr>
              <w:fldChar w:fldCharType="end"/>
            </w:r>
          </w:hyperlink>
        </w:p>
        <w:p w14:paraId="61DB362A" w14:textId="5CEEF315" w:rsidR="00F1202B" w:rsidRDefault="00F1202B">
          <w:r>
            <w:rPr>
              <w:b/>
              <w:bCs/>
              <w:noProof/>
            </w:rPr>
            <w:fldChar w:fldCharType="end"/>
          </w:r>
        </w:p>
      </w:sdtContent>
    </w:sdt>
    <w:p w14:paraId="0A9EAD1A" w14:textId="77777777" w:rsidR="000A667E" w:rsidRPr="000A667E" w:rsidRDefault="000A667E" w:rsidP="000A667E">
      <w:pPr>
        <w:spacing w:line="360" w:lineRule="auto"/>
        <w:rPr>
          <w:rFonts w:ascii="Arial" w:hAnsi="Arial" w:cs="Arial"/>
          <w:b/>
          <w:bCs/>
        </w:rPr>
      </w:pPr>
    </w:p>
    <w:p w14:paraId="5F3AAE8D" w14:textId="77777777" w:rsidR="000A667E" w:rsidRPr="000A667E" w:rsidRDefault="000A667E" w:rsidP="000A667E">
      <w:pPr>
        <w:spacing w:line="360" w:lineRule="auto"/>
        <w:rPr>
          <w:rFonts w:ascii="Arial" w:hAnsi="Arial" w:cs="Arial"/>
          <w:b/>
          <w:bCs/>
        </w:rPr>
      </w:pPr>
    </w:p>
    <w:p w14:paraId="6CCFF1DC" w14:textId="77777777" w:rsidR="000A667E" w:rsidRPr="000A667E" w:rsidRDefault="000A667E" w:rsidP="000A667E">
      <w:pPr>
        <w:spacing w:line="360" w:lineRule="auto"/>
        <w:rPr>
          <w:rFonts w:ascii="Arial" w:hAnsi="Arial" w:cs="Arial"/>
          <w:b/>
          <w:bCs/>
        </w:rPr>
      </w:pPr>
    </w:p>
    <w:p w14:paraId="0E02CE30" w14:textId="77777777" w:rsidR="000A667E" w:rsidRDefault="000A667E" w:rsidP="000A667E">
      <w:pPr>
        <w:spacing w:line="360" w:lineRule="auto"/>
        <w:rPr>
          <w:rFonts w:ascii="Arial" w:hAnsi="Arial" w:cs="Arial"/>
          <w:b/>
          <w:bCs/>
        </w:rPr>
      </w:pPr>
    </w:p>
    <w:p w14:paraId="0BD44397" w14:textId="77777777" w:rsidR="00F1202B" w:rsidRDefault="00F1202B" w:rsidP="000A667E">
      <w:pPr>
        <w:spacing w:line="360" w:lineRule="auto"/>
        <w:rPr>
          <w:rFonts w:ascii="Arial" w:hAnsi="Arial" w:cs="Arial"/>
          <w:b/>
          <w:bCs/>
        </w:rPr>
      </w:pPr>
    </w:p>
    <w:p w14:paraId="7638BADA" w14:textId="77777777" w:rsidR="000A667E" w:rsidRPr="000A667E" w:rsidRDefault="000A667E" w:rsidP="000A667E">
      <w:pPr>
        <w:spacing w:line="360" w:lineRule="auto"/>
        <w:rPr>
          <w:rFonts w:ascii="Arial" w:hAnsi="Arial" w:cs="Arial"/>
          <w:b/>
          <w:bCs/>
        </w:rPr>
      </w:pPr>
    </w:p>
    <w:p w14:paraId="3A3697B8" w14:textId="77777777" w:rsidR="000A667E" w:rsidRPr="000A667E" w:rsidRDefault="000A667E" w:rsidP="000A667E">
      <w:pPr>
        <w:spacing w:line="360" w:lineRule="auto"/>
        <w:rPr>
          <w:rFonts w:ascii="Arial" w:hAnsi="Arial" w:cs="Arial"/>
          <w:b/>
          <w:bCs/>
        </w:rPr>
      </w:pPr>
    </w:p>
    <w:p w14:paraId="2FE24FB4" w14:textId="6B95BE3B" w:rsidR="000A667E" w:rsidRPr="000A667E" w:rsidRDefault="000A667E" w:rsidP="000A667E">
      <w:pPr>
        <w:pStyle w:val="ListParagraph"/>
        <w:numPr>
          <w:ilvl w:val="0"/>
          <w:numId w:val="1"/>
        </w:numPr>
        <w:spacing w:line="360" w:lineRule="auto"/>
        <w:outlineLvl w:val="0"/>
        <w:rPr>
          <w:rFonts w:ascii="Arial" w:hAnsi="Arial" w:cs="Arial"/>
          <w:b/>
          <w:bCs/>
        </w:rPr>
      </w:pPr>
      <w:bookmarkStart w:id="0" w:name="_Toc226548881"/>
      <w:r w:rsidRPr="000A667E">
        <w:rPr>
          <w:rFonts w:ascii="Arial" w:hAnsi="Arial" w:cs="Arial"/>
          <w:b/>
          <w:bCs/>
        </w:rPr>
        <w:lastRenderedPageBreak/>
        <w:t>Introduction</w:t>
      </w:r>
      <w:bookmarkEnd w:id="0"/>
      <w:r w:rsidRPr="000A667E">
        <w:rPr>
          <w:rFonts w:ascii="Arial" w:hAnsi="Arial" w:cs="Arial"/>
          <w:b/>
          <w:bCs/>
        </w:rPr>
        <w:t xml:space="preserve"> </w:t>
      </w:r>
    </w:p>
    <w:p w14:paraId="7CD47A47" w14:textId="4EF1B9EC" w:rsidR="000A667E" w:rsidRPr="000A667E" w:rsidRDefault="000A667E" w:rsidP="000A667E">
      <w:pPr>
        <w:spacing w:line="360" w:lineRule="auto"/>
        <w:rPr>
          <w:rFonts w:ascii="Arial" w:hAnsi="Arial" w:cs="Arial"/>
        </w:rPr>
      </w:pPr>
      <w:r w:rsidRPr="000A667E">
        <w:rPr>
          <w:rFonts w:ascii="Arial" w:hAnsi="Arial" w:cs="Arial"/>
        </w:rPr>
        <w:t xml:space="preserve">Dementia is a progressive clinical syndrome that is </w:t>
      </w:r>
      <w:proofErr w:type="spellStart"/>
      <w:r w:rsidR="00165367" w:rsidRPr="000A667E">
        <w:rPr>
          <w:rFonts w:ascii="Arial" w:hAnsi="Arial" w:cs="Arial"/>
        </w:rPr>
        <w:t>characteri</w:t>
      </w:r>
      <w:r w:rsidR="00165367">
        <w:rPr>
          <w:rFonts w:ascii="Arial" w:hAnsi="Arial" w:cs="Arial"/>
        </w:rPr>
        <w:t>s</w:t>
      </w:r>
      <w:r w:rsidR="00165367" w:rsidRPr="000A667E">
        <w:rPr>
          <w:rFonts w:ascii="Arial" w:hAnsi="Arial" w:cs="Arial"/>
        </w:rPr>
        <w:t>ed</w:t>
      </w:r>
      <w:proofErr w:type="spellEnd"/>
      <w:r w:rsidRPr="000A667E">
        <w:rPr>
          <w:rFonts w:ascii="Arial" w:hAnsi="Arial" w:cs="Arial"/>
        </w:rPr>
        <w:t xml:space="preserve"> by a decline in cognition that affects day-to-day functioning globally. It is not a particular illness but a general term that embraces a variety of conditions, where Alzheimer disease is 60-70% of all, and the rest are vascular dementia, dementia with Lewy bodies, and frontotemporal dementia </w:t>
      </w:r>
      <w:sdt>
        <w:sdtPr>
          <w:rPr>
            <w:rFonts w:ascii="Arial" w:hAnsi="Arial" w:cs="Arial"/>
          </w:rPr>
          <w:id w:val="-1863356993"/>
          <w:citation/>
        </w:sdtPr>
        <w:sdtContent>
          <w:r w:rsidR="002E3A81">
            <w:rPr>
              <w:rFonts w:ascii="Arial" w:hAnsi="Arial" w:cs="Arial"/>
            </w:rPr>
            <w:fldChar w:fldCharType="begin"/>
          </w:r>
          <w:r w:rsidR="002E3A81">
            <w:rPr>
              <w:rFonts w:ascii="Arial" w:hAnsi="Arial" w:cs="Arial"/>
            </w:rPr>
            <w:instrText xml:space="preserve"> CITATION Dia24 \l 1033 </w:instrText>
          </w:r>
          <w:r w:rsidR="002E3A81">
            <w:rPr>
              <w:rFonts w:ascii="Arial" w:hAnsi="Arial" w:cs="Arial"/>
            </w:rPr>
            <w:fldChar w:fldCharType="separate"/>
          </w:r>
          <w:r w:rsidR="002E3A81" w:rsidRPr="002E3A81">
            <w:rPr>
              <w:rFonts w:ascii="Arial" w:hAnsi="Arial" w:cs="Arial"/>
              <w:noProof/>
            </w:rPr>
            <w:t>(Diaz-Navarro, 2024)</w:t>
          </w:r>
          <w:r w:rsidR="002E3A81">
            <w:rPr>
              <w:rFonts w:ascii="Arial" w:hAnsi="Arial" w:cs="Arial"/>
            </w:rPr>
            <w:fldChar w:fldCharType="end"/>
          </w:r>
        </w:sdtContent>
      </w:sdt>
      <w:r w:rsidRPr="000A667E">
        <w:rPr>
          <w:rFonts w:ascii="Arial" w:hAnsi="Arial" w:cs="Arial"/>
        </w:rPr>
        <w:t xml:space="preserve">. The most common signs and symptoms are memory loss, especially of recent events, language and communication difficulties, impaired reasoning and judgement, time and place disorientation, personality changes and eventual inability to carry out simple activities of daily living. Globally, the World Health </w:t>
      </w:r>
      <w:proofErr w:type="spellStart"/>
      <w:r w:rsidR="002263BC" w:rsidRPr="000A667E">
        <w:rPr>
          <w:rFonts w:ascii="Arial" w:hAnsi="Arial" w:cs="Arial"/>
        </w:rPr>
        <w:t>Organi</w:t>
      </w:r>
      <w:r w:rsidR="002263BC">
        <w:rPr>
          <w:rFonts w:ascii="Arial" w:hAnsi="Arial" w:cs="Arial"/>
        </w:rPr>
        <w:t>s</w:t>
      </w:r>
      <w:r w:rsidR="002263BC" w:rsidRPr="000A667E">
        <w:rPr>
          <w:rFonts w:ascii="Arial" w:hAnsi="Arial" w:cs="Arial"/>
        </w:rPr>
        <w:t>ation</w:t>
      </w:r>
      <w:proofErr w:type="spellEnd"/>
      <w:r w:rsidRPr="000A667E">
        <w:rPr>
          <w:rFonts w:ascii="Arial" w:hAnsi="Arial" w:cs="Arial"/>
        </w:rPr>
        <w:t xml:space="preserve"> (202</w:t>
      </w:r>
      <w:r w:rsidR="002E3A81">
        <w:rPr>
          <w:rFonts w:ascii="Arial" w:hAnsi="Arial" w:cs="Arial"/>
        </w:rPr>
        <w:t>4</w:t>
      </w:r>
      <w:r w:rsidRPr="000A667E">
        <w:rPr>
          <w:rFonts w:ascii="Arial" w:hAnsi="Arial" w:cs="Arial"/>
        </w:rPr>
        <w:t xml:space="preserve">) estimates that more than 55 million individuals have dementia, and almost 10 million individuals are diagnosed with the condition each year. The number of individuals with dementia in the United Kingdom is estimated at 944,000 at </w:t>
      </w:r>
      <w:r w:rsidR="005B5987" w:rsidRPr="000A667E">
        <w:rPr>
          <w:rFonts w:ascii="Arial" w:hAnsi="Arial" w:cs="Arial"/>
        </w:rPr>
        <w:t>pres</w:t>
      </w:r>
      <w:r w:rsidR="00E56ECE">
        <w:rPr>
          <w:rFonts w:ascii="Arial" w:hAnsi="Arial" w:cs="Arial"/>
        </w:rPr>
        <w:t>ent</w:t>
      </w:r>
      <w:r w:rsidR="005B5987">
        <w:rPr>
          <w:rFonts w:ascii="Arial" w:hAnsi="Arial" w:cs="Arial"/>
        </w:rPr>
        <w:t>. This is mainly b</w:t>
      </w:r>
      <w:r w:rsidR="00E56ECE">
        <w:rPr>
          <w:rFonts w:ascii="Arial" w:hAnsi="Arial" w:cs="Arial"/>
        </w:rPr>
        <w:t>ecause of high prevalence  primarily driven by increased life expectancy and  ageing population, which are key risk factors for dementia</w:t>
      </w:r>
      <w:r w:rsidR="005B5987" w:rsidRPr="000A667E">
        <w:rPr>
          <w:rFonts w:ascii="Arial" w:hAnsi="Arial" w:cs="Arial"/>
        </w:rPr>
        <w:t xml:space="preserve"> and</w:t>
      </w:r>
      <w:r w:rsidRPr="000A667E">
        <w:rPr>
          <w:rFonts w:ascii="Arial" w:hAnsi="Arial" w:cs="Arial"/>
        </w:rPr>
        <w:t xml:space="preserve"> is expected to increase to 1.6 million by 2040 because of the ageing population </w:t>
      </w:r>
      <w:sdt>
        <w:sdtPr>
          <w:rPr>
            <w:rFonts w:ascii="Arial" w:hAnsi="Arial" w:cs="Arial"/>
          </w:rPr>
          <w:id w:val="2001840961"/>
          <w:citation/>
        </w:sdtPr>
        <w:sdtContent>
          <w:r w:rsidR="002E3A81">
            <w:rPr>
              <w:rFonts w:ascii="Arial" w:hAnsi="Arial" w:cs="Arial"/>
            </w:rPr>
            <w:fldChar w:fldCharType="begin"/>
          </w:r>
          <w:r w:rsidR="002E3A81">
            <w:rPr>
              <w:rFonts w:ascii="Arial" w:hAnsi="Arial" w:cs="Arial"/>
            </w:rPr>
            <w:instrText xml:space="preserve"> CITATION Man232 \l 1033 </w:instrText>
          </w:r>
          <w:r w:rsidR="002E3A81">
            <w:rPr>
              <w:rFonts w:ascii="Arial" w:hAnsi="Arial" w:cs="Arial"/>
            </w:rPr>
            <w:fldChar w:fldCharType="separate"/>
          </w:r>
          <w:r w:rsidR="002E3A81" w:rsidRPr="002E3A81">
            <w:rPr>
              <w:rFonts w:ascii="Arial" w:hAnsi="Arial" w:cs="Arial"/>
              <w:noProof/>
            </w:rPr>
            <w:t>(Manthorpe, 2023)</w:t>
          </w:r>
          <w:r w:rsidR="002E3A81">
            <w:rPr>
              <w:rFonts w:ascii="Arial" w:hAnsi="Arial" w:cs="Arial"/>
            </w:rPr>
            <w:fldChar w:fldCharType="end"/>
          </w:r>
        </w:sdtContent>
      </w:sdt>
      <w:r w:rsidRPr="000A667E">
        <w:rPr>
          <w:rFonts w:ascii="Arial" w:hAnsi="Arial" w:cs="Arial"/>
        </w:rPr>
        <w:t>. The report looks at the methods of measuring and surveillance of dementia, methods of control, societal implications and services of health and social care that are needed.</w:t>
      </w:r>
    </w:p>
    <w:p w14:paraId="7E63FDEF" w14:textId="091015D8" w:rsidR="000A667E" w:rsidRPr="000A667E" w:rsidRDefault="000A667E" w:rsidP="000A667E">
      <w:pPr>
        <w:pStyle w:val="ListParagraph"/>
        <w:numPr>
          <w:ilvl w:val="0"/>
          <w:numId w:val="1"/>
        </w:numPr>
        <w:spacing w:line="360" w:lineRule="auto"/>
        <w:outlineLvl w:val="0"/>
        <w:rPr>
          <w:rFonts w:ascii="Arial" w:hAnsi="Arial" w:cs="Arial"/>
          <w:b/>
          <w:bCs/>
        </w:rPr>
      </w:pPr>
      <w:bookmarkStart w:id="1" w:name="_Toc226548882"/>
      <w:r w:rsidRPr="000A667E">
        <w:rPr>
          <w:rFonts w:ascii="Arial" w:hAnsi="Arial" w:cs="Arial"/>
          <w:b/>
          <w:bCs/>
        </w:rPr>
        <w:t>Main Body</w:t>
      </w:r>
      <w:bookmarkEnd w:id="1"/>
      <w:r w:rsidRPr="000A667E">
        <w:rPr>
          <w:rFonts w:ascii="Arial" w:hAnsi="Arial" w:cs="Arial"/>
          <w:b/>
          <w:bCs/>
        </w:rPr>
        <w:t xml:space="preserve"> </w:t>
      </w:r>
    </w:p>
    <w:p w14:paraId="5D11BBAC" w14:textId="3B15B261" w:rsidR="000A667E" w:rsidRPr="000A667E" w:rsidRDefault="000A667E" w:rsidP="000A667E">
      <w:pPr>
        <w:pStyle w:val="ListParagraph"/>
        <w:numPr>
          <w:ilvl w:val="1"/>
          <w:numId w:val="1"/>
        </w:numPr>
        <w:spacing w:line="360" w:lineRule="auto"/>
        <w:outlineLvl w:val="1"/>
        <w:rPr>
          <w:rFonts w:ascii="Arial" w:hAnsi="Arial" w:cs="Arial"/>
          <w:b/>
          <w:bCs/>
        </w:rPr>
      </w:pPr>
      <w:bookmarkStart w:id="2" w:name="_Toc226548883"/>
      <w:r w:rsidRPr="000A667E">
        <w:rPr>
          <w:rFonts w:ascii="Arial" w:hAnsi="Arial" w:cs="Arial"/>
          <w:b/>
          <w:bCs/>
        </w:rPr>
        <w:t>Approaches to Measuring and Monitoring Dementia</w:t>
      </w:r>
      <w:bookmarkEnd w:id="2"/>
    </w:p>
    <w:p w14:paraId="41F4B9ED" w14:textId="77777777" w:rsidR="000A667E" w:rsidRPr="000A667E" w:rsidRDefault="000A667E" w:rsidP="000A667E">
      <w:pPr>
        <w:spacing w:line="360" w:lineRule="auto"/>
        <w:rPr>
          <w:rFonts w:ascii="Arial" w:hAnsi="Arial" w:cs="Arial"/>
        </w:rPr>
      </w:pPr>
      <w:r w:rsidRPr="000A667E">
        <w:rPr>
          <w:rFonts w:ascii="Arial" w:hAnsi="Arial" w:cs="Arial"/>
        </w:rPr>
        <w:t>There are various epidemiological methods used in the measurement and monitoring of incidence and prevalence of dementia in public health. Primary care registration is the primary method with the general practitioners keeping dementia registers as a part of the Quality and Outcomes Framework (QOF). According to NHS Digital (2024), this system allows tracking of the diagnosed prevalence in all clinical commissioning groups in England annually, although it underestimates the prevalence due to the estimated one-third of unreported cases of dementia.</w:t>
      </w:r>
    </w:p>
    <w:p w14:paraId="648D872C" w14:textId="29BD5EF7" w:rsidR="000A667E" w:rsidRPr="000A667E" w:rsidRDefault="000A667E" w:rsidP="000A667E">
      <w:pPr>
        <w:spacing w:line="360" w:lineRule="auto"/>
        <w:rPr>
          <w:rFonts w:ascii="Arial" w:hAnsi="Arial" w:cs="Arial"/>
        </w:rPr>
      </w:pPr>
      <w:r w:rsidRPr="000A667E">
        <w:rPr>
          <w:rFonts w:ascii="Arial" w:hAnsi="Arial" w:cs="Arial"/>
        </w:rPr>
        <w:t xml:space="preserve">Secondly, cognitive screening devices are implemented in community. Both the Mini-Mental State Examination (MMSE) and the General Practitioner Assessment of Cognition (GPCOG) are validated tests to identify the possible cognitive impairment in </w:t>
      </w:r>
      <w:r w:rsidRPr="000A667E">
        <w:rPr>
          <w:rFonts w:ascii="Arial" w:hAnsi="Arial" w:cs="Arial"/>
        </w:rPr>
        <w:lastRenderedPageBreak/>
        <w:t xml:space="preserve">the context of routine health check-ups or </w:t>
      </w:r>
      <w:r w:rsidR="00C25F91" w:rsidRPr="000A667E">
        <w:rPr>
          <w:rFonts w:ascii="Arial" w:hAnsi="Arial" w:cs="Arial"/>
        </w:rPr>
        <w:t>because of</w:t>
      </w:r>
      <w:r w:rsidRPr="000A667E">
        <w:rPr>
          <w:rFonts w:ascii="Arial" w:hAnsi="Arial" w:cs="Arial"/>
        </w:rPr>
        <w:t xml:space="preserve"> family concerns (Public Health England, 2021). The tools give repeatable and </w:t>
      </w:r>
      <w:proofErr w:type="spellStart"/>
      <w:r w:rsidRPr="000A667E">
        <w:rPr>
          <w:rFonts w:ascii="Arial" w:hAnsi="Arial" w:cs="Arial"/>
        </w:rPr>
        <w:t>standardised</w:t>
      </w:r>
      <w:proofErr w:type="spellEnd"/>
      <w:r w:rsidRPr="000A667E">
        <w:rPr>
          <w:rFonts w:ascii="Arial" w:hAnsi="Arial" w:cs="Arial"/>
        </w:rPr>
        <w:t xml:space="preserve"> measures that enable one to monitor cognitive decline with time.</w:t>
      </w:r>
    </w:p>
    <w:p w14:paraId="2487872A" w14:textId="77777777" w:rsidR="000A667E" w:rsidRPr="000A667E" w:rsidRDefault="000A667E" w:rsidP="000A667E">
      <w:pPr>
        <w:spacing w:line="360" w:lineRule="auto"/>
        <w:rPr>
          <w:rFonts w:ascii="Arial" w:hAnsi="Arial" w:cs="Arial"/>
        </w:rPr>
      </w:pPr>
      <w:r w:rsidRPr="000A667E">
        <w:rPr>
          <w:rFonts w:ascii="Arial" w:hAnsi="Arial" w:cs="Arial"/>
        </w:rPr>
        <w:t>Thirdly, population-based cohort studies like the Cognitive Function and Ageing Study (CFAS) offer longitudinal information concerning the incidence of dementia, risk factors and trends. These studies will screen populations unlike administrative data since they screen populations whether they have sought medical assistance or not, thus including undiagnosed cases.</w:t>
      </w:r>
    </w:p>
    <w:p w14:paraId="7E592A79" w14:textId="78CD38EF" w:rsidR="000A667E" w:rsidRPr="000A667E" w:rsidRDefault="000A667E" w:rsidP="000A667E">
      <w:pPr>
        <w:spacing w:line="360" w:lineRule="auto"/>
        <w:rPr>
          <w:rFonts w:ascii="Arial" w:hAnsi="Arial" w:cs="Arial"/>
        </w:rPr>
      </w:pPr>
      <w:r w:rsidRPr="000A667E">
        <w:rPr>
          <w:rFonts w:ascii="Arial" w:hAnsi="Arial" w:cs="Arial"/>
        </w:rPr>
        <w:t xml:space="preserve">Fourthly, hospital episode statistics (HES) </w:t>
      </w:r>
      <w:r w:rsidR="00C25F91" w:rsidRPr="000A667E">
        <w:rPr>
          <w:rFonts w:ascii="Arial" w:hAnsi="Arial" w:cs="Arial"/>
        </w:rPr>
        <w:t>monitor</w:t>
      </w:r>
      <w:r w:rsidRPr="000A667E">
        <w:rPr>
          <w:rFonts w:ascii="Arial" w:hAnsi="Arial" w:cs="Arial"/>
        </w:rPr>
        <w:t xml:space="preserve"> the admissions where dementia is documented either as a first or second diagnosis. Mortality data is also </w:t>
      </w:r>
      <w:r w:rsidR="00C25F91" w:rsidRPr="000A667E">
        <w:rPr>
          <w:rFonts w:ascii="Arial" w:hAnsi="Arial" w:cs="Arial"/>
        </w:rPr>
        <w:t>analyses</w:t>
      </w:r>
      <w:r w:rsidRPr="000A667E">
        <w:rPr>
          <w:rFonts w:ascii="Arial" w:hAnsi="Arial" w:cs="Arial"/>
        </w:rPr>
        <w:t xml:space="preserve"> by the Office for National Statistics (ONS), but dementia is much under-reported on death certificates, with many deaths reported as a result of pneumonia or other terminal illnesses instead of the underlying dementia </w:t>
      </w:r>
      <w:sdt>
        <w:sdtPr>
          <w:rPr>
            <w:rFonts w:ascii="Arial" w:hAnsi="Arial" w:cs="Arial"/>
          </w:rPr>
          <w:id w:val="187117219"/>
          <w:citation/>
        </w:sdtPr>
        <w:sdtContent>
          <w:r w:rsidR="002E3A81">
            <w:rPr>
              <w:rFonts w:ascii="Arial" w:hAnsi="Arial" w:cs="Arial"/>
            </w:rPr>
            <w:fldChar w:fldCharType="begin"/>
          </w:r>
          <w:r w:rsidR="002E3A81">
            <w:rPr>
              <w:rFonts w:ascii="Arial" w:hAnsi="Arial" w:cs="Arial"/>
            </w:rPr>
            <w:instrText xml:space="preserve"> CITATION Olc22 \l 1033 </w:instrText>
          </w:r>
          <w:r w:rsidR="002E3A81">
            <w:rPr>
              <w:rFonts w:ascii="Arial" w:hAnsi="Arial" w:cs="Arial"/>
            </w:rPr>
            <w:fldChar w:fldCharType="separate"/>
          </w:r>
          <w:r w:rsidR="002E3A81" w:rsidRPr="002E3A81">
            <w:rPr>
              <w:rFonts w:ascii="Arial" w:hAnsi="Arial" w:cs="Arial"/>
              <w:noProof/>
            </w:rPr>
            <w:t>(Olcott Jr, 2022)</w:t>
          </w:r>
          <w:r w:rsidR="002E3A81">
            <w:rPr>
              <w:rFonts w:ascii="Arial" w:hAnsi="Arial" w:cs="Arial"/>
            </w:rPr>
            <w:fldChar w:fldCharType="end"/>
          </w:r>
        </w:sdtContent>
      </w:sdt>
      <w:r w:rsidRPr="000A667E">
        <w:rPr>
          <w:rFonts w:ascii="Arial" w:hAnsi="Arial" w:cs="Arial"/>
        </w:rPr>
        <w:t>.</w:t>
      </w:r>
    </w:p>
    <w:p w14:paraId="3F85A93C" w14:textId="2DAA1A2E" w:rsidR="000A667E" w:rsidRPr="000A667E" w:rsidRDefault="000A667E" w:rsidP="000A667E">
      <w:pPr>
        <w:pStyle w:val="ListParagraph"/>
        <w:numPr>
          <w:ilvl w:val="1"/>
          <w:numId w:val="1"/>
        </w:numPr>
        <w:spacing w:line="360" w:lineRule="auto"/>
        <w:outlineLvl w:val="1"/>
        <w:rPr>
          <w:rFonts w:ascii="Arial" w:hAnsi="Arial" w:cs="Arial"/>
          <w:b/>
          <w:bCs/>
        </w:rPr>
      </w:pPr>
      <w:bookmarkStart w:id="3" w:name="_Toc226548884"/>
      <w:r w:rsidRPr="000A667E">
        <w:rPr>
          <w:rFonts w:ascii="Arial" w:hAnsi="Arial" w:cs="Arial"/>
          <w:b/>
          <w:bCs/>
        </w:rPr>
        <w:t>Control of Dementia</w:t>
      </w:r>
      <w:bookmarkEnd w:id="3"/>
    </w:p>
    <w:p w14:paraId="5FA923FF" w14:textId="49633FFB" w:rsidR="000A667E" w:rsidRPr="000A667E" w:rsidRDefault="000A667E" w:rsidP="000A667E">
      <w:pPr>
        <w:spacing w:line="360" w:lineRule="auto"/>
        <w:rPr>
          <w:rFonts w:ascii="Arial" w:hAnsi="Arial" w:cs="Arial"/>
        </w:rPr>
      </w:pPr>
      <w:r w:rsidRPr="000A667E">
        <w:rPr>
          <w:rFonts w:ascii="Arial" w:hAnsi="Arial" w:cs="Arial"/>
        </w:rPr>
        <w:t xml:space="preserve">However, in contrast to infectious diseases where there is an option to eliminate it, dementia control involves a multi-modal approach that involves primary, secondary and tertiary prevention. Primary prevention is aimed at decreasing risk factors that are modifiable. Twelve modifiable risk factors that, according to the Lancet Commission on dementia prevention, contribute to about 40% of cases of dementia worldwide include low education, hypertension, hearing impairment, smoking, obesity, depression, physical inactivity, diabetes, low social contact, excessive alcohol consumption, traumatic brain injury, and air pollution </w:t>
      </w:r>
      <w:sdt>
        <w:sdtPr>
          <w:rPr>
            <w:rFonts w:ascii="Arial" w:hAnsi="Arial" w:cs="Arial"/>
          </w:rPr>
          <w:id w:val="107554854"/>
          <w:citation/>
        </w:sdtPr>
        <w:sdtContent>
          <w:r w:rsidR="002E3A81">
            <w:rPr>
              <w:rFonts w:ascii="Arial" w:hAnsi="Arial" w:cs="Arial"/>
            </w:rPr>
            <w:fldChar w:fldCharType="begin"/>
          </w:r>
          <w:r w:rsidR="002E3A81">
            <w:rPr>
              <w:rFonts w:ascii="Arial" w:hAnsi="Arial" w:cs="Arial"/>
            </w:rPr>
            <w:instrText xml:space="preserve"> CITATION Sou23 \l 1033 </w:instrText>
          </w:r>
          <w:r w:rsidR="002E3A81">
            <w:rPr>
              <w:rFonts w:ascii="Arial" w:hAnsi="Arial" w:cs="Arial"/>
            </w:rPr>
            <w:fldChar w:fldCharType="separate"/>
          </w:r>
          <w:r w:rsidR="002E3A81" w:rsidRPr="002E3A81">
            <w:rPr>
              <w:rFonts w:ascii="Arial" w:hAnsi="Arial" w:cs="Arial"/>
              <w:noProof/>
            </w:rPr>
            <w:t>(Southworth, 2023)</w:t>
          </w:r>
          <w:r w:rsidR="002E3A81">
            <w:rPr>
              <w:rFonts w:ascii="Arial" w:hAnsi="Arial" w:cs="Arial"/>
            </w:rPr>
            <w:fldChar w:fldCharType="end"/>
          </w:r>
        </w:sdtContent>
      </w:sdt>
      <w:r w:rsidRPr="000A667E">
        <w:rPr>
          <w:rFonts w:ascii="Arial" w:hAnsi="Arial" w:cs="Arial"/>
        </w:rPr>
        <w:t xml:space="preserve">. The NHS Health Check adult </w:t>
      </w:r>
      <w:proofErr w:type="spellStart"/>
      <w:r w:rsidRPr="000A667E">
        <w:rPr>
          <w:rFonts w:ascii="Arial" w:hAnsi="Arial" w:cs="Arial"/>
        </w:rPr>
        <w:t>programme</w:t>
      </w:r>
      <w:proofErr w:type="spellEnd"/>
      <w:r w:rsidRPr="000A667E">
        <w:rPr>
          <w:rFonts w:ascii="Arial" w:hAnsi="Arial" w:cs="Arial"/>
        </w:rPr>
        <w:t xml:space="preserve"> (40</w:t>
      </w:r>
      <w:r>
        <w:rPr>
          <w:rFonts w:ascii="Arial" w:hAnsi="Arial" w:cs="Arial"/>
        </w:rPr>
        <w:t>-</w:t>
      </w:r>
      <w:r w:rsidRPr="000A667E">
        <w:rPr>
          <w:rFonts w:ascii="Arial" w:hAnsi="Arial" w:cs="Arial"/>
        </w:rPr>
        <w:t>74) in the UK is used to detect and control cardiovascular risk factors shared by dementia, thus indirectly lowering the risk of dementia.</w:t>
      </w:r>
    </w:p>
    <w:p w14:paraId="76D6E478" w14:textId="231E9993" w:rsidR="000A667E" w:rsidRPr="000A667E" w:rsidRDefault="000A667E" w:rsidP="000A667E">
      <w:pPr>
        <w:spacing w:line="360" w:lineRule="auto"/>
        <w:rPr>
          <w:rFonts w:ascii="Arial" w:hAnsi="Arial" w:cs="Arial"/>
        </w:rPr>
      </w:pPr>
      <w:r w:rsidRPr="000A667E">
        <w:rPr>
          <w:rFonts w:ascii="Arial" w:hAnsi="Arial" w:cs="Arial"/>
        </w:rPr>
        <w:t xml:space="preserve">Early detection and diagnosis </w:t>
      </w:r>
      <w:proofErr w:type="gramStart"/>
      <w:r w:rsidRPr="000A667E">
        <w:rPr>
          <w:rFonts w:ascii="Arial" w:hAnsi="Arial" w:cs="Arial"/>
        </w:rPr>
        <w:t>is</w:t>
      </w:r>
      <w:proofErr w:type="gramEnd"/>
      <w:r w:rsidRPr="000A667E">
        <w:rPr>
          <w:rFonts w:ascii="Arial" w:hAnsi="Arial" w:cs="Arial"/>
        </w:rPr>
        <w:t xml:space="preserve"> a secondary prevention. The UK Dementia Strategy indicates the national goal that 66.7 percent of all individuals with dementia must be formally diagnosed, so that they can be intervened with. Multidisciplinary diagnostic assessment, such as cognitive testing, brain imaging, and blood tests to rule out </w:t>
      </w:r>
      <w:r w:rsidRPr="000A667E">
        <w:rPr>
          <w:rFonts w:ascii="Arial" w:hAnsi="Arial" w:cs="Arial"/>
        </w:rPr>
        <w:lastRenderedPageBreak/>
        <w:t xml:space="preserve">reversible causes of cognitive impairment </w:t>
      </w:r>
      <w:r w:rsidR="00C25F91" w:rsidRPr="000A667E">
        <w:rPr>
          <w:rFonts w:ascii="Arial" w:hAnsi="Arial" w:cs="Arial"/>
        </w:rPr>
        <w:t>are</w:t>
      </w:r>
      <w:r w:rsidRPr="000A667E">
        <w:rPr>
          <w:rFonts w:ascii="Arial" w:hAnsi="Arial" w:cs="Arial"/>
        </w:rPr>
        <w:t xml:space="preserve"> available in memory assessment services.</w:t>
      </w:r>
    </w:p>
    <w:p w14:paraId="697A42A5" w14:textId="74AD1F7F" w:rsidR="000A667E" w:rsidRPr="000A667E" w:rsidRDefault="000A667E" w:rsidP="000A667E">
      <w:pPr>
        <w:spacing w:line="360" w:lineRule="auto"/>
        <w:rPr>
          <w:rFonts w:ascii="Arial" w:hAnsi="Arial" w:cs="Arial"/>
        </w:rPr>
      </w:pPr>
      <w:r w:rsidRPr="000A667E">
        <w:rPr>
          <w:rFonts w:ascii="Arial" w:hAnsi="Arial" w:cs="Arial"/>
        </w:rPr>
        <w:t xml:space="preserve">Tertiary prevention is aimed at dealing with symptoms and complications. Acetylcholinesterase Inhibitors (donepezil, rivastigmine, galantamine) are used in mild-to-moderate cases of Alzheimer disease and temporarily delay cognitive impairment by about six to twelve months </w:t>
      </w:r>
      <w:sdt>
        <w:sdtPr>
          <w:rPr>
            <w:rFonts w:ascii="Arial" w:hAnsi="Arial" w:cs="Arial"/>
          </w:rPr>
          <w:id w:val="575020081"/>
          <w:citation/>
        </w:sdtPr>
        <w:sdtContent>
          <w:r w:rsidR="002E3A81">
            <w:rPr>
              <w:rFonts w:ascii="Arial" w:hAnsi="Arial" w:cs="Arial"/>
            </w:rPr>
            <w:fldChar w:fldCharType="begin"/>
          </w:r>
          <w:r w:rsidR="002E3A81">
            <w:rPr>
              <w:rFonts w:ascii="Arial" w:hAnsi="Arial" w:cs="Arial"/>
            </w:rPr>
            <w:instrText xml:space="preserve"> CITATION Man232 \l 1033 </w:instrText>
          </w:r>
          <w:r w:rsidR="002E3A81">
            <w:rPr>
              <w:rFonts w:ascii="Arial" w:hAnsi="Arial" w:cs="Arial"/>
            </w:rPr>
            <w:fldChar w:fldCharType="separate"/>
          </w:r>
          <w:r w:rsidR="002E3A81" w:rsidRPr="002E3A81">
            <w:rPr>
              <w:rFonts w:ascii="Arial" w:hAnsi="Arial" w:cs="Arial"/>
              <w:noProof/>
            </w:rPr>
            <w:t>(Manthorpe, 2023)</w:t>
          </w:r>
          <w:r w:rsidR="002E3A81">
            <w:rPr>
              <w:rFonts w:ascii="Arial" w:hAnsi="Arial" w:cs="Arial"/>
            </w:rPr>
            <w:fldChar w:fldCharType="end"/>
          </w:r>
        </w:sdtContent>
      </w:sdt>
      <w:r w:rsidRPr="000A667E">
        <w:rPr>
          <w:rFonts w:ascii="Arial" w:hAnsi="Arial" w:cs="Arial"/>
        </w:rPr>
        <w:t xml:space="preserve">. Memantine is applied in cases of moderate-severe disease. Non-pharmacological treatment incorporates cognitive stimulation therapy (CST) wherein group sessions are structured to enhance the quality of life and cognitive functioning. There is also control of </w:t>
      </w:r>
      <w:r w:rsidR="00C25F91" w:rsidRPr="000A667E">
        <w:rPr>
          <w:rFonts w:ascii="Arial" w:hAnsi="Arial" w:cs="Arial"/>
        </w:rPr>
        <w:t>behavioral</w:t>
      </w:r>
      <w:r w:rsidRPr="000A667E">
        <w:rPr>
          <w:rFonts w:ascii="Arial" w:hAnsi="Arial" w:cs="Arial"/>
        </w:rPr>
        <w:t xml:space="preserve"> and psychological symptoms of dementia (BPSD) including agitation and aggression by environmental modification and, when </w:t>
      </w:r>
      <w:r w:rsidR="00C25F91" w:rsidRPr="000A667E">
        <w:rPr>
          <w:rFonts w:ascii="Arial" w:hAnsi="Arial" w:cs="Arial"/>
        </w:rPr>
        <w:t>essential</w:t>
      </w:r>
      <w:r w:rsidRPr="000A667E">
        <w:rPr>
          <w:rFonts w:ascii="Arial" w:hAnsi="Arial" w:cs="Arial"/>
        </w:rPr>
        <w:t>, antipsychotic medication is taken that is carefully monitored as it can cause increased mortality.</w:t>
      </w:r>
    </w:p>
    <w:p w14:paraId="125BABC1" w14:textId="56E70118" w:rsidR="000A667E" w:rsidRPr="000A667E" w:rsidRDefault="000A667E" w:rsidP="000A667E">
      <w:pPr>
        <w:pStyle w:val="ListParagraph"/>
        <w:numPr>
          <w:ilvl w:val="1"/>
          <w:numId w:val="1"/>
        </w:numPr>
        <w:spacing w:line="360" w:lineRule="auto"/>
        <w:outlineLvl w:val="1"/>
        <w:rPr>
          <w:rFonts w:ascii="Arial" w:hAnsi="Arial" w:cs="Arial"/>
          <w:b/>
          <w:bCs/>
        </w:rPr>
      </w:pPr>
      <w:bookmarkStart w:id="4" w:name="_Toc226548885"/>
      <w:r w:rsidRPr="000A667E">
        <w:rPr>
          <w:rFonts w:ascii="Arial" w:hAnsi="Arial" w:cs="Arial"/>
          <w:b/>
          <w:bCs/>
        </w:rPr>
        <w:t>Consequences of Dementia on People in the Community</w:t>
      </w:r>
      <w:bookmarkEnd w:id="4"/>
    </w:p>
    <w:p w14:paraId="6D6DE22D" w14:textId="11AB3A55" w:rsidR="000A667E" w:rsidRPr="000A667E" w:rsidRDefault="000A667E" w:rsidP="000A667E">
      <w:pPr>
        <w:spacing w:line="360" w:lineRule="auto"/>
        <w:rPr>
          <w:rFonts w:ascii="Arial" w:hAnsi="Arial" w:cs="Arial"/>
        </w:rPr>
      </w:pPr>
      <w:r w:rsidRPr="000A667E">
        <w:rPr>
          <w:rFonts w:ascii="Arial" w:hAnsi="Arial" w:cs="Arial"/>
        </w:rPr>
        <w:t xml:space="preserve">The impact of dementia is so much more widespread than just the person, it also spreads to families, social circles and entire societies. To the person with dementia, it has such consequences as loss of autonomy and independence with time. As the disease progresses, they </w:t>
      </w:r>
      <w:proofErr w:type="spellStart"/>
      <w:r w:rsidR="00E56ECE" w:rsidRPr="000A667E">
        <w:rPr>
          <w:rFonts w:ascii="Arial" w:hAnsi="Arial" w:cs="Arial"/>
        </w:rPr>
        <w:t>can</w:t>
      </w:r>
      <w:r w:rsidR="00C25F91">
        <w:rPr>
          <w:rFonts w:ascii="Arial" w:hAnsi="Arial" w:cs="Arial"/>
        </w:rPr>
        <w:t xml:space="preserve"> </w:t>
      </w:r>
      <w:r w:rsidR="00E56ECE" w:rsidRPr="000A667E">
        <w:rPr>
          <w:rFonts w:ascii="Arial" w:hAnsi="Arial" w:cs="Arial"/>
        </w:rPr>
        <w:t>not</w:t>
      </w:r>
      <w:proofErr w:type="spellEnd"/>
      <w:r w:rsidRPr="000A667E">
        <w:rPr>
          <w:rFonts w:ascii="Arial" w:hAnsi="Arial" w:cs="Arial"/>
        </w:rPr>
        <w:t xml:space="preserve"> control finances, drugs, food and personal hygiene. The risk of falls, accidental injuries and hospital admission increases. The psychological outcomes are drastic with anxiety, depression and apathy at high levels. Lots of people are socially withdrawn because of </w:t>
      </w:r>
      <w:r w:rsidR="00E56ECE" w:rsidRPr="000A667E">
        <w:rPr>
          <w:rFonts w:ascii="Arial" w:hAnsi="Arial" w:cs="Arial"/>
        </w:rPr>
        <w:t>communication</w:t>
      </w:r>
      <w:r w:rsidRPr="000A667E">
        <w:rPr>
          <w:rFonts w:ascii="Arial" w:hAnsi="Arial" w:cs="Arial"/>
        </w:rPr>
        <w:t xml:space="preserve"> problems and fear of being stigmatized </w:t>
      </w:r>
      <w:sdt>
        <w:sdtPr>
          <w:rPr>
            <w:rFonts w:ascii="Arial" w:hAnsi="Arial" w:cs="Arial"/>
          </w:rPr>
          <w:id w:val="-411395956"/>
          <w:citation/>
        </w:sdtPr>
        <w:sdtContent>
          <w:r w:rsidR="002E3A81">
            <w:rPr>
              <w:rFonts w:ascii="Arial" w:hAnsi="Arial" w:cs="Arial"/>
            </w:rPr>
            <w:fldChar w:fldCharType="begin"/>
          </w:r>
          <w:r w:rsidR="002E3A81">
            <w:rPr>
              <w:rFonts w:ascii="Arial" w:hAnsi="Arial" w:cs="Arial"/>
            </w:rPr>
            <w:instrText xml:space="preserve"> CITATION Gra234 \l 1033 </w:instrText>
          </w:r>
          <w:r w:rsidR="002E3A81">
            <w:rPr>
              <w:rFonts w:ascii="Arial" w:hAnsi="Arial" w:cs="Arial"/>
            </w:rPr>
            <w:fldChar w:fldCharType="separate"/>
          </w:r>
          <w:r w:rsidR="002E3A81" w:rsidRPr="002E3A81">
            <w:rPr>
              <w:rFonts w:ascii="Arial" w:hAnsi="Arial" w:cs="Arial"/>
              <w:noProof/>
            </w:rPr>
            <w:t>(Gray, 2023)</w:t>
          </w:r>
          <w:r w:rsidR="002E3A81">
            <w:rPr>
              <w:rFonts w:ascii="Arial" w:hAnsi="Arial" w:cs="Arial"/>
            </w:rPr>
            <w:fldChar w:fldCharType="end"/>
          </w:r>
        </w:sdtContent>
      </w:sdt>
      <w:r w:rsidRPr="000A667E">
        <w:rPr>
          <w:rFonts w:ascii="Arial" w:hAnsi="Arial" w:cs="Arial"/>
        </w:rPr>
        <w:t>.</w:t>
      </w:r>
    </w:p>
    <w:p w14:paraId="2B8AC046" w14:textId="00F490AC" w:rsidR="000A667E" w:rsidRPr="000A667E" w:rsidRDefault="000A667E" w:rsidP="000A667E">
      <w:pPr>
        <w:spacing w:line="360" w:lineRule="auto"/>
        <w:rPr>
          <w:rFonts w:ascii="Arial" w:hAnsi="Arial" w:cs="Arial"/>
        </w:rPr>
      </w:pPr>
      <w:r w:rsidRPr="000A667E">
        <w:rPr>
          <w:rFonts w:ascii="Arial" w:hAnsi="Arial" w:cs="Arial"/>
        </w:rPr>
        <w:t xml:space="preserve">In the case of family carers, the impacts are high. In the UK, there are about 700,000 unpaid carers who take care </w:t>
      </w:r>
      <w:r w:rsidR="00E56ECE" w:rsidRPr="000A667E">
        <w:rPr>
          <w:rFonts w:ascii="Arial" w:hAnsi="Arial" w:cs="Arial"/>
        </w:rPr>
        <w:t>of relatives</w:t>
      </w:r>
      <w:r w:rsidRPr="000A667E">
        <w:rPr>
          <w:rFonts w:ascii="Arial" w:hAnsi="Arial" w:cs="Arial"/>
        </w:rPr>
        <w:t xml:space="preserve"> with dementia, which is an average of 50-70 hours of care per week </w:t>
      </w:r>
      <w:sdt>
        <w:sdtPr>
          <w:rPr>
            <w:rFonts w:ascii="Arial" w:hAnsi="Arial" w:cs="Arial"/>
          </w:rPr>
          <w:id w:val="145013409"/>
          <w:citation/>
        </w:sdtPr>
        <w:sdtContent>
          <w:r w:rsidR="002E3A81">
            <w:rPr>
              <w:rFonts w:ascii="Arial" w:hAnsi="Arial" w:cs="Arial"/>
            </w:rPr>
            <w:fldChar w:fldCharType="begin"/>
          </w:r>
          <w:r w:rsidR="002E3A81">
            <w:rPr>
              <w:rFonts w:ascii="Arial" w:hAnsi="Arial" w:cs="Arial"/>
            </w:rPr>
            <w:instrText xml:space="preserve"> CITATION Olc22 \l 1033 </w:instrText>
          </w:r>
          <w:r w:rsidR="002E3A81">
            <w:rPr>
              <w:rFonts w:ascii="Arial" w:hAnsi="Arial" w:cs="Arial"/>
            </w:rPr>
            <w:fldChar w:fldCharType="separate"/>
          </w:r>
          <w:r w:rsidR="002E3A81" w:rsidRPr="002E3A81">
            <w:rPr>
              <w:rFonts w:ascii="Arial" w:hAnsi="Arial" w:cs="Arial"/>
              <w:noProof/>
            </w:rPr>
            <w:t>(Olcott Jr, 2022)</w:t>
          </w:r>
          <w:r w:rsidR="002E3A81">
            <w:rPr>
              <w:rFonts w:ascii="Arial" w:hAnsi="Arial" w:cs="Arial"/>
            </w:rPr>
            <w:fldChar w:fldCharType="end"/>
          </w:r>
        </w:sdtContent>
      </w:sdt>
      <w:r w:rsidRPr="000A667E">
        <w:rPr>
          <w:rFonts w:ascii="Arial" w:hAnsi="Arial" w:cs="Arial"/>
        </w:rPr>
        <w:t xml:space="preserve">. Carers complain of great physical exhaustion, sleep disturbance, anxiety, depression and social isolation. Numerous individuals are compelled to cut down on paid work or quit working altogether, which makes them financially strained. Emotional impact of seeing a loved one </w:t>
      </w:r>
      <w:r w:rsidR="00C25F91" w:rsidRPr="000A667E">
        <w:rPr>
          <w:rFonts w:ascii="Arial" w:hAnsi="Arial" w:cs="Arial"/>
        </w:rPr>
        <w:t>deteriorates</w:t>
      </w:r>
      <w:r w:rsidRPr="000A667E">
        <w:rPr>
          <w:rFonts w:ascii="Arial" w:hAnsi="Arial" w:cs="Arial"/>
        </w:rPr>
        <w:t xml:space="preserve">, along with difficult </w:t>
      </w:r>
      <w:r w:rsidR="00E56ECE" w:rsidRPr="000A667E">
        <w:rPr>
          <w:rFonts w:ascii="Arial" w:hAnsi="Arial" w:cs="Arial"/>
        </w:rPr>
        <w:t>behaviors</w:t>
      </w:r>
      <w:r w:rsidRPr="000A667E">
        <w:rPr>
          <w:rFonts w:ascii="Arial" w:hAnsi="Arial" w:cs="Arial"/>
        </w:rPr>
        <w:t>, including aggression or demanding questioning, causes carer burnout and even breakdown of family relationships in some instances.</w:t>
      </w:r>
    </w:p>
    <w:p w14:paraId="1BD0919E" w14:textId="71AA15D0" w:rsidR="000A667E" w:rsidRPr="000A667E" w:rsidRDefault="000A667E" w:rsidP="000A667E">
      <w:pPr>
        <w:spacing w:line="360" w:lineRule="auto"/>
        <w:rPr>
          <w:rFonts w:ascii="Arial" w:hAnsi="Arial" w:cs="Arial"/>
        </w:rPr>
      </w:pPr>
      <w:r w:rsidRPr="000A667E">
        <w:rPr>
          <w:rFonts w:ascii="Arial" w:hAnsi="Arial" w:cs="Arial"/>
        </w:rPr>
        <w:lastRenderedPageBreak/>
        <w:t xml:space="preserve">On a community level, dementia imposes </w:t>
      </w:r>
      <w:r w:rsidR="00A41B6B">
        <w:rPr>
          <w:rFonts w:ascii="Arial" w:hAnsi="Arial" w:cs="Arial"/>
        </w:rPr>
        <w:t>substantial</w:t>
      </w:r>
      <w:r w:rsidRPr="000A667E">
        <w:rPr>
          <w:rFonts w:ascii="Arial" w:hAnsi="Arial" w:cs="Arial"/>
        </w:rPr>
        <w:t xml:space="preserve"> burdens on health and social care services. Individuals with dementia spend more days in hospital than their age counterparts who do not have dementia, they are more likely to be re-hospitalized within 30 days of their </w:t>
      </w:r>
      <w:r w:rsidR="00C25F91" w:rsidRPr="000A667E">
        <w:rPr>
          <w:rFonts w:ascii="Arial" w:hAnsi="Arial" w:cs="Arial"/>
        </w:rPr>
        <w:t>discharge,</w:t>
      </w:r>
      <w:r w:rsidRPr="000A667E">
        <w:rPr>
          <w:rFonts w:ascii="Arial" w:hAnsi="Arial" w:cs="Arial"/>
        </w:rPr>
        <w:t xml:space="preserve"> and they are more likely to be discharged to a care home instead of their own home. On the economic front, dementia consumes an amount of 34.7 billion per year in the UK, more than cancer, heart disease, and stroke </w:t>
      </w:r>
      <w:sdt>
        <w:sdtPr>
          <w:rPr>
            <w:rFonts w:ascii="Arial" w:hAnsi="Arial" w:cs="Arial"/>
          </w:rPr>
          <w:id w:val="2088729183"/>
          <w:citation/>
        </w:sdtPr>
        <w:sdtContent>
          <w:r w:rsidR="002E3A81">
            <w:rPr>
              <w:rFonts w:ascii="Arial" w:hAnsi="Arial" w:cs="Arial"/>
            </w:rPr>
            <w:fldChar w:fldCharType="begin"/>
          </w:r>
          <w:r w:rsidR="002E3A81">
            <w:rPr>
              <w:rFonts w:ascii="Arial" w:hAnsi="Arial" w:cs="Arial"/>
            </w:rPr>
            <w:instrText xml:space="preserve"> CITATION Sou23 \l 1033 </w:instrText>
          </w:r>
          <w:r w:rsidR="002E3A81">
            <w:rPr>
              <w:rFonts w:ascii="Arial" w:hAnsi="Arial" w:cs="Arial"/>
            </w:rPr>
            <w:fldChar w:fldCharType="separate"/>
          </w:r>
          <w:r w:rsidR="002E3A81" w:rsidRPr="002E3A81">
            <w:rPr>
              <w:rFonts w:ascii="Arial" w:hAnsi="Arial" w:cs="Arial"/>
              <w:noProof/>
            </w:rPr>
            <w:t>(Southworth, 2023)</w:t>
          </w:r>
          <w:r w:rsidR="002E3A81">
            <w:rPr>
              <w:rFonts w:ascii="Arial" w:hAnsi="Arial" w:cs="Arial"/>
            </w:rPr>
            <w:fldChar w:fldCharType="end"/>
          </w:r>
        </w:sdtContent>
      </w:sdt>
      <w:r w:rsidRPr="000A667E">
        <w:rPr>
          <w:rFonts w:ascii="Arial" w:hAnsi="Arial" w:cs="Arial"/>
        </w:rPr>
        <w:t xml:space="preserve">. Accessibility is also an issue </w:t>
      </w:r>
      <w:r w:rsidR="00C25F91" w:rsidRPr="000A667E">
        <w:rPr>
          <w:rFonts w:ascii="Arial" w:hAnsi="Arial" w:cs="Arial"/>
        </w:rPr>
        <w:t>for</w:t>
      </w:r>
      <w:r w:rsidRPr="000A667E">
        <w:rPr>
          <w:rFonts w:ascii="Arial" w:hAnsi="Arial" w:cs="Arial"/>
        </w:rPr>
        <w:t xml:space="preserve"> communities. People with cognitive impairment are frequently excluded and isolated because of the lack of design of </w:t>
      </w:r>
      <w:r w:rsidR="00C25F91" w:rsidRPr="000A667E">
        <w:rPr>
          <w:rFonts w:ascii="Arial" w:hAnsi="Arial" w:cs="Arial"/>
        </w:rPr>
        <w:t>public</w:t>
      </w:r>
      <w:r w:rsidRPr="000A667E">
        <w:rPr>
          <w:rFonts w:ascii="Arial" w:hAnsi="Arial" w:cs="Arial"/>
        </w:rPr>
        <w:t xml:space="preserve"> spaces, transport, shops and banking services. Moreover, stigma is still </w:t>
      </w:r>
      <w:r w:rsidR="00C25F91" w:rsidRPr="000A667E">
        <w:rPr>
          <w:rFonts w:ascii="Arial" w:hAnsi="Arial" w:cs="Arial"/>
        </w:rPr>
        <w:t>high,</w:t>
      </w:r>
      <w:r w:rsidRPr="000A667E">
        <w:rPr>
          <w:rFonts w:ascii="Arial" w:hAnsi="Arial" w:cs="Arial"/>
        </w:rPr>
        <w:t xml:space="preserve"> and most families are reluctant to seek help because they fear being </w:t>
      </w:r>
      <w:r w:rsidR="00C25F91" w:rsidRPr="000A667E">
        <w:rPr>
          <w:rFonts w:ascii="Arial" w:hAnsi="Arial" w:cs="Arial"/>
        </w:rPr>
        <w:t>discriminated against</w:t>
      </w:r>
      <w:r w:rsidRPr="000A667E">
        <w:rPr>
          <w:rFonts w:ascii="Arial" w:hAnsi="Arial" w:cs="Arial"/>
        </w:rPr>
        <w:t xml:space="preserve"> or because of misconceptions that dementia is a normal ageing process.</w:t>
      </w:r>
    </w:p>
    <w:p w14:paraId="2B6F0A94" w14:textId="57BCF663" w:rsidR="000A667E" w:rsidRPr="000A667E" w:rsidRDefault="000A667E" w:rsidP="000A667E">
      <w:pPr>
        <w:pStyle w:val="ListParagraph"/>
        <w:numPr>
          <w:ilvl w:val="1"/>
          <w:numId w:val="1"/>
        </w:numPr>
        <w:spacing w:line="360" w:lineRule="auto"/>
        <w:outlineLvl w:val="1"/>
        <w:rPr>
          <w:rFonts w:ascii="Arial" w:hAnsi="Arial" w:cs="Arial"/>
          <w:b/>
          <w:bCs/>
        </w:rPr>
      </w:pPr>
      <w:bookmarkStart w:id="5" w:name="_Toc226548886"/>
      <w:r w:rsidRPr="000A667E">
        <w:rPr>
          <w:rFonts w:ascii="Arial" w:hAnsi="Arial" w:cs="Arial"/>
          <w:b/>
          <w:bCs/>
        </w:rPr>
        <w:t>Health and Social Care Support Services Required</w:t>
      </w:r>
      <w:bookmarkEnd w:id="5"/>
    </w:p>
    <w:p w14:paraId="4DD669F0" w14:textId="59714726" w:rsidR="000A667E" w:rsidRPr="000A667E" w:rsidRDefault="000A667E" w:rsidP="000A667E">
      <w:pPr>
        <w:spacing w:line="360" w:lineRule="auto"/>
        <w:rPr>
          <w:rFonts w:ascii="Arial" w:hAnsi="Arial" w:cs="Arial"/>
        </w:rPr>
      </w:pPr>
      <w:r w:rsidRPr="000A667E">
        <w:rPr>
          <w:rFonts w:ascii="Arial" w:hAnsi="Arial" w:cs="Arial"/>
        </w:rPr>
        <w:t xml:space="preserve">A complex, multi-agency response is needed to meet the complex needs of people with dementia. The basis is the primary care services. GPs also perform annual dementia assessments, side effects of medication, comorbidity management and referrals. Practice nurses assist the carers in providing care to the elderly </w:t>
      </w:r>
      <w:r w:rsidR="00C25F91" w:rsidRPr="000A667E">
        <w:rPr>
          <w:rFonts w:ascii="Arial" w:hAnsi="Arial" w:cs="Arial"/>
        </w:rPr>
        <w:t>about</w:t>
      </w:r>
      <w:r w:rsidRPr="000A667E">
        <w:rPr>
          <w:rFonts w:ascii="Arial" w:hAnsi="Arial" w:cs="Arial"/>
        </w:rPr>
        <w:t xml:space="preserve"> continency, feeding, and pressure relief.</w:t>
      </w:r>
    </w:p>
    <w:p w14:paraId="35AAE804" w14:textId="77777777" w:rsidR="000A667E" w:rsidRPr="000A667E" w:rsidRDefault="000A667E" w:rsidP="000A667E">
      <w:pPr>
        <w:spacing w:line="360" w:lineRule="auto"/>
        <w:rPr>
          <w:rFonts w:ascii="Arial" w:hAnsi="Arial" w:cs="Arial"/>
        </w:rPr>
      </w:pPr>
      <w:r w:rsidRPr="000A667E">
        <w:rPr>
          <w:rFonts w:ascii="Arial" w:hAnsi="Arial" w:cs="Arial"/>
        </w:rPr>
        <w:t>Memory assessment services (MAS) offer specialist diagnostic assessment, post-diagnostic counselling and treatment plan. An example of multidisciplinary teams is the old age psychiatrist, clinical psychologist, dementia nurse specialist and occupational therapist. After diagnosis, MAS could provide cognitive stimulation therapy groups and refer to other services.</w:t>
      </w:r>
    </w:p>
    <w:p w14:paraId="7893B465" w14:textId="2FC8FFA5" w:rsidR="000A667E" w:rsidRPr="000A667E" w:rsidRDefault="000A667E" w:rsidP="000A667E">
      <w:pPr>
        <w:spacing w:line="360" w:lineRule="auto"/>
        <w:rPr>
          <w:rFonts w:ascii="Arial" w:hAnsi="Arial" w:cs="Arial"/>
        </w:rPr>
      </w:pPr>
      <w:r w:rsidRPr="000A667E">
        <w:rPr>
          <w:rFonts w:ascii="Arial" w:hAnsi="Arial" w:cs="Arial"/>
        </w:rPr>
        <w:t xml:space="preserve">The community mental health teams of older people (CMHTs-OP) deal with </w:t>
      </w:r>
      <w:r w:rsidR="00C25F91" w:rsidRPr="000A667E">
        <w:rPr>
          <w:rFonts w:ascii="Arial" w:hAnsi="Arial" w:cs="Arial"/>
        </w:rPr>
        <w:t>multifaceted</w:t>
      </w:r>
      <w:r w:rsidRPr="000A667E">
        <w:rPr>
          <w:rFonts w:ascii="Arial" w:hAnsi="Arial" w:cs="Arial"/>
        </w:rPr>
        <w:t xml:space="preserve"> </w:t>
      </w:r>
      <w:r w:rsidR="00C25F91" w:rsidRPr="000A667E">
        <w:rPr>
          <w:rFonts w:ascii="Arial" w:hAnsi="Arial" w:cs="Arial"/>
        </w:rPr>
        <w:t>behavioral</w:t>
      </w:r>
      <w:r w:rsidRPr="000A667E">
        <w:rPr>
          <w:rFonts w:ascii="Arial" w:hAnsi="Arial" w:cs="Arial"/>
        </w:rPr>
        <w:t xml:space="preserve"> and psychological symptoms. They offer in-home appraisals, medication audits and crisis intervention which minimize the necessity of </w:t>
      </w:r>
      <w:r w:rsidR="00C25F91" w:rsidRPr="000A667E">
        <w:rPr>
          <w:rFonts w:ascii="Arial" w:hAnsi="Arial" w:cs="Arial"/>
        </w:rPr>
        <w:t>acute</w:t>
      </w:r>
      <w:r w:rsidRPr="000A667E">
        <w:rPr>
          <w:rFonts w:ascii="Arial" w:hAnsi="Arial" w:cs="Arial"/>
        </w:rPr>
        <w:t xml:space="preserve"> hospitalization. Admiral Nurses are expert nurses who specialize in dementia and offer practical and emotional support to families themselves, guiding them on how to navigate the care system and acquire coping strategies </w:t>
      </w:r>
      <w:sdt>
        <w:sdtPr>
          <w:rPr>
            <w:rFonts w:ascii="Arial" w:hAnsi="Arial" w:cs="Arial"/>
          </w:rPr>
          <w:id w:val="869885563"/>
          <w:citation/>
        </w:sdtPr>
        <w:sdtContent>
          <w:r w:rsidR="002E3A81">
            <w:rPr>
              <w:rFonts w:ascii="Arial" w:hAnsi="Arial" w:cs="Arial"/>
            </w:rPr>
            <w:fldChar w:fldCharType="begin"/>
          </w:r>
          <w:r w:rsidR="002E3A81">
            <w:rPr>
              <w:rFonts w:ascii="Arial" w:hAnsi="Arial" w:cs="Arial"/>
            </w:rPr>
            <w:instrText xml:space="preserve"> CITATION Dia24 \l 1033 </w:instrText>
          </w:r>
          <w:r w:rsidR="002E3A81">
            <w:rPr>
              <w:rFonts w:ascii="Arial" w:hAnsi="Arial" w:cs="Arial"/>
            </w:rPr>
            <w:fldChar w:fldCharType="separate"/>
          </w:r>
          <w:r w:rsidR="002E3A81" w:rsidRPr="002E3A81">
            <w:rPr>
              <w:rFonts w:ascii="Arial" w:hAnsi="Arial" w:cs="Arial"/>
              <w:noProof/>
            </w:rPr>
            <w:t>(Diaz-Navarro, 2024)</w:t>
          </w:r>
          <w:r w:rsidR="002E3A81">
            <w:rPr>
              <w:rFonts w:ascii="Arial" w:hAnsi="Arial" w:cs="Arial"/>
            </w:rPr>
            <w:fldChar w:fldCharType="end"/>
          </w:r>
        </w:sdtContent>
      </w:sdt>
      <w:r w:rsidRPr="000A667E">
        <w:rPr>
          <w:rFonts w:ascii="Arial" w:hAnsi="Arial" w:cs="Arial"/>
        </w:rPr>
        <w:t>.</w:t>
      </w:r>
    </w:p>
    <w:p w14:paraId="557C89D1" w14:textId="2CBFC690" w:rsidR="000A667E" w:rsidRPr="000A667E" w:rsidRDefault="000A667E" w:rsidP="000A667E">
      <w:pPr>
        <w:spacing w:line="360" w:lineRule="auto"/>
        <w:rPr>
          <w:rFonts w:ascii="Arial" w:hAnsi="Arial" w:cs="Arial"/>
        </w:rPr>
      </w:pPr>
      <w:r w:rsidRPr="000A667E">
        <w:rPr>
          <w:rFonts w:ascii="Arial" w:hAnsi="Arial" w:cs="Arial"/>
        </w:rPr>
        <w:lastRenderedPageBreak/>
        <w:t xml:space="preserve">Social care services are needed. Domiciliary care workers provide personal care, meal preparation, medication prompt and companionship. Respite care (day care or residential residential) provides family </w:t>
      </w:r>
      <w:r w:rsidR="002263BC" w:rsidRPr="000A667E">
        <w:rPr>
          <w:rFonts w:ascii="Arial" w:hAnsi="Arial" w:cs="Arial"/>
        </w:rPr>
        <w:t>care</w:t>
      </w:r>
      <w:r w:rsidRPr="000A667E">
        <w:rPr>
          <w:rFonts w:ascii="Arial" w:hAnsi="Arial" w:cs="Arial"/>
        </w:rPr>
        <w:t xml:space="preserve"> with </w:t>
      </w:r>
      <w:r w:rsidR="002263BC" w:rsidRPr="000A667E">
        <w:rPr>
          <w:rFonts w:ascii="Arial" w:hAnsi="Arial" w:cs="Arial"/>
        </w:rPr>
        <w:t>much-needed</w:t>
      </w:r>
      <w:r w:rsidRPr="000A667E">
        <w:rPr>
          <w:rFonts w:ascii="Arial" w:hAnsi="Arial" w:cs="Arial"/>
        </w:rPr>
        <w:t xml:space="preserve"> rest. Cognitive stimulation, physical activity and social engagement </w:t>
      </w:r>
      <w:r w:rsidR="002263BC" w:rsidRPr="000A667E">
        <w:rPr>
          <w:rFonts w:ascii="Arial" w:hAnsi="Arial" w:cs="Arial"/>
        </w:rPr>
        <w:t>are</w:t>
      </w:r>
      <w:r w:rsidRPr="000A667E">
        <w:rPr>
          <w:rFonts w:ascii="Arial" w:hAnsi="Arial" w:cs="Arial"/>
        </w:rPr>
        <w:t xml:space="preserve"> also offered at day </w:t>
      </w:r>
      <w:r w:rsidR="002263BC" w:rsidRPr="000A667E">
        <w:rPr>
          <w:rFonts w:ascii="Arial" w:hAnsi="Arial" w:cs="Arial"/>
        </w:rPr>
        <w:t>centers</w:t>
      </w:r>
      <w:r w:rsidRPr="000A667E">
        <w:rPr>
          <w:rFonts w:ascii="Arial" w:hAnsi="Arial" w:cs="Arial"/>
        </w:rPr>
        <w:t>. Assistive technology such as GPS trackers, automated medication dispensers, sensor lights and fall detectors can help individuals to stay safely at home longer.</w:t>
      </w:r>
    </w:p>
    <w:p w14:paraId="18A2B83E" w14:textId="28FCB415" w:rsidR="000A667E" w:rsidRPr="000A667E" w:rsidRDefault="000A667E" w:rsidP="000A667E">
      <w:pPr>
        <w:pStyle w:val="ListParagraph"/>
        <w:numPr>
          <w:ilvl w:val="0"/>
          <w:numId w:val="1"/>
        </w:numPr>
        <w:spacing w:line="360" w:lineRule="auto"/>
        <w:outlineLvl w:val="0"/>
        <w:rPr>
          <w:rFonts w:ascii="Arial" w:hAnsi="Arial" w:cs="Arial"/>
          <w:b/>
          <w:bCs/>
        </w:rPr>
      </w:pPr>
      <w:bookmarkStart w:id="6" w:name="_Toc226548887"/>
      <w:r w:rsidRPr="000A667E">
        <w:rPr>
          <w:rFonts w:ascii="Arial" w:hAnsi="Arial" w:cs="Arial"/>
          <w:b/>
          <w:bCs/>
        </w:rPr>
        <w:t>Conclusion</w:t>
      </w:r>
      <w:bookmarkEnd w:id="6"/>
      <w:r w:rsidRPr="000A667E">
        <w:rPr>
          <w:rFonts w:ascii="Arial" w:hAnsi="Arial" w:cs="Arial"/>
          <w:b/>
          <w:bCs/>
        </w:rPr>
        <w:t xml:space="preserve"> </w:t>
      </w:r>
    </w:p>
    <w:p w14:paraId="78B46005" w14:textId="24FA0566" w:rsidR="000A667E" w:rsidRPr="000A667E" w:rsidRDefault="000A667E" w:rsidP="000A667E">
      <w:pPr>
        <w:spacing w:line="360" w:lineRule="auto"/>
        <w:rPr>
          <w:rFonts w:ascii="Arial" w:hAnsi="Arial" w:cs="Arial"/>
        </w:rPr>
      </w:pPr>
      <w:r w:rsidRPr="000A667E">
        <w:rPr>
          <w:rFonts w:ascii="Arial" w:hAnsi="Arial" w:cs="Arial"/>
        </w:rPr>
        <w:t xml:space="preserve">In conclusion, dementia is an incurable progressive syndrome whose rates of prevalence are increasing rapidly on a world scale as well as in the United Kingdom. Measurement and monitoring are subject to accurate measurement and monitoring based on GP registers, cognitive screening tools, population cohort studies, hospital episode statistics and national surveys but </w:t>
      </w:r>
      <w:r w:rsidR="00C25F91" w:rsidRPr="000A667E">
        <w:rPr>
          <w:rFonts w:ascii="Arial" w:hAnsi="Arial" w:cs="Arial"/>
        </w:rPr>
        <w:t>considerably</w:t>
      </w:r>
      <w:r w:rsidRPr="000A667E">
        <w:rPr>
          <w:rFonts w:ascii="Arial" w:hAnsi="Arial" w:cs="Arial"/>
        </w:rPr>
        <w:t xml:space="preserve"> under diagnosis has remained a challenge. The difference between the control of dementia and infectious diseases necessitates primary prevention (via a modification in risk factors), secondary prevention (via early diagnosis), and tertiary prevention (via the management of symptoms). The impact of dementia is catastrophic: people lose their autonomy and endure psychological distress, family carers become exhausted, suffer economic and psychological consequences, and communities experience a rise in the burden on health care and significant financial burden. To fulfill these needs, a holistic health and social care provision system is needed, including primary care, memory, community mental health, Admiral Nurses, social care, assistive technology, voluntary sector, palliative care, and housing adaptations. The effects of dementia will only continue to grow unless there </w:t>
      </w:r>
      <w:r w:rsidR="00DC6774" w:rsidRPr="000A667E">
        <w:rPr>
          <w:rFonts w:ascii="Arial" w:hAnsi="Arial" w:cs="Arial"/>
        </w:rPr>
        <w:t>are</w:t>
      </w:r>
      <w:r w:rsidRPr="000A667E">
        <w:rPr>
          <w:rFonts w:ascii="Arial" w:hAnsi="Arial" w:cs="Arial"/>
        </w:rPr>
        <w:t xml:space="preserve"> </w:t>
      </w:r>
      <w:r w:rsidR="00C25F91" w:rsidRPr="000A667E">
        <w:rPr>
          <w:rFonts w:ascii="Arial" w:hAnsi="Arial" w:cs="Arial"/>
        </w:rPr>
        <w:t>sustained</w:t>
      </w:r>
      <w:r w:rsidRPr="000A667E">
        <w:rPr>
          <w:rFonts w:ascii="Arial" w:hAnsi="Arial" w:cs="Arial"/>
        </w:rPr>
        <w:t xml:space="preserve"> investment and coordination.</w:t>
      </w:r>
    </w:p>
    <w:p w14:paraId="55B7EAD9" w14:textId="23D9093C" w:rsidR="009251AB" w:rsidRDefault="009251AB" w:rsidP="009251AB">
      <w:pPr>
        <w:spacing w:line="360" w:lineRule="auto"/>
        <w:rPr>
          <w:rFonts w:ascii="Arial" w:hAnsi="Arial" w:cs="Arial"/>
        </w:rPr>
      </w:pPr>
      <w:bookmarkStart w:id="7" w:name="_Toc226548888"/>
    </w:p>
    <w:p w14:paraId="1B3BC012" w14:textId="77777777" w:rsidR="00165367" w:rsidRDefault="00165367" w:rsidP="009251AB">
      <w:pPr>
        <w:spacing w:line="360" w:lineRule="auto"/>
        <w:rPr>
          <w:rFonts w:ascii="Arial" w:hAnsi="Arial" w:cs="Arial"/>
        </w:rPr>
      </w:pPr>
    </w:p>
    <w:p w14:paraId="7822913C" w14:textId="77777777" w:rsidR="00165367" w:rsidRDefault="00165367" w:rsidP="009251AB">
      <w:pPr>
        <w:spacing w:line="360" w:lineRule="auto"/>
        <w:rPr>
          <w:rFonts w:ascii="Arial" w:hAnsi="Arial" w:cs="Arial"/>
        </w:rPr>
      </w:pPr>
    </w:p>
    <w:p w14:paraId="39B03633" w14:textId="77777777" w:rsidR="00165367" w:rsidRDefault="00165367" w:rsidP="009251AB">
      <w:pPr>
        <w:spacing w:line="360" w:lineRule="auto"/>
        <w:rPr>
          <w:rFonts w:ascii="Arial" w:hAnsi="Arial" w:cs="Arial"/>
        </w:rPr>
      </w:pPr>
    </w:p>
    <w:p w14:paraId="2600DBC9" w14:textId="77777777" w:rsidR="00165367" w:rsidRDefault="00165367" w:rsidP="009251AB">
      <w:pPr>
        <w:spacing w:line="360" w:lineRule="auto"/>
        <w:rPr>
          <w:rFonts w:ascii="Arial" w:hAnsi="Arial" w:cs="Arial"/>
        </w:rPr>
      </w:pPr>
    </w:p>
    <w:p w14:paraId="134FA920" w14:textId="77777777" w:rsidR="009E7E82" w:rsidRDefault="000A667E" w:rsidP="00F9133F">
      <w:pPr>
        <w:spacing w:line="360" w:lineRule="auto"/>
        <w:rPr>
          <w:rFonts w:ascii="Arial" w:hAnsi="Arial" w:cs="Arial"/>
          <w:b/>
          <w:bCs/>
        </w:rPr>
      </w:pPr>
      <w:r w:rsidRPr="009251AB">
        <w:rPr>
          <w:rFonts w:ascii="Arial" w:hAnsi="Arial" w:cs="Arial"/>
          <w:b/>
          <w:bCs/>
        </w:rPr>
        <w:lastRenderedPageBreak/>
        <w:t>Reference</w:t>
      </w:r>
      <w:bookmarkEnd w:id="7"/>
    </w:p>
    <w:p w14:paraId="039A30B8" w14:textId="12C10E56" w:rsidR="00F9133F" w:rsidRDefault="00F9133F" w:rsidP="00F9133F">
      <w:pPr>
        <w:spacing w:line="360" w:lineRule="auto"/>
        <w:rPr>
          <w:rFonts w:ascii="Arial" w:hAnsi="Arial" w:cs="Arial"/>
        </w:rPr>
      </w:pPr>
      <w:r w:rsidRPr="00F9133F">
        <w:rPr>
          <w:rFonts w:ascii="Arial" w:hAnsi="Arial" w:cs="Arial"/>
        </w:rPr>
        <w:t xml:space="preserve"> </w:t>
      </w:r>
      <w:r w:rsidRPr="00DC6774">
        <w:rPr>
          <w:rFonts w:ascii="Arial" w:hAnsi="Arial" w:cs="Arial"/>
        </w:rPr>
        <w:t>Diaz-Navarro, C., Armstrong, R., Charnetski, M., Freeman, K., Koh, S., Reedy, G., Smitten, J., Ingrassia, P.L., Matos, F.M. and Issenberg, B., 2024. Global consensus statement on simulation-based practice in healthcare. </w:t>
      </w:r>
      <w:r w:rsidRPr="00DC6774">
        <w:rPr>
          <w:rFonts w:ascii="Arial" w:hAnsi="Arial" w:cs="Arial"/>
          <w:i/>
          <w:iCs/>
        </w:rPr>
        <w:t>Clinical Simulation in Nursing</w:t>
      </w:r>
      <w:r w:rsidRPr="00DC6774">
        <w:rPr>
          <w:rFonts w:ascii="Arial" w:hAnsi="Arial" w:cs="Arial"/>
        </w:rPr>
        <w:t>, </w:t>
      </w:r>
      <w:r w:rsidRPr="00DC6774">
        <w:rPr>
          <w:rFonts w:ascii="Arial" w:hAnsi="Arial" w:cs="Arial"/>
          <w:i/>
          <w:iCs/>
        </w:rPr>
        <w:t>93</w:t>
      </w:r>
      <w:r w:rsidRPr="00DC6774">
        <w:rPr>
          <w:rFonts w:ascii="Arial" w:hAnsi="Arial" w:cs="Arial"/>
        </w:rPr>
        <w:t>, p.101552.</w:t>
      </w:r>
      <w:r w:rsidRPr="00DC6774">
        <w:t xml:space="preserve"> </w:t>
      </w:r>
      <w:hyperlink r:id="rId7" w:history="1">
        <w:r w:rsidRPr="00007A85">
          <w:rPr>
            <w:rStyle w:val="Hyperlink"/>
            <w:rFonts w:ascii="Arial" w:hAnsi="Arial" w:cs="Arial"/>
          </w:rPr>
          <w:t>https://www.sciencedirect.com/science/article/pii/S1876139924000446</w:t>
        </w:r>
      </w:hyperlink>
    </w:p>
    <w:p w14:paraId="19FB2698" w14:textId="53045189" w:rsidR="009E7E82" w:rsidRPr="009E7E82" w:rsidRDefault="00B40617" w:rsidP="009E7E82">
      <w:pPr>
        <w:spacing w:line="360" w:lineRule="auto"/>
        <w:rPr>
          <w:rFonts w:ascii="Arial" w:hAnsi="Arial" w:cs="Arial"/>
        </w:rPr>
      </w:pPr>
      <w:r w:rsidRPr="00DC6774">
        <w:rPr>
          <w:rFonts w:ascii="Arial" w:hAnsi="Arial" w:cs="Arial"/>
        </w:rPr>
        <w:t xml:space="preserve">Gray, M. and Lombard, A., </w:t>
      </w:r>
      <w:r>
        <w:rPr>
          <w:rFonts w:ascii="Arial" w:hAnsi="Arial" w:cs="Arial"/>
        </w:rPr>
        <w:t>S</w:t>
      </w:r>
      <w:r w:rsidRPr="00DC6774">
        <w:rPr>
          <w:rFonts w:ascii="Arial" w:hAnsi="Arial" w:cs="Arial"/>
        </w:rPr>
        <w:t>2023. Progress of the social service professions in South Africa's developmental social welfare system: Social work, and child and youth care work. </w:t>
      </w:r>
      <w:r w:rsidRPr="00DC6774">
        <w:rPr>
          <w:rFonts w:ascii="Arial" w:hAnsi="Arial" w:cs="Arial"/>
          <w:i/>
          <w:iCs/>
        </w:rPr>
        <w:t>International Journal of Social Welfare</w:t>
      </w:r>
      <w:r w:rsidRPr="00DC6774">
        <w:rPr>
          <w:rFonts w:ascii="Arial" w:hAnsi="Arial" w:cs="Arial"/>
        </w:rPr>
        <w:t>, </w:t>
      </w:r>
      <w:r w:rsidRPr="00DC6774">
        <w:rPr>
          <w:rFonts w:ascii="Arial" w:hAnsi="Arial" w:cs="Arial"/>
          <w:i/>
          <w:iCs/>
        </w:rPr>
        <w:t>32</w:t>
      </w:r>
      <w:r w:rsidRPr="00DC6774">
        <w:rPr>
          <w:rFonts w:ascii="Arial" w:hAnsi="Arial" w:cs="Arial"/>
        </w:rPr>
        <w:t>(4), pp.429-441.</w:t>
      </w:r>
      <w:r w:rsidRPr="00DC6774">
        <w:t xml:space="preserve"> </w:t>
      </w:r>
      <w:hyperlink r:id="rId8" w:history="1">
        <w:r w:rsidRPr="00007A85">
          <w:rPr>
            <w:rStyle w:val="Hyperlink"/>
            <w:rFonts w:ascii="Arial" w:hAnsi="Arial" w:cs="Arial"/>
          </w:rPr>
          <w:t>https://onlinelibrary.wiley.com/doi/abs/10.1111/ijsw.12562</w:t>
        </w:r>
      </w:hyperlink>
    </w:p>
    <w:p w14:paraId="08AF774A" w14:textId="4F359896" w:rsidR="00C03029" w:rsidRDefault="00DC6774" w:rsidP="000A667E">
      <w:pPr>
        <w:spacing w:line="360" w:lineRule="auto"/>
      </w:pPr>
      <w:r w:rsidRPr="00DC6774">
        <w:rPr>
          <w:rFonts w:ascii="Arial" w:hAnsi="Arial" w:cs="Arial"/>
        </w:rPr>
        <w:t xml:space="preserve">Manthorpe, J. and Purcell, C., 2023. What Can we Learn from the Innovation of The Care </w:t>
      </w:r>
      <w:proofErr w:type="gramStart"/>
      <w:r w:rsidRPr="00DC6774">
        <w:rPr>
          <w:rFonts w:ascii="Arial" w:hAnsi="Arial" w:cs="Arial"/>
        </w:rPr>
        <w:t>Certificate?:</w:t>
      </w:r>
      <w:proofErr w:type="gramEnd"/>
      <w:r w:rsidRPr="00DC6774">
        <w:rPr>
          <w:rFonts w:ascii="Arial" w:hAnsi="Arial" w:cs="Arial"/>
        </w:rPr>
        <w:t xml:space="preserve"> An Online Witness Seminar, 14th March 2023.</w:t>
      </w:r>
      <w:r w:rsidRPr="00DC6774">
        <w:t xml:space="preserve"> </w:t>
      </w:r>
      <w:hyperlink r:id="rId9" w:history="1">
        <w:r w:rsidRPr="00007A85">
          <w:rPr>
            <w:rStyle w:val="Hyperlink"/>
            <w:rFonts w:ascii="Arial" w:hAnsi="Arial" w:cs="Arial"/>
          </w:rPr>
          <w:t>https://kclpure.kcl.ac.uk/portal/files/230424848/Care_Certificate_Witness_Seminar_14_March_2023.pdf</w:t>
        </w:r>
      </w:hyperlink>
    </w:p>
    <w:p w14:paraId="0918506B" w14:textId="77777777" w:rsidR="003B6A10" w:rsidRDefault="003B6A10" w:rsidP="003B6A10">
      <w:pPr>
        <w:rPr>
          <w:rFonts w:ascii="Arial" w:hAnsi="Arial" w:cs="Arial"/>
        </w:rPr>
      </w:pPr>
      <w:r>
        <w:rPr>
          <w:rFonts w:ascii="Arial" w:hAnsi="Arial" w:cs="Arial"/>
        </w:rPr>
        <w:t>Nugroho</w:t>
      </w:r>
      <w:r w:rsidRPr="002E3A81">
        <w:rPr>
          <w:rFonts w:ascii="Arial" w:hAnsi="Arial" w:cs="Arial"/>
        </w:rPr>
        <w:t xml:space="preserve"> N.E., Irianto, J. and </w:t>
      </w:r>
      <w:proofErr w:type="spellStart"/>
      <w:r w:rsidRPr="002E3A81">
        <w:rPr>
          <w:rFonts w:ascii="Arial" w:hAnsi="Arial" w:cs="Arial"/>
        </w:rPr>
        <w:t>Suryanto</w:t>
      </w:r>
      <w:proofErr w:type="spellEnd"/>
      <w:r w:rsidRPr="002E3A81">
        <w:rPr>
          <w:rFonts w:ascii="Arial" w:hAnsi="Arial" w:cs="Arial"/>
        </w:rPr>
        <w:t>, S., 2024. A SYSTEMATIC REVIEW OF INDONESIAN HIGHER EDUCATION STUDENTS'AND GRADUATES'WORK READINESS. </w:t>
      </w:r>
      <w:proofErr w:type="spellStart"/>
      <w:r w:rsidRPr="002E3A81">
        <w:rPr>
          <w:rFonts w:ascii="Arial" w:hAnsi="Arial" w:cs="Arial"/>
          <w:i/>
          <w:iCs/>
        </w:rPr>
        <w:t>Jurnal</w:t>
      </w:r>
      <w:proofErr w:type="spellEnd"/>
      <w:r w:rsidRPr="002E3A81">
        <w:rPr>
          <w:rFonts w:ascii="Arial" w:hAnsi="Arial" w:cs="Arial"/>
          <w:i/>
          <w:iCs/>
        </w:rPr>
        <w:t xml:space="preserve"> </w:t>
      </w:r>
      <w:proofErr w:type="spellStart"/>
      <w:r w:rsidRPr="002E3A81">
        <w:rPr>
          <w:rFonts w:ascii="Arial" w:hAnsi="Arial" w:cs="Arial"/>
          <w:i/>
          <w:iCs/>
        </w:rPr>
        <w:t>Ilmiah</w:t>
      </w:r>
      <w:proofErr w:type="spellEnd"/>
      <w:r w:rsidRPr="002E3A81">
        <w:rPr>
          <w:rFonts w:ascii="Arial" w:hAnsi="Arial" w:cs="Arial"/>
          <w:i/>
          <w:iCs/>
        </w:rPr>
        <w:t xml:space="preserve"> Ilmu Terapan Universitas Jambi</w:t>
      </w:r>
      <w:r w:rsidRPr="002E3A81">
        <w:rPr>
          <w:rFonts w:ascii="Arial" w:hAnsi="Arial" w:cs="Arial"/>
        </w:rPr>
        <w:t>, </w:t>
      </w:r>
      <w:r w:rsidRPr="002E3A81">
        <w:rPr>
          <w:rFonts w:ascii="Arial" w:hAnsi="Arial" w:cs="Arial"/>
          <w:i/>
          <w:iCs/>
        </w:rPr>
        <w:t>8</w:t>
      </w:r>
      <w:r w:rsidRPr="002E3A81">
        <w:rPr>
          <w:rFonts w:ascii="Arial" w:hAnsi="Arial" w:cs="Arial"/>
        </w:rPr>
        <w:t>(1), pp.350-363</w:t>
      </w:r>
      <w:r w:rsidRPr="00DC6774">
        <w:rPr>
          <w:rFonts w:ascii="Arial" w:hAnsi="Arial" w:cs="Arial"/>
        </w:rPr>
        <w:t>.</w:t>
      </w:r>
      <w:r w:rsidRPr="00DC6774">
        <w:t xml:space="preserve"> </w:t>
      </w:r>
      <w:hyperlink r:id="rId10" w:history="1">
        <w:r w:rsidRPr="00007A85">
          <w:rPr>
            <w:rStyle w:val="Hyperlink"/>
            <w:rFonts w:ascii="Arial" w:hAnsi="Arial" w:cs="Arial"/>
          </w:rPr>
          <w:t>https://online-journal.unja.ac.id/JIITUJ/article/view/33073</w:t>
        </w:r>
      </w:hyperlink>
    </w:p>
    <w:p w14:paraId="37F9E6CE" w14:textId="67B8D713" w:rsidR="003B6A10" w:rsidRDefault="003B6A10" w:rsidP="000A667E">
      <w:pPr>
        <w:spacing w:line="360" w:lineRule="auto"/>
        <w:rPr>
          <w:rFonts w:ascii="Arial" w:hAnsi="Arial" w:cs="Arial"/>
        </w:rPr>
      </w:pPr>
      <w:r w:rsidRPr="00DC6774">
        <w:rPr>
          <w:rFonts w:ascii="Arial" w:hAnsi="Arial" w:cs="Arial"/>
        </w:rPr>
        <w:t>Olcott Jr, D., 2022. Micro-credentials: A catalyst for strategic reset and change in US higher education. </w:t>
      </w:r>
      <w:r w:rsidRPr="00DC6774">
        <w:rPr>
          <w:rFonts w:ascii="Arial" w:hAnsi="Arial" w:cs="Arial"/>
          <w:i/>
          <w:iCs/>
        </w:rPr>
        <w:t>American Journal of Distance Education</w:t>
      </w:r>
      <w:r w:rsidRPr="00DC6774">
        <w:rPr>
          <w:rFonts w:ascii="Arial" w:hAnsi="Arial" w:cs="Arial"/>
        </w:rPr>
        <w:t>, </w:t>
      </w:r>
      <w:r w:rsidRPr="00DC6774">
        <w:rPr>
          <w:rFonts w:ascii="Arial" w:hAnsi="Arial" w:cs="Arial"/>
          <w:i/>
          <w:iCs/>
        </w:rPr>
        <w:t>36</w:t>
      </w:r>
      <w:r w:rsidRPr="00DC6774">
        <w:rPr>
          <w:rFonts w:ascii="Arial" w:hAnsi="Arial" w:cs="Arial"/>
        </w:rPr>
        <w:t>(1), pp.19-35.</w:t>
      </w:r>
      <w:r w:rsidRPr="00DC6774">
        <w:t xml:space="preserve"> </w:t>
      </w:r>
      <w:hyperlink r:id="rId11" w:history="1">
        <w:r w:rsidRPr="00007A85">
          <w:rPr>
            <w:rStyle w:val="Hyperlink"/>
            <w:rFonts w:ascii="Arial" w:hAnsi="Arial" w:cs="Arial"/>
          </w:rPr>
          <w:t>https://www.tandfonline.com/doi/abs/10.1080/08923647.2021.1997537</w:t>
        </w:r>
      </w:hyperlink>
    </w:p>
    <w:p w14:paraId="00EADB1D" w14:textId="391FD9BB" w:rsidR="00DC6774" w:rsidRDefault="00DC6774" w:rsidP="009E7E82">
      <w:pPr>
        <w:spacing w:line="360" w:lineRule="auto"/>
        <w:rPr>
          <w:rFonts w:ascii="Arial" w:hAnsi="Arial" w:cs="Arial"/>
        </w:rPr>
      </w:pPr>
      <w:r w:rsidRPr="00DC6774">
        <w:rPr>
          <w:rFonts w:ascii="Arial" w:hAnsi="Arial" w:cs="Arial"/>
        </w:rPr>
        <w:t>Southworth, J., Migliaccio, K., Glover, J., Glover, J.N., Reed, D., McCarty, C., Brendemuhl, J. and Thomas, A., 2023. Developing a model for AI Across the curriculum: Transforming the higher education landscape via innovation in AI literacy. </w:t>
      </w:r>
      <w:r w:rsidRPr="00DC6774">
        <w:rPr>
          <w:rFonts w:ascii="Arial" w:hAnsi="Arial" w:cs="Arial"/>
          <w:i/>
          <w:iCs/>
        </w:rPr>
        <w:t>Computers and Education: Artificial Intelligence</w:t>
      </w:r>
      <w:r w:rsidRPr="00DC6774">
        <w:rPr>
          <w:rFonts w:ascii="Arial" w:hAnsi="Arial" w:cs="Arial"/>
        </w:rPr>
        <w:t>, </w:t>
      </w:r>
      <w:r w:rsidRPr="00DC6774">
        <w:rPr>
          <w:rFonts w:ascii="Arial" w:hAnsi="Arial" w:cs="Arial"/>
          <w:i/>
          <w:iCs/>
        </w:rPr>
        <w:t>4</w:t>
      </w:r>
      <w:r w:rsidRPr="00DC6774">
        <w:rPr>
          <w:rFonts w:ascii="Arial" w:hAnsi="Arial" w:cs="Arial"/>
        </w:rPr>
        <w:t>, p.100127.</w:t>
      </w:r>
      <w:r w:rsidRPr="00DC6774">
        <w:t xml:space="preserve"> </w:t>
      </w:r>
      <w:hyperlink r:id="rId12" w:history="1">
        <w:r w:rsidRPr="00007A85">
          <w:rPr>
            <w:rStyle w:val="Hyperlink"/>
            <w:rFonts w:ascii="Arial" w:hAnsi="Arial" w:cs="Arial"/>
          </w:rPr>
          <w:t>https://www.sciencedirect.com/science/article/pii/S2666920X23000061</w:t>
        </w:r>
      </w:hyperlink>
    </w:p>
    <w:p w14:paraId="74002746" w14:textId="5166CE4A" w:rsidR="002E3A81" w:rsidRDefault="002E3A81" w:rsidP="000A667E">
      <w:pPr>
        <w:spacing w:line="360" w:lineRule="auto"/>
        <w:rPr>
          <w:rFonts w:ascii="Arial" w:hAnsi="Arial" w:cs="Arial"/>
        </w:rPr>
      </w:pPr>
      <w:r w:rsidRPr="002E3A81">
        <w:rPr>
          <w:rFonts w:ascii="Arial" w:hAnsi="Arial" w:cs="Arial"/>
        </w:rPr>
        <w:t>World Health Organization. (2024). </w:t>
      </w:r>
      <w:r w:rsidRPr="002E3A81">
        <w:rPr>
          <w:rFonts w:ascii="Arial" w:hAnsi="Arial" w:cs="Arial"/>
          <w:i/>
          <w:iCs/>
        </w:rPr>
        <w:t>WHO clinical consortium on healthy ageing 2023: meeting report, Geneva, Switzerland, 5-7 December 2023</w:t>
      </w:r>
      <w:r w:rsidRPr="002E3A81">
        <w:rPr>
          <w:rFonts w:ascii="Arial" w:hAnsi="Arial" w:cs="Arial"/>
        </w:rPr>
        <w:t>. World Health Organization.</w:t>
      </w:r>
      <w:r w:rsidRPr="002E3A81">
        <w:t xml:space="preserve"> </w:t>
      </w:r>
      <w:hyperlink r:id="rId13" w:history="1">
        <w:r w:rsidRPr="00007A85">
          <w:rPr>
            <w:rStyle w:val="Hyperlink"/>
            <w:rFonts w:ascii="Arial" w:hAnsi="Arial" w:cs="Arial"/>
          </w:rPr>
          <w:t>https://books.google.com/books?hl=en&amp;lr=&amp;id=lUggEQAAQBAJ&amp;oi=fnd&amp;pg=PR4&amp;dq=</w:t>
        </w:r>
        <w:r w:rsidRPr="00007A85">
          <w:rPr>
            <w:rStyle w:val="Hyperlink"/>
            <w:rFonts w:ascii="Arial" w:hAnsi="Arial" w:cs="Arial"/>
          </w:rPr>
          <w:lastRenderedPageBreak/>
          <w:t>World+Health+Organisation+(2022)+Dementia:+key+facts.+Geneva:+WHO.&amp;ots=6QmvP8MyIl&amp;sig=lgdcZcRufcU2UXX51hp0zVPWOkk</w:t>
        </w:r>
      </w:hyperlink>
    </w:p>
    <w:p w14:paraId="4FC3FA62" w14:textId="77777777" w:rsidR="002E3A81" w:rsidRPr="000A667E" w:rsidRDefault="002E3A81" w:rsidP="000A667E">
      <w:pPr>
        <w:spacing w:line="360" w:lineRule="auto"/>
        <w:rPr>
          <w:rFonts w:ascii="Arial" w:hAnsi="Arial" w:cs="Arial"/>
        </w:rPr>
      </w:pPr>
    </w:p>
    <w:sectPr w:rsidR="002E3A81" w:rsidRPr="000A66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AE72DC"/>
    <w:multiLevelType w:val="multilevel"/>
    <w:tmpl w:val="15C2087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369793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67E"/>
    <w:rsid w:val="000A667E"/>
    <w:rsid w:val="00136AEA"/>
    <w:rsid w:val="00165367"/>
    <w:rsid w:val="0017135C"/>
    <w:rsid w:val="001B3CF2"/>
    <w:rsid w:val="001D0DD1"/>
    <w:rsid w:val="002263BC"/>
    <w:rsid w:val="002644E8"/>
    <w:rsid w:val="002A2F71"/>
    <w:rsid w:val="002E3A81"/>
    <w:rsid w:val="003B6A10"/>
    <w:rsid w:val="00485F77"/>
    <w:rsid w:val="005B5987"/>
    <w:rsid w:val="00625BD8"/>
    <w:rsid w:val="00757BC7"/>
    <w:rsid w:val="00836B38"/>
    <w:rsid w:val="008A4494"/>
    <w:rsid w:val="008E2338"/>
    <w:rsid w:val="008E3121"/>
    <w:rsid w:val="009251AB"/>
    <w:rsid w:val="009D4AAC"/>
    <w:rsid w:val="009E7E82"/>
    <w:rsid w:val="00A41B6B"/>
    <w:rsid w:val="00B030FF"/>
    <w:rsid w:val="00B40617"/>
    <w:rsid w:val="00B64B00"/>
    <w:rsid w:val="00BB6417"/>
    <w:rsid w:val="00BD19C7"/>
    <w:rsid w:val="00C03029"/>
    <w:rsid w:val="00C25F91"/>
    <w:rsid w:val="00C87027"/>
    <w:rsid w:val="00D24FEF"/>
    <w:rsid w:val="00D85969"/>
    <w:rsid w:val="00DC6774"/>
    <w:rsid w:val="00E2512E"/>
    <w:rsid w:val="00E56ECE"/>
    <w:rsid w:val="00F1202B"/>
    <w:rsid w:val="00F6670E"/>
    <w:rsid w:val="00F913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E1FB0"/>
  <w15:chartTrackingRefBased/>
  <w15:docId w15:val="{30DAFC4C-EA1A-4325-9DA6-D7567DE43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A10"/>
  </w:style>
  <w:style w:type="paragraph" w:styleId="Heading1">
    <w:name w:val="heading 1"/>
    <w:basedOn w:val="Normal"/>
    <w:next w:val="Normal"/>
    <w:link w:val="Heading1Char"/>
    <w:uiPriority w:val="9"/>
    <w:qFormat/>
    <w:rsid w:val="000A66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66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66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66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66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6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6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66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66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66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66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6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67E"/>
    <w:rPr>
      <w:rFonts w:eastAsiaTheme="majorEastAsia" w:cstheme="majorBidi"/>
      <w:color w:val="272727" w:themeColor="text1" w:themeTint="D8"/>
    </w:rPr>
  </w:style>
  <w:style w:type="paragraph" w:styleId="Title">
    <w:name w:val="Title"/>
    <w:basedOn w:val="Normal"/>
    <w:next w:val="Normal"/>
    <w:link w:val="TitleChar"/>
    <w:uiPriority w:val="10"/>
    <w:qFormat/>
    <w:rsid w:val="000A6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67E"/>
    <w:pPr>
      <w:spacing w:before="160"/>
      <w:jc w:val="center"/>
    </w:pPr>
    <w:rPr>
      <w:i/>
      <w:iCs/>
      <w:color w:val="404040" w:themeColor="text1" w:themeTint="BF"/>
    </w:rPr>
  </w:style>
  <w:style w:type="character" w:customStyle="1" w:styleId="QuoteChar">
    <w:name w:val="Quote Char"/>
    <w:basedOn w:val="DefaultParagraphFont"/>
    <w:link w:val="Quote"/>
    <w:uiPriority w:val="29"/>
    <w:rsid w:val="000A667E"/>
    <w:rPr>
      <w:i/>
      <w:iCs/>
      <w:color w:val="404040" w:themeColor="text1" w:themeTint="BF"/>
    </w:rPr>
  </w:style>
  <w:style w:type="paragraph" w:styleId="ListParagraph">
    <w:name w:val="List Paragraph"/>
    <w:basedOn w:val="Normal"/>
    <w:uiPriority w:val="34"/>
    <w:qFormat/>
    <w:rsid w:val="000A667E"/>
    <w:pPr>
      <w:ind w:left="720"/>
      <w:contextualSpacing/>
    </w:pPr>
  </w:style>
  <w:style w:type="character" w:styleId="IntenseEmphasis">
    <w:name w:val="Intense Emphasis"/>
    <w:basedOn w:val="DefaultParagraphFont"/>
    <w:uiPriority w:val="21"/>
    <w:qFormat/>
    <w:rsid w:val="000A667E"/>
    <w:rPr>
      <w:i/>
      <w:iCs/>
      <w:color w:val="2F5496" w:themeColor="accent1" w:themeShade="BF"/>
    </w:rPr>
  </w:style>
  <w:style w:type="paragraph" w:styleId="IntenseQuote">
    <w:name w:val="Intense Quote"/>
    <w:basedOn w:val="Normal"/>
    <w:next w:val="Normal"/>
    <w:link w:val="IntenseQuoteChar"/>
    <w:uiPriority w:val="30"/>
    <w:qFormat/>
    <w:rsid w:val="000A66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667E"/>
    <w:rPr>
      <w:i/>
      <w:iCs/>
      <w:color w:val="2F5496" w:themeColor="accent1" w:themeShade="BF"/>
    </w:rPr>
  </w:style>
  <w:style w:type="character" w:styleId="IntenseReference">
    <w:name w:val="Intense Reference"/>
    <w:basedOn w:val="DefaultParagraphFont"/>
    <w:uiPriority w:val="32"/>
    <w:qFormat/>
    <w:rsid w:val="000A667E"/>
    <w:rPr>
      <w:b/>
      <w:bCs/>
      <w:smallCaps/>
      <w:color w:val="2F5496" w:themeColor="accent1" w:themeShade="BF"/>
      <w:spacing w:val="5"/>
    </w:rPr>
  </w:style>
  <w:style w:type="table" w:customStyle="1" w:styleId="TableGrid">
    <w:name w:val="TableGrid"/>
    <w:rsid w:val="000A667E"/>
    <w:pPr>
      <w:spacing w:after="0" w:line="240" w:lineRule="auto"/>
    </w:pPr>
    <w:rPr>
      <w:rFonts w:eastAsiaTheme="minorEastAsia"/>
    </w:rPr>
    <w:tblPr>
      <w:tblCellMar>
        <w:top w:w="0" w:type="dxa"/>
        <w:left w:w="0" w:type="dxa"/>
        <w:bottom w:w="0" w:type="dxa"/>
        <w:right w:w="0" w:type="dxa"/>
      </w:tblCellMar>
    </w:tblPr>
  </w:style>
  <w:style w:type="character" w:styleId="Hyperlink">
    <w:name w:val="Hyperlink"/>
    <w:basedOn w:val="DefaultParagraphFont"/>
    <w:uiPriority w:val="99"/>
    <w:unhideWhenUsed/>
    <w:rsid w:val="00DC6774"/>
    <w:rPr>
      <w:color w:val="0563C1" w:themeColor="hyperlink"/>
      <w:u w:val="single"/>
    </w:rPr>
  </w:style>
  <w:style w:type="character" w:styleId="UnresolvedMention">
    <w:name w:val="Unresolved Mention"/>
    <w:basedOn w:val="DefaultParagraphFont"/>
    <w:uiPriority w:val="99"/>
    <w:semiHidden/>
    <w:unhideWhenUsed/>
    <w:rsid w:val="00DC6774"/>
    <w:rPr>
      <w:color w:val="605E5C"/>
      <w:shd w:val="clear" w:color="auto" w:fill="E1DFDD"/>
    </w:rPr>
  </w:style>
  <w:style w:type="paragraph" w:styleId="TOCHeading">
    <w:name w:val="TOC Heading"/>
    <w:basedOn w:val="Heading1"/>
    <w:next w:val="Normal"/>
    <w:uiPriority w:val="39"/>
    <w:unhideWhenUsed/>
    <w:qFormat/>
    <w:rsid w:val="00F120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1202B"/>
    <w:pPr>
      <w:spacing w:after="100"/>
    </w:pPr>
  </w:style>
  <w:style w:type="paragraph" w:styleId="TOC2">
    <w:name w:val="toc 2"/>
    <w:basedOn w:val="Normal"/>
    <w:next w:val="Normal"/>
    <w:autoRedefine/>
    <w:uiPriority w:val="39"/>
    <w:unhideWhenUsed/>
    <w:rsid w:val="00F120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046606">
      <w:bodyDiv w:val="1"/>
      <w:marLeft w:val="0"/>
      <w:marRight w:val="0"/>
      <w:marTop w:val="0"/>
      <w:marBottom w:val="0"/>
      <w:divBdr>
        <w:top w:val="none" w:sz="0" w:space="0" w:color="auto"/>
        <w:left w:val="none" w:sz="0" w:space="0" w:color="auto"/>
        <w:bottom w:val="none" w:sz="0" w:space="0" w:color="auto"/>
        <w:right w:val="none" w:sz="0" w:space="0" w:color="auto"/>
      </w:divBdr>
    </w:div>
    <w:div w:id="375085081">
      <w:bodyDiv w:val="1"/>
      <w:marLeft w:val="0"/>
      <w:marRight w:val="0"/>
      <w:marTop w:val="0"/>
      <w:marBottom w:val="0"/>
      <w:divBdr>
        <w:top w:val="none" w:sz="0" w:space="0" w:color="auto"/>
        <w:left w:val="none" w:sz="0" w:space="0" w:color="auto"/>
        <w:bottom w:val="none" w:sz="0" w:space="0" w:color="auto"/>
        <w:right w:val="none" w:sz="0" w:space="0" w:color="auto"/>
      </w:divBdr>
    </w:div>
    <w:div w:id="391386444">
      <w:bodyDiv w:val="1"/>
      <w:marLeft w:val="0"/>
      <w:marRight w:val="0"/>
      <w:marTop w:val="0"/>
      <w:marBottom w:val="0"/>
      <w:divBdr>
        <w:top w:val="none" w:sz="0" w:space="0" w:color="auto"/>
        <w:left w:val="none" w:sz="0" w:space="0" w:color="auto"/>
        <w:bottom w:val="none" w:sz="0" w:space="0" w:color="auto"/>
        <w:right w:val="none" w:sz="0" w:space="0" w:color="auto"/>
      </w:divBdr>
    </w:div>
    <w:div w:id="510532543">
      <w:bodyDiv w:val="1"/>
      <w:marLeft w:val="0"/>
      <w:marRight w:val="0"/>
      <w:marTop w:val="0"/>
      <w:marBottom w:val="0"/>
      <w:divBdr>
        <w:top w:val="none" w:sz="0" w:space="0" w:color="auto"/>
        <w:left w:val="none" w:sz="0" w:space="0" w:color="auto"/>
        <w:bottom w:val="none" w:sz="0" w:space="0" w:color="auto"/>
        <w:right w:val="none" w:sz="0" w:space="0" w:color="auto"/>
      </w:divBdr>
    </w:div>
    <w:div w:id="639697406">
      <w:bodyDiv w:val="1"/>
      <w:marLeft w:val="0"/>
      <w:marRight w:val="0"/>
      <w:marTop w:val="0"/>
      <w:marBottom w:val="0"/>
      <w:divBdr>
        <w:top w:val="none" w:sz="0" w:space="0" w:color="auto"/>
        <w:left w:val="none" w:sz="0" w:space="0" w:color="auto"/>
        <w:bottom w:val="none" w:sz="0" w:space="0" w:color="auto"/>
        <w:right w:val="none" w:sz="0" w:space="0" w:color="auto"/>
      </w:divBdr>
    </w:div>
    <w:div w:id="718091788">
      <w:bodyDiv w:val="1"/>
      <w:marLeft w:val="0"/>
      <w:marRight w:val="0"/>
      <w:marTop w:val="0"/>
      <w:marBottom w:val="0"/>
      <w:divBdr>
        <w:top w:val="none" w:sz="0" w:space="0" w:color="auto"/>
        <w:left w:val="none" w:sz="0" w:space="0" w:color="auto"/>
        <w:bottom w:val="none" w:sz="0" w:space="0" w:color="auto"/>
        <w:right w:val="none" w:sz="0" w:space="0" w:color="auto"/>
      </w:divBdr>
    </w:div>
    <w:div w:id="1145705228">
      <w:bodyDiv w:val="1"/>
      <w:marLeft w:val="0"/>
      <w:marRight w:val="0"/>
      <w:marTop w:val="0"/>
      <w:marBottom w:val="0"/>
      <w:divBdr>
        <w:top w:val="none" w:sz="0" w:space="0" w:color="auto"/>
        <w:left w:val="none" w:sz="0" w:space="0" w:color="auto"/>
        <w:bottom w:val="none" w:sz="0" w:space="0" w:color="auto"/>
        <w:right w:val="none" w:sz="0" w:space="0" w:color="auto"/>
      </w:divBdr>
    </w:div>
    <w:div w:id="1223062895">
      <w:bodyDiv w:val="1"/>
      <w:marLeft w:val="0"/>
      <w:marRight w:val="0"/>
      <w:marTop w:val="0"/>
      <w:marBottom w:val="0"/>
      <w:divBdr>
        <w:top w:val="none" w:sz="0" w:space="0" w:color="auto"/>
        <w:left w:val="none" w:sz="0" w:space="0" w:color="auto"/>
        <w:bottom w:val="none" w:sz="0" w:space="0" w:color="auto"/>
        <w:right w:val="none" w:sz="0" w:space="0" w:color="auto"/>
      </w:divBdr>
    </w:div>
    <w:div w:id="1444306199">
      <w:bodyDiv w:val="1"/>
      <w:marLeft w:val="0"/>
      <w:marRight w:val="0"/>
      <w:marTop w:val="0"/>
      <w:marBottom w:val="0"/>
      <w:divBdr>
        <w:top w:val="none" w:sz="0" w:space="0" w:color="auto"/>
        <w:left w:val="none" w:sz="0" w:space="0" w:color="auto"/>
        <w:bottom w:val="none" w:sz="0" w:space="0" w:color="auto"/>
        <w:right w:val="none" w:sz="0" w:space="0" w:color="auto"/>
      </w:divBdr>
    </w:div>
    <w:div w:id="1497377797">
      <w:bodyDiv w:val="1"/>
      <w:marLeft w:val="0"/>
      <w:marRight w:val="0"/>
      <w:marTop w:val="0"/>
      <w:marBottom w:val="0"/>
      <w:divBdr>
        <w:top w:val="none" w:sz="0" w:space="0" w:color="auto"/>
        <w:left w:val="none" w:sz="0" w:space="0" w:color="auto"/>
        <w:bottom w:val="none" w:sz="0" w:space="0" w:color="auto"/>
        <w:right w:val="none" w:sz="0" w:space="0" w:color="auto"/>
      </w:divBdr>
    </w:div>
    <w:div w:id="1686250126">
      <w:bodyDiv w:val="1"/>
      <w:marLeft w:val="0"/>
      <w:marRight w:val="0"/>
      <w:marTop w:val="0"/>
      <w:marBottom w:val="0"/>
      <w:divBdr>
        <w:top w:val="none" w:sz="0" w:space="0" w:color="auto"/>
        <w:left w:val="none" w:sz="0" w:space="0" w:color="auto"/>
        <w:bottom w:val="none" w:sz="0" w:space="0" w:color="auto"/>
        <w:right w:val="none" w:sz="0" w:space="0" w:color="auto"/>
      </w:divBdr>
    </w:div>
    <w:div w:id="1820002286">
      <w:bodyDiv w:val="1"/>
      <w:marLeft w:val="0"/>
      <w:marRight w:val="0"/>
      <w:marTop w:val="0"/>
      <w:marBottom w:val="0"/>
      <w:divBdr>
        <w:top w:val="none" w:sz="0" w:space="0" w:color="auto"/>
        <w:left w:val="none" w:sz="0" w:space="0" w:color="auto"/>
        <w:bottom w:val="none" w:sz="0" w:space="0" w:color="auto"/>
        <w:right w:val="none" w:sz="0" w:space="0" w:color="auto"/>
      </w:divBdr>
    </w:div>
    <w:div w:id="2021272515">
      <w:bodyDiv w:val="1"/>
      <w:marLeft w:val="0"/>
      <w:marRight w:val="0"/>
      <w:marTop w:val="0"/>
      <w:marBottom w:val="0"/>
      <w:divBdr>
        <w:top w:val="none" w:sz="0" w:space="0" w:color="auto"/>
        <w:left w:val="none" w:sz="0" w:space="0" w:color="auto"/>
        <w:bottom w:val="none" w:sz="0" w:space="0" w:color="auto"/>
        <w:right w:val="none" w:sz="0" w:space="0" w:color="auto"/>
      </w:divBdr>
    </w:div>
    <w:div w:id="2067138787">
      <w:bodyDiv w:val="1"/>
      <w:marLeft w:val="0"/>
      <w:marRight w:val="0"/>
      <w:marTop w:val="0"/>
      <w:marBottom w:val="0"/>
      <w:divBdr>
        <w:top w:val="none" w:sz="0" w:space="0" w:color="auto"/>
        <w:left w:val="none" w:sz="0" w:space="0" w:color="auto"/>
        <w:bottom w:val="none" w:sz="0" w:space="0" w:color="auto"/>
        <w:right w:val="none" w:sz="0" w:space="0" w:color="auto"/>
      </w:divBdr>
    </w:div>
    <w:div w:id="207338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ijsw.12562" TargetMode="External"/><Relationship Id="rId13" Type="http://schemas.openxmlformats.org/officeDocument/2006/relationships/hyperlink" Target="https://books.google.com/books?hl=en&amp;lr=&amp;id=lUggEQAAQBAJ&amp;oi=fnd&amp;pg=PR4&amp;dq=World+Health+Organisation+(2022)+Dementia:+key+facts.+Geneva:+WHO.&amp;ots=6QmvP8MyIl&amp;sig=lgdcZcRufcU2UXX51hp0zVPWOkk" TargetMode="External"/><Relationship Id="rId3" Type="http://schemas.openxmlformats.org/officeDocument/2006/relationships/styles" Target="styles.xml"/><Relationship Id="rId7" Type="http://schemas.openxmlformats.org/officeDocument/2006/relationships/hyperlink" Target="https://www.sciencedirect.com/science/article/pii/S1876139924000446" TargetMode="External"/><Relationship Id="rId12" Type="http://schemas.openxmlformats.org/officeDocument/2006/relationships/hyperlink" Target="https://www.sciencedirect.com/science/article/pii/S2666920X2300006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andfonline.com/doi/abs/10.1080/08923647.2021.199753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online-journal.unja.ac.id/JIITUJ/article/view/33073" TargetMode="External"/><Relationship Id="rId4" Type="http://schemas.openxmlformats.org/officeDocument/2006/relationships/settings" Target="settings.xml"/><Relationship Id="rId9" Type="http://schemas.openxmlformats.org/officeDocument/2006/relationships/hyperlink" Target="https://kclpure.kcl.ac.uk/portal/files/230424848/Care_Certificate_Witness_Seminar_14_March_2023.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Man232</b:Tag>
    <b:SourceType>Book</b:SourceType>
    <b:Guid>{5EC65229-B12E-43B6-8DCC-C3EB955B51E6}</b:Guid>
    <b:Author>
      <b:Author>
        <b:NameList>
          <b:Person>
            <b:Last>Manthorpe</b:Last>
            <b:First>J.</b:First>
            <b:Middle>and Purcell, C., 2023. What Can we Learn from the Innovation of The Care Certificate?: An Online Witness Seminar, 14th March 2023. https://kclpure.kcl.ac.uk/portal/files/230424848/Care_Certificate_Witness_Seminar_14_March_2023.pdf</b:Middle>
          </b:Person>
        </b:NameList>
      </b:Author>
    </b:Author>
    <b:Year>2023</b:Year>
    <b:RefOrder>2</b:RefOrder>
  </b:Source>
  <b:Source>
    <b:Tag>Sou23</b:Tag>
    <b:SourceType>Book</b:SourceType>
    <b:Guid>{4AAD2700-2287-4FC3-B8E3-CDCCBD5AA4AB}</b:Guid>
    <b:Author>
      <b:Author>
        <b:NameList>
          <b:Person>
            <b:Last>Southworth</b:Last>
            <b:First>J.,</b:First>
            <b:Middle>Migliaccio, K., Glover, J., Glover, J.N., Reed, D., McCarty, C., Brendemuhl, J. and Thomas, A., 2023. Developing a model for AI Across the curriculum: Transforming the higher education landscape via innovation in AI literacy. Computers and</b:Middle>
          </b:Person>
        </b:NameList>
      </b:Author>
    </b:Author>
    <b:Year>2023</b:Year>
    <b:RefOrder>4</b:RefOrder>
  </b:Source>
  <b:Source>
    <b:Tag>Olc22</b:Tag>
    <b:SourceType>Book</b:SourceType>
    <b:Guid>{336DC060-486F-4253-AA96-D61E8B3A5105}</b:Guid>
    <b:Author>
      <b:Author>
        <b:NameList>
          <b:Person>
            <b:Last>Olcott Jr</b:Last>
            <b:First>D.,</b:First>
            <b:Middle>2022. Micro-credentials: A catalyst for strategic reset and change in US higher education. American Journal of Distance Education, 36(1), pp.19-35. https://www.tandfonline.com/doi/abs/10.1080/08923647.2021.1997537</b:Middle>
          </b:Person>
        </b:NameList>
      </b:Author>
    </b:Author>
    <b:Year>2022</b:Year>
    <b:RefOrder>3</b:RefOrder>
  </b:Source>
  <b:Source>
    <b:Tag>Nug24</b:Tag>
    <b:SourceType>Book</b:SourceType>
    <b:Guid>{369269F4-A2D4-4910-9817-6A45E78ADE76}</b:Guid>
    <b:Author>
      <b:Author>
        <b:NameList>
          <b:Person>
            <b:Last>Nugroho</b:Last>
            <b:First>N.</b:First>
            <b:Middle>E., Irianto, J., &amp; Suryanto, S. (2024). A SYSTEMATIC REVIEW OF INDONESIAN HIGHER EDUCATION STUDENTS'AND GRADUATES'WORK READINESS. Jurnal Ilmiah Ilmu Terapan Universitas Jambi, 8(1), 350-363. https://online-journal.unja.ac.id/JIITUJ/article/vie</b:Middle>
          </b:Person>
        </b:NameList>
      </b:Author>
    </b:Author>
    <b:Year>2024</b:Year>
    <b:RefOrder>6</b:RefOrder>
  </b:Source>
  <b:Source>
    <b:Tag>Gra234</b:Tag>
    <b:SourceType>Book</b:SourceType>
    <b:Guid>{0D8006C8-651A-4E64-AEE4-B2076D9A5B4E}</b:Guid>
    <b:Author>
      <b:Author>
        <b:NameList>
          <b:Person>
            <b:Last>Gray</b:Last>
            <b:First>M.</b:First>
            <b:Middle>and Lombard, A., 2023. Progress of the social service professions in South Africa's developmental social welfare system: Social work, and child and youth care work. International Journal of Social Welfare, 32(4), pp.429-441. https://onlinelibrary</b:Middle>
          </b:Person>
        </b:NameList>
      </b:Author>
    </b:Author>
    <b:Year>2023</b:Year>
    <b:RefOrder>5</b:RefOrder>
  </b:Source>
  <b:Source>
    <b:Tag>Dia24</b:Tag>
    <b:SourceType>Book</b:SourceType>
    <b:Guid>{9F3272E2-33D7-4422-BE8A-568DAEE8503C}</b:Guid>
    <b:Author>
      <b:Author>
        <b:NameList>
          <b:Person>
            <b:Last>Diaz-Navarro</b:Last>
            <b:First>C.,</b:First>
            <b:Middle>Armstrong, R., Charnetski, M., Freeman, K., Koh, S., Reedy, G., Smitten, J., Ingrassia, P.L., Matos, F.M. and Issenberg, B., 2024. Global consensus statement on simulation-based practice in healthcare. Clinical Simulation in Nursing, 93,</b:Middle>
          </b:Person>
        </b:NameList>
      </b:Author>
    </b:Author>
    <b:Year>2024</b:Year>
    <b:RefOrder>1</b:RefOrder>
  </b:Source>
</b:Sources>
</file>

<file path=customXml/itemProps1.xml><?xml version="1.0" encoding="utf-8"?>
<ds:datastoreItem xmlns:ds="http://schemas.openxmlformats.org/officeDocument/2006/customXml" ds:itemID="{1FA2C4E8-AE76-4FE5-B593-5D04EA14A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9</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Qaboos</dc:creator>
  <cp:keywords/>
  <dc:description/>
  <cp:lastModifiedBy>Suzan Wakayamba Namitala (2515844)</cp:lastModifiedBy>
  <cp:revision>10</cp:revision>
  <dcterms:created xsi:type="dcterms:W3CDTF">2026-04-11T14:47:00Z</dcterms:created>
  <dcterms:modified xsi:type="dcterms:W3CDTF">2026-04-18T15:32:00Z</dcterms:modified>
</cp:coreProperties>
</file>