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303F54" w:rsidRDefault="008324AA" w14:paraId="58E0C82C" w14:textId="4EE81FEF" w:rsidP="00F33792" w:rsidRPr="00303F54">
      <w:pPr>
        <w:jc w:val="center"/>
        <w:rPr>
          <w:iCs/>
          <w:lang w:eastAsia="en-GB"/>
          <w:b/>
          <w:sz w:val="36"/>
        </w:rPr>
      </w:pPr>
      <w:r w:rsidRPr="00303F54">
        <w:rPr>
          <w:iCs/>
          <w:lang w:eastAsia="en-GB"/>
          <w:b/>
          <w:sz w:val="36"/>
        </w:rPr>
        <w:t xml:space="preserve">  </w:t>
      </w:r>
      <w:r w:rsidR="00303F54" w:rsidRPr="00303F54">
        <w:rPr>
          <w:iCs/>
          <w:lang w:eastAsia="en-GB"/>
          <w:b/>
          <w:sz w:val="36"/>
        </w:rPr>
        <w:t>LCBB4002</w:t>
      </w:r>
    </w:p>
    <w:p w:rsidR="00303F54" w:rsidRDefault="00303F54" w14:paraId="3A1DEEA3" w14:textId="791C0310" w:rsidP="00F33792">
      <w:pPr>
        <w:jc w:val="center"/>
        <w:rPr>
          <w:iCs/>
          <w:lang w:eastAsia="en-GB"/>
          <w:b/>
          <w:sz w:val="36"/>
        </w:rPr>
      </w:pPr>
      <w:r w:rsidRPr="00303F54">
        <w:rPr>
          <w:iCs/>
          <w:lang w:eastAsia="en-GB"/>
          <w:b/>
          <w:sz w:val="36"/>
        </w:rPr>
        <w:t>Community Engagement</w:t>
      </w:r>
    </w:p>
    <w:p w:rsidR="00303F54" w:rsidRDefault="00303F54" w14:paraId="42AE8003" w14:textId="660C20A1" w:rsidP="00F33792" w:rsidRPr="00303F54">
      <w:pPr>
        <w:jc w:val="center"/>
        <w:rPr>
          <w:iCs/>
          <w:lang w:eastAsia="en-GB"/>
          <w:b/>
          <w:sz w:val="36"/>
        </w:rPr>
      </w:pPr>
      <w:r>
        <w:rPr>
          <w:iCs/>
          <w:lang w:eastAsia="en-GB"/>
          <w:b/>
          <w:sz w:val="36"/>
        </w:rPr>
        <w:t>Assessment 1</w:t>
      </w:r>
    </w:p>
    <w:p>
      <w:pPr>
        <w:jc w:val="center"/>
      </w:pPr>
      <w:r>
        <w:rPr>
          <w:b/>
          <w:sz w:val="36"/>
        </w:rPr>
        <w:t>Martina Martinova Karadzhova</w:t>
      </w:r>
    </w:p>
    <w:p>
      <w:pPr>
        <w:jc w:val="center"/>
      </w:pPr>
      <w:r>
        <w:rPr>
          <w:b/>
          <w:sz w:val="36"/>
        </w:rPr>
        <w:t>Student ID: 2021296</w:t>
      </w:r>
    </w:p>
    <w:p w:rsidR="00303F54" w:rsidRDefault="00303F54" w14:paraId="470DD1FF" w14:textId="77777777" w:rsidP="00F33792">
      <w:pPr>
        <w:jc w:val="center"/>
        <w:rPr>
          <w:lang w:eastAsia="en-GB"/>
          <w:b w:val="0"/>
          <w:i/>
          <w:sz w:val="36"/>
        </w:rPr>
      </w:pPr>
    </w:p>
    <w:p w:rsidR="00F33792" w:rsidRDefault="00F33792" w14:paraId="34C5752A" w14:textId="426C127B" w:rsidP="00F33792" w:rsidRPr="00303F54">
      <w:pPr>
        <w:jc w:val="center"/>
        <w:rPr>
          <w:iCs/>
          <w:lang w:eastAsia="en-GB"/>
          <w:b/>
          <w:sz w:val="36"/>
        </w:rPr>
      </w:pPr>
      <w:r w:rsidRPr="00303F54">
        <w:rPr>
          <w:iCs/>
          <w:lang w:eastAsia="en-GB"/>
          <w:b/>
          <w:sz w:val="36"/>
        </w:rPr>
        <w:t>Community Engagement a Case Study on Community-Led Recovery Programme</w:t>
      </w:r>
    </w:p>
    <w:p w:rsidR="00F33792" w:rsidRDefault="00F33792" w14:paraId="162CA606" w14:textId="77777777">
      <w:pPr>
        <w:jc w:val="left"/>
        <w:spacing w:line="259" w:lineRule="auto"/>
        <w:rPr>
          <w:lang w:eastAsia="en-GB"/>
          <w:b/>
          <w:i/>
          <w:sz w:val="36"/>
        </w:rPr>
      </w:pPr>
      <w:r>
        <w:rPr>
          <w:b/>
          <w:i/>
          <w:sz w:val="36"/>
        </w:rPr>
        <w:br w:type="page"/>
      </w:r>
    </w:p>
    <w:sdt>
      <w:sdtPr>
        <w:rPr>
          <w:rFonts w:ascii="Times New Roman" w:eastAsiaTheme="minorHAnsi" w:hAnsi="Times New Roman" w:cs="Times New Roman"/>
          <w:color w:val="auto"/>
          <w:sz w:val="24"/>
          <w:szCs w:val="22"/>
          <w:lang w:val="en-GB"/>
        </w:rPr>
        <w:id w:val="-570731024"/>
        <w:docPartObj>
          <w:docPartGallery w:val="Table of Contents"/>
          <w:docPartUnique/>
        </w:docPartObj>
      </w:sdtPr>
      <w:sdtEndPr>
        <w:rPr>
          <w:b/>
          <w:bCs/>
          <w:noProof/>
        </w:rPr>
      </w:sdtEndPr>
      <w:sdtContent>
        <w:p w:rsidR="00941939" w:rsidRDefault="00941939" w14:paraId="49E9FEE2" w14:textId="77777777" w:rsidP="00941939">
          <w:pPr>
            <w:pStyle w:val="TOCHeading"/>
          </w:pPr>
          <w:r>
            <w:t>Table of Contents</w:t>
          </w:r>
        </w:p>
        <w:p w:rsidR="00DB0042" w:rsidRDefault="00AE50DB" w14:paraId="30E4019D" w14:textId="77777777">
          <w:pPr>
            <w:pStyle w:val="TOC1"/>
            <w:tabs>
              <w:tab w:val="right" w:leader="dot" w:pos="9016"/>
            </w:tabs>
            <w:rPr>
              <w:noProof/>
              <w:lang w:eastAsia="en-GB"/>
              <w:rFonts w:ascii="Calibri" w:eastAsiaTheme="minorEastAsia" w:hAnsiTheme="minorHAnsi" w:cstheme="minorBidi"/>
              <w:sz w:val="22"/>
            </w:rPr>
          </w:pPr>
          <w:r>
            <w:fldChar w:fldCharType="begin"/>
          </w:r>
          <w:r>
            <w:instrText xml:space="preserve"> TOC \o "1-3" \h \z \u </w:instrText>
          </w:r>
          <w:r>
            <w:fldChar w:fldCharType="separate"/>
          </w:r>
          <w:hyperlink w:anchor="_Toc78033575" w:history="1">
            <w:r w:rsidR="00DB0042" w:rsidRPr="00CA13BF">
              <w:rPr>
                <w:noProof/>
                <w:rStyle w:val="Hyperlink"/>
                <w:i/>
              </w:rPr>
              <w:t>Introduction</w:t>
            </w:r>
            <w:r w:rsidR="00DB0042">
              <w:rPr>
                <w:noProof/>
                <w:webHidden/>
              </w:rPr>
              <w:tab/>
            </w:r>
            <w:r w:rsidR="00DB0042">
              <w:rPr>
                <w:noProof/>
                <w:webHidden/>
              </w:rPr>
              <w:fldChar w:fldCharType="begin"/>
            </w:r>
            <w:r w:rsidR="00DB0042">
              <w:rPr>
                <w:noProof/>
                <w:webHidden/>
              </w:rPr>
              <w:instrText xml:space="preserve"> PAGEREF _Toc78033575 \h </w:instrText>
            </w:r>
            <w:r w:rsidR="00DB0042">
              <w:rPr>
                <w:noProof/>
                <w:webHidden/>
              </w:rPr>
            </w:r>
            <w:r w:rsidR="00DB0042">
              <w:rPr>
                <w:noProof/>
                <w:webHidden/>
              </w:rPr>
              <w:fldChar w:fldCharType="separate"/>
            </w:r>
            <w:r w:rsidR="00DB0042">
              <w:rPr>
                <w:noProof/>
                <w:webHidden/>
              </w:rPr>
              <w:t>3</w:t>
            </w:r>
            <w:r w:rsidR="00DB0042">
              <w:rPr>
                <w:noProof/>
                <w:webHidden/>
              </w:rPr>
              <w:fldChar w:fldCharType="end"/>
            </w:r>
          </w:hyperlink>
        </w:p>
        <w:p w:rsidR="00DB0042" w:rsidRDefault="00A00883" w14:paraId="361EB1E3" w14:textId="77777777">
          <w:pPr>
            <w:pStyle w:val="TOC1"/>
            <w:tabs>
              <w:tab w:val="right" w:leader="dot" w:pos="9016"/>
            </w:tabs>
            <w:rPr>
              <w:noProof/>
              <w:lang w:eastAsia="en-GB"/>
              <w:rFonts w:ascii="Calibri" w:eastAsiaTheme="minorEastAsia" w:hAnsiTheme="minorHAnsi" w:cstheme="minorBidi"/>
              <w:sz w:val="22"/>
            </w:rPr>
          </w:pPr>
          <w:hyperlink w:anchor="_Toc78033576" w:history="1">
            <w:r w:rsidR="00DB0042" w:rsidRPr="00CA13BF">
              <w:rPr>
                <w:noProof/>
                <w:rStyle w:val="Hyperlink"/>
              </w:rPr>
              <w:t>Results and findings</w:t>
            </w:r>
            <w:r w:rsidR="00DB0042">
              <w:rPr>
                <w:noProof/>
                <w:webHidden/>
              </w:rPr>
              <w:tab/>
            </w:r>
            <w:r w:rsidR="00DB0042">
              <w:rPr>
                <w:noProof/>
                <w:webHidden/>
              </w:rPr>
              <w:fldChar w:fldCharType="begin"/>
            </w:r>
            <w:r w:rsidR="00DB0042">
              <w:rPr>
                <w:noProof/>
                <w:webHidden/>
              </w:rPr>
              <w:instrText xml:space="preserve"> PAGEREF _Toc78033576 \h </w:instrText>
            </w:r>
            <w:r w:rsidR="00DB0042">
              <w:rPr>
                <w:noProof/>
                <w:webHidden/>
              </w:rPr>
            </w:r>
            <w:r w:rsidR="00DB0042">
              <w:rPr>
                <w:noProof/>
                <w:webHidden/>
              </w:rPr>
              <w:fldChar w:fldCharType="separate"/>
            </w:r>
            <w:r w:rsidR="00DB0042">
              <w:rPr>
                <w:noProof/>
                <w:webHidden/>
              </w:rPr>
              <w:t>4</w:t>
            </w:r>
            <w:r w:rsidR="00DB0042">
              <w:rPr>
                <w:noProof/>
                <w:webHidden/>
              </w:rPr>
              <w:fldChar w:fldCharType="end"/>
            </w:r>
          </w:hyperlink>
        </w:p>
        <w:p w:rsidR="00DB0042" w:rsidRDefault="00A00883" w14:paraId="529B20BD" w14:textId="77777777">
          <w:pPr>
            <w:pStyle w:val="TOC2"/>
            <w:tabs>
              <w:tab w:val="right" w:leader="dot" w:pos="9016"/>
            </w:tabs>
            <w:rPr>
              <w:noProof/>
              <w:lang w:eastAsia="en-GB"/>
              <w:rFonts w:ascii="Calibri" w:eastAsiaTheme="minorEastAsia" w:hAnsiTheme="minorHAnsi" w:cstheme="minorBidi"/>
              <w:sz w:val="22"/>
            </w:rPr>
          </w:pPr>
          <w:hyperlink w:anchor="_Toc78033577" w:history="1">
            <w:r w:rsidR="00DB0042" w:rsidRPr="00CA13BF">
              <w:rPr>
                <w:noProof/>
                <w:rStyle w:val="Hyperlink"/>
              </w:rPr>
              <w:t>Community engagement principles</w:t>
            </w:r>
            <w:r w:rsidR="00DB0042">
              <w:rPr>
                <w:noProof/>
                <w:webHidden/>
              </w:rPr>
              <w:tab/>
            </w:r>
            <w:r w:rsidR="00DB0042">
              <w:rPr>
                <w:noProof/>
                <w:webHidden/>
              </w:rPr>
              <w:fldChar w:fldCharType="begin"/>
            </w:r>
            <w:r w:rsidR="00DB0042">
              <w:rPr>
                <w:noProof/>
                <w:webHidden/>
              </w:rPr>
              <w:instrText xml:space="preserve"> PAGEREF _Toc78033577 \h </w:instrText>
            </w:r>
            <w:r w:rsidR="00DB0042">
              <w:rPr>
                <w:noProof/>
                <w:webHidden/>
              </w:rPr>
            </w:r>
            <w:r w:rsidR="00DB0042">
              <w:rPr>
                <w:noProof/>
                <w:webHidden/>
              </w:rPr>
              <w:fldChar w:fldCharType="separate"/>
            </w:r>
            <w:r w:rsidR="00DB0042">
              <w:rPr>
                <w:noProof/>
                <w:webHidden/>
              </w:rPr>
              <w:t>4</w:t>
            </w:r>
            <w:r w:rsidR="00DB0042">
              <w:rPr>
                <w:noProof/>
                <w:webHidden/>
              </w:rPr>
              <w:fldChar w:fldCharType="end"/>
            </w:r>
          </w:hyperlink>
        </w:p>
        <w:p w:rsidR="00DB0042" w:rsidRDefault="00A00883" w14:paraId="2443D33F" w14:textId="77777777">
          <w:pPr>
            <w:pStyle w:val="TOC2"/>
            <w:tabs>
              <w:tab w:val="right" w:leader="dot" w:pos="9016"/>
            </w:tabs>
            <w:rPr>
              <w:noProof/>
              <w:lang w:eastAsia="en-GB"/>
              <w:rFonts w:ascii="Calibri" w:eastAsiaTheme="minorEastAsia" w:hAnsiTheme="minorHAnsi" w:cstheme="minorBidi"/>
              <w:sz w:val="22"/>
            </w:rPr>
          </w:pPr>
          <w:hyperlink w:anchor="_Toc78033578" w:history="1">
            <w:r w:rsidR="00DB0042" w:rsidRPr="00CA13BF">
              <w:rPr>
                <w:noProof/>
                <w:rStyle w:val="Hyperlink"/>
              </w:rPr>
              <w:t>Community engagement standards</w:t>
            </w:r>
            <w:r w:rsidR="00DB0042">
              <w:rPr>
                <w:noProof/>
                <w:webHidden/>
              </w:rPr>
              <w:tab/>
            </w:r>
            <w:r w:rsidR="00DB0042">
              <w:rPr>
                <w:noProof/>
                <w:webHidden/>
              </w:rPr>
              <w:fldChar w:fldCharType="begin"/>
            </w:r>
            <w:r w:rsidR="00DB0042">
              <w:rPr>
                <w:noProof/>
                <w:webHidden/>
              </w:rPr>
              <w:instrText xml:space="preserve"> PAGEREF _Toc78033578 \h </w:instrText>
            </w:r>
            <w:r w:rsidR="00DB0042">
              <w:rPr>
                <w:noProof/>
                <w:webHidden/>
              </w:rPr>
            </w:r>
            <w:r w:rsidR="00DB0042">
              <w:rPr>
                <w:noProof/>
                <w:webHidden/>
              </w:rPr>
              <w:fldChar w:fldCharType="separate"/>
            </w:r>
            <w:r w:rsidR="00DB0042">
              <w:rPr>
                <w:noProof/>
                <w:webHidden/>
              </w:rPr>
              <w:t>5</w:t>
            </w:r>
            <w:r w:rsidR="00DB0042">
              <w:rPr>
                <w:noProof/>
                <w:webHidden/>
              </w:rPr>
              <w:fldChar w:fldCharType="end"/>
            </w:r>
          </w:hyperlink>
        </w:p>
        <w:p w:rsidR="00DB0042" w:rsidRDefault="00A00883" w14:paraId="590BD088" w14:textId="77777777">
          <w:pPr>
            <w:pStyle w:val="TOC2"/>
            <w:tabs>
              <w:tab w:val="right" w:leader="dot" w:pos="9016"/>
            </w:tabs>
            <w:rPr>
              <w:noProof/>
              <w:lang w:eastAsia="en-GB"/>
              <w:rFonts w:ascii="Calibri" w:eastAsiaTheme="minorEastAsia" w:hAnsiTheme="minorHAnsi" w:cstheme="minorBidi"/>
              <w:sz w:val="22"/>
            </w:rPr>
          </w:pPr>
          <w:hyperlink w:anchor="_Toc78033579" w:history="1">
            <w:r w:rsidR="00DB0042" w:rsidRPr="00CA13BF">
              <w:rPr>
                <w:noProof/>
                <w:rStyle w:val="Hyperlink"/>
              </w:rPr>
              <w:t>Benefits of stakeholder’s participations</w:t>
            </w:r>
            <w:r w:rsidR="00DB0042">
              <w:rPr>
                <w:noProof/>
                <w:webHidden/>
              </w:rPr>
              <w:tab/>
            </w:r>
            <w:r w:rsidR="00DB0042">
              <w:rPr>
                <w:noProof/>
                <w:webHidden/>
              </w:rPr>
              <w:fldChar w:fldCharType="begin"/>
            </w:r>
            <w:r w:rsidR="00DB0042">
              <w:rPr>
                <w:noProof/>
                <w:webHidden/>
              </w:rPr>
              <w:instrText xml:space="preserve"> PAGEREF _Toc78033579 \h </w:instrText>
            </w:r>
            <w:r w:rsidR="00DB0042">
              <w:rPr>
                <w:noProof/>
                <w:webHidden/>
              </w:rPr>
            </w:r>
            <w:r w:rsidR="00DB0042">
              <w:rPr>
                <w:noProof/>
                <w:webHidden/>
              </w:rPr>
              <w:fldChar w:fldCharType="separate"/>
            </w:r>
            <w:r w:rsidR="00DB0042">
              <w:rPr>
                <w:noProof/>
                <w:webHidden/>
              </w:rPr>
              <w:t>5</w:t>
            </w:r>
            <w:r w:rsidR="00DB0042">
              <w:rPr>
                <w:noProof/>
                <w:webHidden/>
              </w:rPr>
              <w:fldChar w:fldCharType="end"/>
            </w:r>
          </w:hyperlink>
        </w:p>
        <w:p w:rsidR="00DB0042" w:rsidRDefault="00A00883" w14:paraId="354BD789" w14:textId="77777777">
          <w:pPr>
            <w:pStyle w:val="TOC2"/>
            <w:tabs>
              <w:tab w:val="right" w:leader="dot" w:pos="9016"/>
            </w:tabs>
            <w:rPr>
              <w:noProof/>
              <w:lang w:eastAsia="en-GB"/>
              <w:rFonts w:ascii="Calibri" w:eastAsiaTheme="minorEastAsia" w:hAnsiTheme="minorHAnsi" w:cstheme="minorBidi"/>
              <w:sz w:val="22"/>
            </w:rPr>
          </w:pPr>
          <w:hyperlink w:anchor="_Toc78033580" w:history="1">
            <w:r w:rsidR="00DB0042" w:rsidRPr="00CA13BF">
              <w:rPr>
                <w:noProof/>
                <w:lang w:eastAsia="en-GB"/>
                <w:rStyle w:val="Hyperlink"/>
              </w:rPr>
              <w:t>Relationships between stakeholders and the strategies of engagement</w:t>
            </w:r>
            <w:r w:rsidR="00DB0042">
              <w:rPr>
                <w:noProof/>
                <w:webHidden/>
              </w:rPr>
              <w:tab/>
            </w:r>
            <w:r w:rsidR="00DB0042">
              <w:rPr>
                <w:noProof/>
                <w:webHidden/>
              </w:rPr>
              <w:fldChar w:fldCharType="begin"/>
            </w:r>
            <w:r w:rsidR="00DB0042">
              <w:rPr>
                <w:noProof/>
                <w:webHidden/>
              </w:rPr>
              <w:instrText xml:space="preserve"> PAGEREF _Toc78033580 \h </w:instrText>
            </w:r>
            <w:r w:rsidR="00DB0042">
              <w:rPr>
                <w:noProof/>
                <w:webHidden/>
              </w:rPr>
            </w:r>
            <w:r w:rsidR="00DB0042">
              <w:rPr>
                <w:noProof/>
                <w:webHidden/>
              </w:rPr>
              <w:fldChar w:fldCharType="separate"/>
            </w:r>
            <w:r w:rsidR="00DB0042">
              <w:rPr>
                <w:noProof/>
                <w:webHidden/>
              </w:rPr>
              <w:t>6</w:t>
            </w:r>
            <w:r w:rsidR="00DB0042">
              <w:rPr>
                <w:noProof/>
                <w:webHidden/>
              </w:rPr>
              <w:fldChar w:fldCharType="end"/>
            </w:r>
          </w:hyperlink>
        </w:p>
        <w:p w:rsidR="00DB0042" w:rsidRDefault="00A00883" w14:paraId="39986C5A" w14:textId="77777777">
          <w:pPr>
            <w:pStyle w:val="TOC2"/>
            <w:tabs>
              <w:tab w:val="right" w:leader="dot" w:pos="9016"/>
            </w:tabs>
            <w:rPr>
              <w:noProof/>
              <w:lang w:eastAsia="en-GB"/>
              <w:rFonts w:ascii="Calibri" w:eastAsiaTheme="minorEastAsia" w:hAnsiTheme="minorHAnsi" w:cstheme="minorBidi"/>
              <w:sz w:val="22"/>
            </w:rPr>
          </w:pPr>
          <w:hyperlink w:anchor="_Toc78033581" w:history="1">
            <w:r w:rsidR="00DB0042" w:rsidRPr="00CA13BF">
              <w:rPr>
                <w:noProof/>
                <w:rStyle w:val="Hyperlink"/>
              </w:rPr>
              <w:t>Avenues to promote community participation</w:t>
            </w:r>
            <w:r w:rsidR="00DB0042">
              <w:rPr>
                <w:noProof/>
                <w:webHidden/>
              </w:rPr>
              <w:tab/>
            </w:r>
            <w:r w:rsidR="00DB0042">
              <w:rPr>
                <w:noProof/>
                <w:webHidden/>
              </w:rPr>
              <w:fldChar w:fldCharType="begin"/>
            </w:r>
            <w:r w:rsidR="00DB0042">
              <w:rPr>
                <w:noProof/>
                <w:webHidden/>
              </w:rPr>
              <w:instrText xml:space="preserve"> PAGEREF _Toc78033581 \h </w:instrText>
            </w:r>
            <w:r w:rsidR="00DB0042">
              <w:rPr>
                <w:noProof/>
                <w:webHidden/>
              </w:rPr>
            </w:r>
            <w:r w:rsidR="00DB0042">
              <w:rPr>
                <w:noProof/>
                <w:webHidden/>
              </w:rPr>
              <w:fldChar w:fldCharType="separate"/>
            </w:r>
            <w:r w:rsidR="00DB0042">
              <w:rPr>
                <w:noProof/>
                <w:webHidden/>
              </w:rPr>
              <w:t>7</w:t>
            </w:r>
            <w:r w:rsidR="00DB0042">
              <w:rPr>
                <w:noProof/>
                <w:webHidden/>
              </w:rPr>
              <w:fldChar w:fldCharType="end"/>
            </w:r>
          </w:hyperlink>
        </w:p>
        <w:p w:rsidR="00DB0042" w:rsidRDefault="00A00883" w14:paraId="27817A69" w14:textId="77777777">
          <w:pPr>
            <w:pStyle w:val="TOC2"/>
            <w:tabs>
              <w:tab w:val="right" w:leader="dot" w:pos="9016"/>
            </w:tabs>
            <w:rPr>
              <w:noProof/>
              <w:lang w:eastAsia="en-GB"/>
              <w:rFonts w:ascii="Calibri" w:eastAsiaTheme="minorEastAsia" w:hAnsiTheme="minorHAnsi" w:cstheme="minorBidi"/>
              <w:sz w:val="22"/>
            </w:rPr>
          </w:pPr>
          <w:hyperlink w:anchor="_Toc78033582" w:history="1">
            <w:r w:rsidR="00DB0042" w:rsidRPr="00CA13BF">
              <w:rPr>
                <w:noProof/>
                <w:rStyle w:val="Hyperlink"/>
              </w:rPr>
              <w:t>The need of community engagement practitioners to educate the community members</w:t>
            </w:r>
            <w:r w:rsidR="00DB0042">
              <w:rPr>
                <w:noProof/>
                <w:webHidden/>
              </w:rPr>
              <w:tab/>
            </w:r>
            <w:r w:rsidR="00DB0042">
              <w:rPr>
                <w:noProof/>
                <w:webHidden/>
              </w:rPr>
              <w:fldChar w:fldCharType="begin"/>
            </w:r>
            <w:r w:rsidR="00DB0042">
              <w:rPr>
                <w:noProof/>
                <w:webHidden/>
              </w:rPr>
              <w:instrText xml:space="preserve"> PAGEREF _Toc78033582 \h </w:instrText>
            </w:r>
            <w:r w:rsidR="00DB0042">
              <w:rPr>
                <w:noProof/>
                <w:webHidden/>
              </w:rPr>
            </w:r>
            <w:r w:rsidR="00DB0042">
              <w:rPr>
                <w:noProof/>
                <w:webHidden/>
              </w:rPr>
              <w:fldChar w:fldCharType="separate"/>
            </w:r>
            <w:r w:rsidR="00DB0042">
              <w:rPr>
                <w:noProof/>
                <w:webHidden/>
              </w:rPr>
              <w:t>8</w:t>
            </w:r>
            <w:r w:rsidR="00DB0042">
              <w:rPr>
                <w:noProof/>
                <w:webHidden/>
              </w:rPr>
              <w:fldChar w:fldCharType="end"/>
            </w:r>
          </w:hyperlink>
        </w:p>
        <w:p w:rsidR="00DB0042" w:rsidRDefault="00A00883" w14:paraId="2D41CD16" w14:textId="77777777">
          <w:pPr>
            <w:pStyle w:val="TOC1"/>
            <w:tabs>
              <w:tab w:val="right" w:leader="dot" w:pos="9016"/>
            </w:tabs>
            <w:rPr>
              <w:noProof/>
              <w:lang w:eastAsia="en-GB"/>
              <w:rFonts w:ascii="Calibri" w:eastAsiaTheme="minorEastAsia" w:hAnsiTheme="minorHAnsi" w:cstheme="minorBidi"/>
              <w:sz w:val="22"/>
            </w:rPr>
          </w:pPr>
          <w:hyperlink w:anchor="_Toc78033583" w:history="1">
            <w:r w:rsidR="00DB0042" w:rsidRPr="00CA13BF">
              <w:rPr>
                <w:noProof/>
                <w:rStyle w:val="Hyperlink"/>
              </w:rPr>
              <w:t>Conclusion and recommendations</w:t>
            </w:r>
            <w:r w:rsidR="00DB0042">
              <w:rPr>
                <w:noProof/>
                <w:webHidden/>
              </w:rPr>
              <w:tab/>
            </w:r>
            <w:r w:rsidR="00DB0042">
              <w:rPr>
                <w:noProof/>
                <w:webHidden/>
              </w:rPr>
              <w:fldChar w:fldCharType="begin"/>
            </w:r>
            <w:r w:rsidR="00DB0042">
              <w:rPr>
                <w:noProof/>
                <w:webHidden/>
              </w:rPr>
              <w:instrText xml:space="preserve"> PAGEREF _Toc78033583 \h </w:instrText>
            </w:r>
            <w:r w:rsidR="00DB0042">
              <w:rPr>
                <w:noProof/>
                <w:webHidden/>
              </w:rPr>
            </w:r>
            <w:r w:rsidR="00DB0042">
              <w:rPr>
                <w:noProof/>
                <w:webHidden/>
              </w:rPr>
              <w:fldChar w:fldCharType="separate"/>
            </w:r>
            <w:r w:rsidR="00DB0042">
              <w:rPr>
                <w:noProof/>
                <w:webHidden/>
              </w:rPr>
              <w:t>9</w:t>
            </w:r>
            <w:r w:rsidR="00DB0042">
              <w:rPr>
                <w:noProof/>
                <w:webHidden/>
              </w:rPr>
              <w:fldChar w:fldCharType="end"/>
            </w:r>
          </w:hyperlink>
        </w:p>
        <w:p w:rsidR="00DB0042" w:rsidRDefault="00A00883" w14:paraId="50658EA5" w14:textId="77777777">
          <w:pPr>
            <w:pStyle w:val="TOC1"/>
            <w:tabs>
              <w:tab w:val="right" w:leader="dot" w:pos="9016"/>
            </w:tabs>
            <w:rPr>
              <w:noProof/>
              <w:lang w:eastAsia="en-GB"/>
              <w:rFonts w:ascii="Calibri" w:eastAsiaTheme="minorEastAsia" w:hAnsiTheme="minorHAnsi" w:cstheme="minorBidi"/>
              <w:sz w:val="22"/>
            </w:rPr>
          </w:pPr>
          <w:hyperlink w:anchor="_Toc78033584" w:history="1">
            <w:r w:rsidR="00DB0042" w:rsidRPr="00CA13BF">
              <w:rPr>
                <w:noProof/>
                <w:rStyle w:val="Hyperlink"/>
              </w:rPr>
              <w:t>References</w:t>
            </w:r>
            <w:r w:rsidR="00DB0042">
              <w:rPr>
                <w:noProof/>
                <w:webHidden/>
              </w:rPr>
              <w:tab/>
            </w:r>
            <w:r w:rsidR="00DB0042">
              <w:rPr>
                <w:noProof/>
                <w:webHidden/>
              </w:rPr>
              <w:fldChar w:fldCharType="begin"/>
            </w:r>
            <w:r w:rsidR="00DB0042">
              <w:rPr>
                <w:noProof/>
                <w:webHidden/>
              </w:rPr>
              <w:instrText xml:space="preserve"> PAGEREF _Toc78033584 \h </w:instrText>
            </w:r>
            <w:r w:rsidR="00DB0042">
              <w:rPr>
                <w:noProof/>
                <w:webHidden/>
              </w:rPr>
            </w:r>
            <w:r w:rsidR="00DB0042">
              <w:rPr>
                <w:noProof/>
                <w:webHidden/>
              </w:rPr>
              <w:fldChar w:fldCharType="separate"/>
            </w:r>
            <w:r w:rsidR="00DB0042">
              <w:rPr>
                <w:noProof/>
                <w:webHidden/>
              </w:rPr>
              <w:t>10</w:t>
            </w:r>
            <w:r w:rsidR="00DB0042">
              <w:rPr>
                <w:noProof/>
                <w:webHidden/>
              </w:rPr>
              <w:fldChar w:fldCharType="end"/>
            </w:r>
          </w:hyperlink>
        </w:p>
        <w:p w:rsidR="00941939" w:rsidRDefault="00AE50DB" w14:paraId="631E3EFC" w14:textId="77777777">
          <w:r>
            <w:rPr>
              <w:bCs/>
              <w:noProof/>
              <w:lang w:val="en-US"/>
              <w:b/>
            </w:rPr>
            <w:fldChar w:fldCharType="end"/>
          </w:r>
        </w:p>
      </w:sdtContent>
    </w:sdt>
    <w:p w:rsidR="00941939" w:rsidRDefault="00941939" w14:paraId="1A632ABB" w14:textId="77777777">
      <w:pPr>
        <w:jc w:val="left"/>
        <w:spacing w:line="259" w:lineRule="auto"/>
        <w:rPr>
          <w:lang w:eastAsia="en-GB"/>
        </w:rPr>
      </w:pPr>
      <w:r>
        <w:rPr/>
        <w:br w:type="page"/>
      </w:r>
    </w:p>
    <w:p w:rsidR="00F33792" w:rsidRDefault="00941939" w14:paraId="696B11F6" w14:textId="77777777" w:rsidP="00941939">
      <w:pPr>
        <w:pStyle w:val="Heading1"/>
        <w:rPr>
          <w:i/>
        </w:rPr>
      </w:pPr>
      <w:bookmarkStart w:id="0" w:name="_Toc78033575"/>
      <w:r w:rsidRPr="00941939">
        <w:rPr>
          <w:i/>
        </w:rPr>
        <w:t>Introduction</w:t>
        <w:lastRenderedPageBreak/>
      </w:r>
      <w:bookmarkEnd w:id="0"/>
      <w:r w:rsidRPr="00941939">
        <w:rPr>
          <w:i/>
        </w:rPr>
        <w:t xml:space="preserve"> </w:t>
      </w:r>
    </w:p>
    <w:p w:rsidR="00D878FE" w:rsidRDefault="00B31AE3" w14:paraId="4B9CF5E4" w14:textId="77777777" w:rsidP="002E4E06">
      <w:r>
        <w:t>Simon (</w:t>
      </w:r>
      <w:r w:rsidRPr="00B31AE3">
        <w:t>2010)</w:t>
      </w:r>
      <w:r>
        <w:t xml:space="preserve"> stated that c</w:t>
      </w:r>
      <w:r w:rsidR="00941939">
        <w:t xml:space="preserve">ommunity engagement refers to the process in which different social participants work collaboratively to figure out the issues that affect the well-being of the general people of the community and how to resolve the issues to ensure the well-being of the people. </w:t>
      </w:r>
      <w:r w:rsidR="002B5A0E">
        <w:t>The study unveils</w:t>
      </w:r>
      <w:r w:rsidR="00380F8F">
        <w:t xml:space="preserve"> the community engagement</w:t>
      </w:r>
      <w:r w:rsidR="00870C57">
        <w:t xml:space="preserve">, what problems can affect the community and a project to overcome the challenges of the community </w:t>
      </w:r>
      <w:r w:rsidR="00380F8F">
        <w:t xml:space="preserve">with the help of </w:t>
      </w:r>
      <w:r w:rsidR="00380F8F" w:rsidRPr="00380F8F">
        <w:t>Community-Led Recovery Programme</w:t>
      </w:r>
      <w:r w:rsidR="002E4E06">
        <w:t xml:space="preserve"> which is a </w:t>
      </w:r>
      <w:r w:rsidR="002E4E06" w:rsidRPr="002E4E06">
        <w:t xml:space="preserve">program of the </w:t>
      </w:r>
      <w:r w:rsidR="002E4E06">
        <w:t>Mayor of London. This program enables the communities, which are exceptionally affected by current pandemic</w:t>
      </w:r>
      <w:r w:rsidR="00563BCC">
        <w:t xml:space="preserve"> of COVID-19</w:t>
      </w:r>
      <w:r w:rsidR="002E4E06">
        <w:t>, to reform and recover London as a resilient and fairer than the city has ever been</w:t>
      </w:r>
      <w:r w:rsidR="00611DD3">
        <w:t xml:space="preserve"> </w:t>
      </w:r>
      <w:r w:rsidR="00611DD3" w:rsidRPr="00611DD3">
        <w:t>(Sustaining community-led action in recovery: learning lessons from the community response to COVID-19 in Wales | The Health Foundation, 2021)</w:t>
      </w:r>
      <w:r w:rsidR="002E4E06">
        <w:t>.</w:t>
      </w:r>
      <w:r w:rsidR="00DA204C">
        <w:t xml:space="preserve"> To discharge the activities the report includes the principles and standards of community engagement along with the benefits of stakeholder’s participation in the community engagement.</w:t>
      </w:r>
      <w:r w:rsidR="000603BA">
        <w:t xml:space="preserve"> In addition, the study incorporates the rapport between the stakeholders and the strategies to engage them. Further, the report will analyse the pathways to promote community participation. Furthermore, the study </w:t>
      </w:r>
      <w:r w:rsidR="001C2992">
        <w:t xml:space="preserve">takes the practitioner’s need to adapt approaches to educate the community members about different internal and external factors in order to influence the community development into account. </w:t>
      </w:r>
    </w:p>
    <w:p w:rsidR="00D878FE" w:rsidRDefault="00D878FE" w14:paraId="5F91F867" w14:textId="77777777">
      <w:pPr>
        <w:jc w:val="left"/>
        <w:spacing w:line="259" w:lineRule="auto"/>
      </w:pPr>
      <w:r>
        <w:br w:type="page"/>
      </w:r>
    </w:p>
    <w:p w:rsidR="00D878FE" w:rsidRDefault="00D878FE" w14:paraId="7DF379AE" w14:textId="77777777" w:rsidP="00D878FE">
      <w:pPr>
        <w:pStyle w:val="Heading1"/>
      </w:pPr>
      <w:bookmarkStart w:id="1" w:name="_Toc78033576"/>
      <w:r>
        <w:t>Results and findings</w:t>
        <w:lastRenderedPageBreak/>
      </w:r>
      <w:bookmarkEnd w:id="1"/>
      <w:r>
        <w:t xml:space="preserve"> </w:t>
      </w:r>
    </w:p>
    <w:p w:rsidR="00E13F10" w:rsidRDefault="00E13F10" w14:paraId="0090087E" w14:textId="77777777" w:rsidP="00E13F10">
      <w:r w:rsidRPr="00380F8F">
        <w:t>Community-Led Recovery Programme</w:t>
      </w:r>
      <w:r>
        <w:t xml:space="preserve"> is a Mayor of London</w:t>
      </w:r>
      <w:r w:rsidR="00464EA8">
        <w:t xml:space="preserve">’s program which </w:t>
      </w:r>
      <w:r>
        <w:t xml:space="preserve">enables the communities, affected by current pandemic of COVID-19, to reform and recover London as a resilient and fairer than the city </w:t>
      </w:r>
      <w:r w:rsidR="00464EA8">
        <w:t>was before</w:t>
      </w:r>
      <w:r>
        <w:t>.</w:t>
      </w:r>
      <w:r w:rsidR="00464EA8">
        <w:t xml:space="preserve"> </w:t>
      </w:r>
      <w:r w:rsidR="002125C4">
        <w:t>To ensure the London’s recovery, the program encompasses two grant programs, Community-Led Action and London Community Story. The Community-Led Action is about supporting 15 different community organisations in initiating social action projects about gathering information of the impact of COVID-19 on the communities. On the other hand, London Community Story is about supporting 20 different community organisations to capture COVID-19 experiences and share with different audiences</w:t>
      </w:r>
      <w:r w:rsidR="00611DD3">
        <w:t xml:space="preserve"> </w:t>
      </w:r>
      <w:r w:rsidR="00611DD3" w:rsidRPr="00611DD3">
        <w:t>(Sustaining community-led action in recovery: learning lessons from the community response to COVID-19 in Wales | The Health Foundation, 2021)</w:t>
      </w:r>
      <w:r w:rsidR="002125C4">
        <w:t xml:space="preserve">. </w:t>
      </w:r>
    </w:p>
    <w:p w:rsidR="002125C4" w:rsidRDefault="002125C4" w14:paraId="30A27C0D" w14:textId="77777777" w:rsidP="002125C4">
      <w:pPr>
        <w:pStyle w:val="Heading2"/>
      </w:pPr>
      <w:bookmarkStart w:id="2" w:name="_Toc78033577"/>
      <w:r w:rsidRPr="002125C4">
        <w:t>Community engagement principles</w:t>
      </w:r>
      <w:bookmarkEnd w:id="2"/>
      <w:r w:rsidRPr="002125C4">
        <w:t xml:space="preserve"> </w:t>
      </w:r>
    </w:p>
    <w:p w:rsidR="00AA69F2" w:rsidRDefault="00AA69F2" w14:paraId="647DD3FE" w14:textId="77777777" w:rsidP="002125C4">
      <w:r>
        <w:t>The community engagement principles are the common beliefs that the community organisations and practitioners follow and apply to ensure community engagement in a community</w:t>
      </w:r>
      <w:r w:rsidR="00DB0042">
        <w:t xml:space="preserve"> </w:t>
      </w:r>
      <w:r w:rsidR="00DB0042" w:rsidRPr="00132E2F">
        <w:t>(Heierbacher, 2021)</w:t>
      </w:r>
      <w:r>
        <w:t xml:space="preserve">. </w:t>
      </w:r>
    </w:p>
    <w:p w:rsidR="00AA69F2" w:rsidRDefault="00AA69F2" w14:paraId="4A3A9160" w14:textId="77777777" w:rsidP="006A7CFC" w:rsidRPr="00AA69F2">
      <w:pPr>
        <w:rPr>
          <w:lang w:eastAsia="en-GB"/>
        </w:rPr>
      </w:pPr>
      <w:r w:rsidRPr="00AA69F2">
        <w:rPr>
          <w:lang w:eastAsia="en-GB"/>
          <w:b/>
        </w:rPr>
        <w:t>Ca</w:t>
      </w:r>
      <w:r>
        <w:rPr>
          <w:lang w:eastAsia="en-GB"/>
          <w:b/>
        </w:rPr>
        <w:t xml:space="preserve">reful planning and Preparation: </w:t>
      </w:r>
      <w:r w:rsidR="00C0585A">
        <w:rPr>
          <w:lang w:eastAsia="en-GB"/>
        </w:rPr>
        <w:t xml:space="preserve">The practitioners have to plan, design and organise a process </w:t>
      </w:r>
      <w:r w:rsidR="006A7CFC">
        <w:rPr>
          <w:lang w:eastAsia="en-GB"/>
        </w:rPr>
        <w:t>mentioning a clear purpose and needs of participants in the community</w:t>
      </w:r>
      <w:r w:rsidR="00132E2F">
        <w:rPr>
          <w:lang w:eastAsia="en-GB"/>
        </w:rPr>
        <w:t xml:space="preserve"> </w:t>
      </w:r>
      <w:r w:rsidR="00132E2F" w:rsidRPr="00132E2F">
        <w:t>(De Weger et al., 2018)</w:t>
      </w:r>
      <w:r w:rsidR="006A7CFC">
        <w:rPr>
          <w:lang w:eastAsia="en-GB"/>
        </w:rPr>
        <w:t xml:space="preserve">. A clear plan and preparation of community engagement help mitigate the community issues effectively. </w:t>
      </w:r>
    </w:p>
    <w:p w:rsidR="004D5F8E" w:rsidRDefault="00AA69F2" w14:paraId="43E7E6CB" w14:textId="77777777" w:rsidP="00AA69F2">
      <w:pPr>
        <w:rPr>
          <w:lang w:eastAsia="en-GB"/>
        </w:rPr>
      </w:pPr>
      <w:r w:rsidRPr="006A7CFC">
        <w:rPr>
          <w:lang w:eastAsia="en-GB"/>
          <w:b/>
        </w:rPr>
        <w:t>Inclu</w:t>
      </w:r>
      <w:r w:rsidR="006A7CFC">
        <w:rPr>
          <w:lang w:eastAsia="en-GB"/>
          <w:b/>
        </w:rPr>
        <w:t xml:space="preserve">sion and Demographic Diversity: </w:t>
      </w:r>
      <w:r w:rsidR="004D5F8E">
        <w:rPr>
          <w:lang w:eastAsia="en-GB"/>
        </w:rPr>
        <w:t xml:space="preserve">To get the quality outcome from the community engagement, practitioners should include diverse people so that they can </w:t>
      </w:r>
      <w:r w:rsidR="00DF2D60">
        <w:rPr>
          <w:lang w:eastAsia="en-GB"/>
        </w:rPr>
        <w:t>work in different situation and people</w:t>
      </w:r>
      <w:r w:rsidR="00132E2F">
        <w:rPr>
          <w:lang w:eastAsia="en-GB"/>
        </w:rPr>
        <w:t xml:space="preserve"> </w:t>
      </w:r>
      <w:r w:rsidR="00132E2F" w:rsidRPr="00132E2F">
        <w:t>(Reynolds and Sariola, 2018)</w:t>
      </w:r>
      <w:r w:rsidR="00DF2D60">
        <w:rPr>
          <w:lang w:eastAsia="en-GB"/>
        </w:rPr>
        <w:t xml:space="preserve">. </w:t>
      </w:r>
      <w:r w:rsidR="004D5F8E">
        <w:rPr>
          <w:lang w:eastAsia="en-GB"/>
        </w:rPr>
        <w:t xml:space="preserve"> </w:t>
      </w:r>
    </w:p>
    <w:p w:rsidR="00DF2D60" w:rsidRDefault="00AA69F2" w14:paraId="328DC832" w14:textId="77777777" w:rsidP="00AA69F2">
      <w:pPr>
        <w:rPr>
          <w:lang w:eastAsia="en-GB"/>
        </w:rPr>
      </w:pPr>
      <w:r w:rsidRPr="00DF2D60">
        <w:rPr>
          <w:lang w:eastAsia="en-GB"/>
          <w:b/>
        </w:rPr>
        <w:t>C</w:t>
      </w:r>
      <w:r w:rsidR="00DF2D60" w:rsidRPr="00DF2D60">
        <w:rPr>
          <w:lang w:eastAsia="en-GB"/>
          <w:b/>
        </w:rPr>
        <w:t>ollaboration and Shared Purpose</w:t>
      </w:r>
      <w:r w:rsidR="00DF2D60">
        <w:rPr>
          <w:lang w:eastAsia="en-GB"/>
        </w:rPr>
        <w:t>:</w:t>
      </w:r>
      <w:r w:rsidRPr="00AA69F2">
        <w:rPr>
          <w:lang w:eastAsia="en-GB"/>
        </w:rPr>
        <w:t xml:space="preserve"> </w:t>
      </w:r>
      <w:r w:rsidR="00DF2D60">
        <w:rPr>
          <w:lang w:eastAsia="en-GB"/>
        </w:rPr>
        <w:t>There should be a collaborative work to achieve a common purpose of the community</w:t>
      </w:r>
      <w:r w:rsidR="00132E2F">
        <w:rPr>
          <w:lang w:eastAsia="en-GB"/>
        </w:rPr>
        <w:t xml:space="preserve"> </w:t>
      </w:r>
      <w:r w:rsidR="00132E2F" w:rsidRPr="00132E2F">
        <w:t>(Heierbacher, 2021)</w:t>
      </w:r>
      <w:r w:rsidR="00DF2D60">
        <w:rPr>
          <w:lang w:eastAsia="en-GB"/>
        </w:rPr>
        <w:t xml:space="preserve">. All the practitioners and stakeholders should work together to achieve the same. </w:t>
      </w:r>
    </w:p>
    <w:p w:rsidR="00F558BA" w:rsidRDefault="00DF2D60" w14:paraId="044606D3" w14:textId="77777777" w:rsidP="00AA69F2">
      <w:pPr>
        <w:rPr>
          <w:lang w:eastAsia="en-GB"/>
        </w:rPr>
      </w:pPr>
      <w:r>
        <w:rPr>
          <w:lang w:eastAsia="en-GB"/>
          <w:b/>
        </w:rPr>
        <w:t>Openness and Learning:</w:t>
      </w:r>
      <w:r w:rsidR="00AA69F2" w:rsidRPr="00AA69F2">
        <w:rPr>
          <w:lang w:eastAsia="en-GB"/>
        </w:rPr>
        <w:t xml:space="preserve"> </w:t>
      </w:r>
      <w:r w:rsidR="00F558BA">
        <w:rPr>
          <w:lang w:eastAsia="en-GB"/>
        </w:rPr>
        <w:t>There should be openness to the activities of the practitioners and the community organisation and each and every participants must has the opportunity to learn from the community work to achieve the purposes of the community</w:t>
      </w:r>
      <w:r w:rsidR="00132E2F">
        <w:rPr>
          <w:lang w:eastAsia="en-GB"/>
        </w:rPr>
        <w:t xml:space="preserve"> </w:t>
      </w:r>
      <w:r w:rsidR="00132E2F" w:rsidRPr="00132E2F">
        <w:t>(Kettering Foundation, 2021)</w:t>
      </w:r>
      <w:r w:rsidR="00F558BA">
        <w:rPr>
          <w:lang w:eastAsia="en-GB"/>
        </w:rPr>
        <w:t xml:space="preserve">.  </w:t>
      </w:r>
    </w:p>
    <w:p w:rsidR="002E3BF8" w:rsidRDefault="002E3BF8" w14:paraId="0D808C45" w14:textId="77777777" w:rsidP="00AA69F2">
      <w:pPr>
        <w:rPr>
          <w:lang w:eastAsia="en-GB"/>
        </w:rPr>
      </w:pPr>
      <w:r w:rsidRPr="002E3BF8">
        <w:rPr>
          <w:lang w:eastAsia="en-GB"/>
          <w:b/>
        </w:rPr>
        <w:t>Transparency and Trust</w:t>
        <w:lastRenderedPageBreak/>
      </w:r>
      <w:r>
        <w:rPr>
          <w:lang w:eastAsia="en-GB"/>
          <w:b/>
        </w:rPr>
        <w:t>:</w:t>
      </w:r>
      <w:r w:rsidR="00AA69F2" w:rsidRPr="00AA69F2">
        <w:rPr>
          <w:lang w:eastAsia="en-GB"/>
        </w:rPr>
        <w:t xml:space="preserve"> </w:t>
      </w:r>
      <w:r>
        <w:rPr>
          <w:lang w:eastAsia="en-GB"/>
        </w:rPr>
        <w:t>The community organisations as well as the practitioners should be open, clear and responsible about their activities to build transparency and trust within the community</w:t>
      </w:r>
      <w:r w:rsidR="00DB0042">
        <w:rPr>
          <w:lang w:eastAsia="en-GB"/>
        </w:rPr>
        <w:t xml:space="preserve"> </w:t>
      </w:r>
      <w:r w:rsidR="00DB0042" w:rsidRPr="00611DD3">
        <w:t>(Hussey, 2021)</w:t>
      </w:r>
      <w:r>
        <w:rPr>
          <w:lang w:eastAsia="en-GB"/>
        </w:rPr>
        <w:t xml:space="preserve">. </w:t>
      </w:r>
    </w:p>
    <w:p w:rsidR="002E3BF8" w:rsidRDefault="002E3BF8" w14:paraId="1791EEB6" w14:textId="77777777" w:rsidP="00AA69F2">
      <w:pPr>
        <w:rPr>
          <w:lang w:eastAsia="en-GB"/>
        </w:rPr>
      </w:pPr>
      <w:r>
        <w:rPr>
          <w:lang w:eastAsia="en-GB"/>
          <w:b/>
        </w:rPr>
        <w:t xml:space="preserve">Impact and Action: </w:t>
      </w:r>
      <w:r>
        <w:rPr>
          <w:lang w:eastAsia="en-GB"/>
        </w:rPr>
        <w:t xml:space="preserve">The community organisations and practitioners should be potential to their expertise work. </w:t>
      </w:r>
    </w:p>
    <w:p w:rsidR="00AA69F2" w:rsidRDefault="00AA69F2" w14:paraId="547F8612" w14:textId="77777777" w:rsidP="00D02FE0">
      <w:pPr>
        <w:rPr>
          <w:lang w:eastAsia="en-GB"/>
        </w:rPr>
      </w:pPr>
      <w:r w:rsidRPr="002E3BF8">
        <w:rPr>
          <w:lang w:eastAsia="en-GB"/>
          <w:b/>
        </w:rPr>
        <w:t>Sustained Engagement and Participatory Culture</w:t>
      </w:r>
      <w:r w:rsidR="002E3BF8">
        <w:rPr>
          <w:lang w:eastAsia="en-GB"/>
        </w:rPr>
        <w:t xml:space="preserve">: In the community engagement work, </w:t>
      </w:r>
      <w:r w:rsidR="00D02FE0">
        <w:rPr>
          <w:lang w:eastAsia="en-GB"/>
        </w:rPr>
        <w:t>the practitioners, participants, institutions should be engaged for a long time and support in community work</w:t>
      </w:r>
      <w:r w:rsidR="00DB0042">
        <w:rPr>
          <w:lang w:eastAsia="en-GB"/>
        </w:rPr>
        <w:t xml:space="preserve"> </w:t>
      </w:r>
      <w:r w:rsidR="00DB0042" w:rsidRPr="00DB0042">
        <w:t>(Geekiyanage, Fernando and Keraminiyage, 2020)</w:t>
      </w:r>
      <w:r w:rsidR="00D02FE0">
        <w:rPr>
          <w:lang w:eastAsia="en-GB"/>
        </w:rPr>
        <w:t xml:space="preserve">. </w:t>
      </w:r>
    </w:p>
    <w:p w:rsidR="002673EA" w:rsidRDefault="002673EA" w14:paraId="3B474518" w14:textId="77777777" w:rsidP="002673EA">
      <w:pPr>
        <w:pStyle w:val="Heading2"/>
      </w:pPr>
      <w:bookmarkStart w:id="3" w:name="_Toc78033578"/>
      <w:r w:rsidRPr="002125C4">
        <w:t xml:space="preserve">Community engagement </w:t>
      </w:r>
      <w:r>
        <w:t>standards</w:t>
      </w:r>
      <w:bookmarkEnd w:id="3"/>
      <w:r>
        <w:t xml:space="preserve"> </w:t>
      </w:r>
    </w:p>
    <w:p w:rsidR="002673EA" w:rsidRDefault="002673EA" w14:paraId="38327A6B" w14:textId="77777777" w:rsidP="002673EA">
      <w:r>
        <w:t xml:space="preserve">There also some standards that govern the community engagement within a community. Those standards are- </w:t>
      </w:r>
    </w:p>
    <w:p w:rsidR="00403672" w:rsidRDefault="00CE0FBA" w14:paraId="038F2667" w14:textId="77777777" w:rsidP="002673EA">
      <w:r>
        <w:rPr>
          <w:b/>
        </w:rPr>
        <w:t>Involvement:</w:t>
      </w:r>
      <w:r>
        <w:t xml:space="preserve"> The participants, practitioners</w:t>
      </w:r>
      <w:r w:rsidR="00403672">
        <w:t>, institutions who have an interest in community engagement should be involved</w:t>
      </w:r>
      <w:r w:rsidR="00132E2F">
        <w:t xml:space="preserve"> </w:t>
      </w:r>
      <w:r w:rsidR="00132E2F" w:rsidRPr="00132E2F">
        <w:t>(Heierbacher, 2021)</w:t>
      </w:r>
      <w:r w:rsidR="00403672">
        <w:t>.</w:t>
      </w:r>
      <w:r w:rsidR="00132E2F">
        <w:t xml:space="preserve"> </w:t>
      </w:r>
      <w:r w:rsidR="00403672">
        <w:t xml:space="preserve"> </w:t>
      </w:r>
    </w:p>
    <w:p w:rsidR="00403672" w:rsidRDefault="00403672" w14:paraId="25C0F47E" w14:textId="77777777" w:rsidP="002673EA">
      <w:r>
        <w:rPr>
          <w:b/>
        </w:rPr>
        <w:t>Support:</w:t>
      </w:r>
      <w:r>
        <w:t xml:space="preserve"> The barriers of involvement should be mitigated for the participants and practitioners. </w:t>
      </w:r>
    </w:p>
    <w:p w:rsidR="00D1527F" w:rsidRDefault="00403672" w14:paraId="76704CA7" w14:textId="77777777" w:rsidP="002673EA">
      <w:r>
        <w:rPr>
          <w:b/>
        </w:rPr>
        <w:t>Planning:</w:t>
      </w:r>
      <w:r>
        <w:t xml:space="preserve"> Information about social issues should be gathered and evidence should be relatable to the purpose and these should be engaged to the action</w:t>
      </w:r>
      <w:r w:rsidR="00132E2F">
        <w:t xml:space="preserve"> </w:t>
      </w:r>
      <w:r w:rsidR="00132E2F" w:rsidRPr="00132E2F">
        <w:t>(Kettering Foundation, 2021)</w:t>
      </w:r>
      <w:r>
        <w:t xml:space="preserve">. </w:t>
      </w:r>
    </w:p>
    <w:p w:rsidR="00D1527F" w:rsidRDefault="00D1527F" w14:paraId="4D399C6D" w14:textId="77777777" w:rsidP="002673EA">
      <w:r>
        <w:rPr>
          <w:b/>
        </w:rPr>
        <w:t>Methods:</w:t>
      </w:r>
      <w:r>
        <w:t xml:space="preserve"> The methods of engagement should be selected which will support the purpose of the community. </w:t>
      </w:r>
    </w:p>
    <w:p w:rsidR="00161D9B" w:rsidRDefault="00D1527F" w14:paraId="3632E1E2" w14:textId="77777777" w:rsidP="002673EA">
      <w:r>
        <w:rPr>
          <w:b/>
        </w:rPr>
        <w:t>Collaboration:</w:t>
      </w:r>
      <w:r>
        <w:t xml:space="preserve"> The participants, practitioners, institutions who have interest should work together to achieve the purpose of the community</w:t>
      </w:r>
      <w:r w:rsidR="00DB0042">
        <w:t xml:space="preserve"> </w:t>
      </w:r>
      <w:r w:rsidR="00DB0042" w:rsidRPr="00DB0042">
        <w:t>(Sprague Martinez et al., 2020)</w:t>
      </w:r>
      <w:r>
        <w:t xml:space="preserve">. </w:t>
      </w:r>
    </w:p>
    <w:p w:rsidR="002673EA" w:rsidRDefault="00161D9B" w14:paraId="59105E3C" w14:textId="77777777" w:rsidP="00161D9B">
      <w:pPr>
        <w:pStyle w:val="Heading2"/>
      </w:pPr>
      <w:bookmarkStart w:id="4" w:name="_Toc78033579"/>
      <w:r w:rsidRPr="00161D9B">
        <w:t>Benefits of stakeholder’s participations</w:t>
      </w:r>
      <w:bookmarkEnd w:id="4"/>
      <w:r w:rsidR="00D1527F" w:rsidRPr="00161D9B">
        <w:t xml:space="preserve"> </w:t>
      </w:r>
      <w:r w:rsidR="00403672" w:rsidRPr="00161D9B">
        <w:t xml:space="preserve">   </w:t>
      </w:r>
      <w:r w:rsidR="00CE0FBA" w:rsidRPr="00161D9B">
        <w:t xml:space="preserve"> </w:t>
      </w:r>
      <w:r w:rsidR="002673EA" w:rsidRPr="00161D9B">
        <w:t xml:space="preserve"> </w:t>
      </w:r>
    </w:p>
    <w:p w:rsidR="00CA40E7" w:rsidRDefault="00945DDB" w14:paraId="63FC1A68" w14:textId="77777777" w:rsidP="00161D9B">
      <w:r>
        <w:t xml:space="preserve">The importance and benefits of the </w:t>
      </w:r>
      <w:r w:rsidR="00CA40E7">
        <w:t xml:space="preserve">stakeholder’s participations to the </w:t>
      </w:r>
      <w:r>
        <w:t>community engagement</w:t>
      </w:r>
      <w:r w:rsidR="00CA40E7">
        <w:t xml:space="preserve"> are immense. The benefits that stakeholder’s participations have are- </w:t>
      </w:r>
    </w:p>
    <w:p w:rsidR="00CA40E7" w:rsidRDefault="00CA40E7" w14:paraId="598DF639" w14:textId="77777777" w:rsidP="00CA40E7" w:rsidRPr="00CA40E7">
      <w:pPr>
        <w:rPr>
          <w:lang w:eastAsia="en-GB"/>
        </w:rPr>
      </w:pPr>
      <w:r w:rsidRPr="00CA40E7">
        <w:rPr>
          <w:lang w:eastAsia="en-GB"/>
          <w:b/>
        </w:rPr>
        <w:t>Possibility of acceptance of projects</w:t>
      </w:r>
      <w:r>
        <w:rPr>
          <w:lang w:eastAsia="en-GB"/>
          <w:b/>
        </w:rPr>
        <w:t>:</w:t>
      </w:r>
      <w:r>
        <w:rPr>
          <w:lang w:eastAsia="en-GB"/>
        </w:rPr>
        <w:t xml:space="preserve"> When the program is supported by different stakeholders of the community the possibility of the acceptance of the projects increases</w:t>
      </w:r>
      <w:r w:rsidR="00132E2F">
        <w:rPr>
          <w:lang w:eastAsia="en-GB"/>
        </w:rPr>
        <w:t xml:space="preserve"> </w:t>
      </w:r>
      <w:r w:rsidR="00132E2F" w:rsidRPr="00132E2F">
        <w:t>(De Weger et al., 2018)</w:t>
      </w:r>
      <w:r>
        <w:rPr>
          <w:lang w:eastAsia="en-GB"/>
        </w:rPr>
        <w:t xml:space="preserve">. Thus, the participation of stakeholders make the program happen. </w:t>
      </w:r>
    </w:p>
    <w:p w:rsidR="00CA40E7" w:rsidRDefault="00CA40E7" w14:paraId="362BDEDF" w14:textId="77777777" w:rsidP="00CA40E7" w:rsidRPr="00CA40E7">
      <w:pPr>
        <w:rPr>
          <w:lang w:eastAsia="en-GB"/>
        </w:rPr>
      </w:pPr>
      <w:r w:rsidRPr="00CA40E7">
        <w:rPr>
          <w:lang w:eastAsia="en-GB"/>
          <w:b/>
        </w:rPr>
        <w:t>Effective solutions</w:t>
      </w:r>
      <w:r>
        <w:rPr>
          <w:lang w:eastAsia="en-GB"/>
          <w:b/>
        </w:rPr>
        <w:t>:</w:t>
      </w:r>
      <w:r w:rsidRPr="00CA40E7">
        <w:rPr>
          <w:lang w:eastAsia="en-GB"/>
        </w:rPr>
        <w:t xml:space="preserve"> </w:t>
      </w:r>
      <w:r w:rsidR="00D363DC">
        <w:rPr>
          <w:lang w:eastAsia="en-GB"/>
        </w:rPr>
        <w:t>The participation of different stakeholders help generate different idea about the community issue which bring effective solution to the problem</w:t>
      </w:r>
      <w:r w:rsidR="00611DD3">
        <w:rPr>
          <w:lang w:eastAsia="en-GB"/>
        </w:rPr>
        <w:t xml:space="preserve"> </w:t>
      </w:r>
      <w:r w:rsidR="00611DD3" w:rsidRPr="00611DD3">
        <w:t>(Hussey, 2021)</w:t>
      </w:r>
      <w:r w:rsidR="00D363DC">
        <w:rPr>
          <w:lang w:eastAsia="en-GB"/>
        </w:rPr>
        <w:t xml:space="preserve">. </w:t>
      </w:r>
    </w:p>
    <w:p w:rsidR="00CA40E7" w:rsidRDefault="007E2A80" w14:paraId="4C11D5A5" w14:textId="77777777" w:rsidP="007E2A80" w:rsidRPr="00CA40E7">
      <w:pPr>
        <w:rPr>
          <w:lang w:eastAsia="en-GB"/>
        </w:rPr>
      </w:pPr>
      <w:r w:rsidRPr="007E2A80">
        <w:rPr>
          <w:lang w:eastAsia="en-GB"/>
          <w:b/>
        </w:rPr>
        <w:t xml:space="preserve">Enhancement of </w:t>
        <w:lastRenderedPageBreak/>
      </w:r>
      <w:r w:rsidR="00CA40E7" w:rsidRPr="007E2A80">
        <w:rPr>
          <w:lang w:eastAsia="en-GB"/>
          <w:b/>
        </w:rPr>
        <w:t>problem solving</w:t>
      </w:r>
      <w:r w:rsidRPr="007E2A80">
        <w:rPr>
          <w:lang w:eastAsia="en-GB"/>
          <w:b/>
        </w:rPr>
        <w:t xml:space="preserve"> skills</w:t>
      </w:r>
      <w:r>
        <w:rPr>
          <w:lang w:eastAsia="en-GB"/>
          <w:b/>
        </w:rPr>
        <w:t xml:space="preserve">: </w:t>
      </w:r>
      <w:r>
        <w:rPr>
          <w:lang w:eastAsia="en-GB"/>
        </w:rPr>
        <w:t xml:space="preserve">The participants from different stakeholders learn from a close contact to solve the problems of the community. </w:t>
      </w:r>
    </w:p>
    <w:p w:rsidR="00CA40E7" w:rsidRDefault="007E2A80" w14:paraId="633E0377" w14:textId="77777777" w:rsidP="00CA40E7">
      <w:pPr>
        <w:rPr>
          <w:lang w:eastAsia="en-GB"/>
        </w:rPr>
      </w:pPr>
      <w:r w:rsidRPr="007E2A80">
        <w:rPr>
          <w:lang w:eastAsia="en-GB"/>
          <w:b/>
        </w:rPr>
        <w:t>Empowerment and integration</w:t>
      </w:r>
      <w:r>
        <w:rPr>
          <w:lang w:eastAsia="en-GB"/>
          <w:b/>
        </w:rPr>
        <w:t>:</w:t>
      </w:r>
      <w:r>
        <w:rPr>
          <w:lang w:eastAsia="en-GB"/>
        </w:rPr>
        <w:t xml:space="preserve"> </w:t>
      </w:r>
      <w:r w:rsidR="00641149">
        <w:rPr>
          <w:lang w:eastAsia="en-GB"/>
        </w:rPr>
        <w:t>In the community engagement, different stakeholders come from different background and all the participants work together which empower and integrate them</w:t>
      </w:r>
      <w:r w:rsidR="00611DD3">
        <w:rPr>
          <w:lang w:eastAsia="en-GB"/>
        </w:rPr>
        <w:t xml:space="preserve"> </w:t>
      </w:r>
      <w:r w:rsidR="00611DD3" w:rsidRPr="00611DD3">
        <w:t>(Hussey, 2021)</w:t>
      </w:r>
      <w:r w:rsidR="00641149">
        <w:rPr>
          <w:lang w:eastAsia="en-GB"/>
        </w:rPr>
        <w:t xml:space="preserve">. </w:t>
      </w:r>
    </w:p>
    <w:p w:rsidR="00CC11A9" w:rsidRDefault="00CC11A9" w14:paraId="5D17D4FB" w14:textId="77777777" w:rsidP="00CC11A9">
      <w:pPr>
        <w:rPr>
          <w:lang w:eastAsia="en-GB"/>
        </w:rPr>
      </w:pPr>
      <w:r w:rsidRPr="00CC11A9">
        <w:rPr>
          <w:lang w:eastAsia="en-GB"/>
          <w:b/>
        </w:rPr>
        <w:t>Local network</w:t>
      </w:r>
      <w:r>
        <w:rPr>
          <w:lang w:eastAsia="en-GB"/>
        </w:rPr>
        <w:t>:</w:t>
      </w:r>
      <w:r>
        <w:rPr>
          <w:lang w:eastAsia="en-GB"/>
          <w:b/>
        </w:rPr>
        <w:t xml:space="preserve"> </w:t>
      </w:r>
      <w:r w:rsidR="002F1A94">
        <w:rPr>
          <w:lang w:eastAsia="en-GB"/>
        </w:rPr>
        <w:t>Community engagement is needed to enhance the well-being of the community. With the participation of different stakeholders a local network is built among the participants which help mitigate the problem of the community</w:t>
      </w:r>
      <w:r w:rsidR="00132E2F">
        <w:rPr>
          <w:lang w:eastAsia="en-GB"/>
        </w:rPr>
        <w:t xml:space="preserve"> </w:t>
      </w:r>
      <w:r w:rsidR="00132E2F" w:rsidRPr="00132E2F">
        <w:t>(Musesengwa and Chimbari, 2017)</w:t>
      </w:r>
      <w:r w:rsidR="002F1A94">
        <w:rPr>
          <w:lang w:eastAsia="en-GB"/>
        </w:rPr>
        <w:t xml:space="preserve">. </w:t>
      </w:r>
    </w:p>
    <w:p w:rsidR="00054095" w:rsidRDefault="00054095" w14:paraId="76527879" w14:textId="77777777" w:rsidP="00054095" w:rsidRPr="00054095">
      <w:pPr>
        <w:pStyle w:val="Heading2"/>
        <w:rPr>
          <w:lang w:eastAsia="en-GB"/>
          <w:rFonts w:eastAsia="Times New Roman"/>
        </w:rPr>
      </w:pPr>
      <w:bookmarkStart w:id="5" w:name="_Toc78033580"/>
      <w:r w:rsidRPr="00054095">
        <w:rPr>
          <w:lang w:eastAsia="en-GB"/>
        </w:rPr>
        <w:t>Relationships between stakeholders and the strategies of engagement</w:t>
      </w:r>
      <w:bookmarkEnd w:id="5"/>
    </w:p>
    <w:p w:rsidR="003F6F1E" w:rsidRDefault="00E118C4" w14:paraId="54E4AB3F" w14:textId="77777777" w:rsidP="00CA40E7">
      <w:pPr>
        <w:rPr>
          <w:lang w:eastAsia="en-GB"/>
        </w:rPr>
      </w:pPr>
      <w:r>
        <w:rPr>
          <w:lang w:eastAsia="en-GB"/>
        </w:rPr>
        <w:t>All the stakeholders do not engage with the community work willingly, as a result the practitioners of the program should use different engagement strategy to engage the stakeholders with the community engagement</w:t>
      </w:r>
      <w:r w:rsidR="00611DD3">
        <w:rPr>
          <w:lang w:eastAsia="en-GB"/>
        </w:rPr>
        <w:t xml:space="preserve"> </w:t>
      </w:r>
      <w:r w:rsidR="00611DD3" w:rsidRPr="00611DD3">
        <w:t>(Batidzirai et al., 2021)</w:t>
      </w:r>
      <w:r>
        <w:rPr>
          <w:lang w:eastAsia="en-GB"/>
        </w:rPr>
        <w:t xml:space="preserve">. Thus, there is a great relationship between the stakeholders and strategies of engagement. In this section of the study, the strategies of engagement and their relation with the stakeholders will be discussed thoroughly. </w:t>
      </w:r>
      <w:r w:rsidR="001942E6">
        <w:rPr>
          <w:lang w:eastAsia="en-GB"/>
        </w:rPr>
        <w:t xml:space="preserve">Different social media platforms can be used as strategies </w:t>
      </w:r>
      <w:r w:rsidR="003F6F1E">
        <w:rPr>
          <w:lang w:eastAsia="en-GB"/>
        </w:rPr>
        <w:t>of engagement</w:t>
      </w:r>
      <w:r w:rsidR="00B15C0E">
        <w:rPr>
          <w:lang w:eastAsia="en-GB"/>
        </w:rPr>
        <w:t xml:space="preserve"> in </w:t>
      </w:r>
      <w:r w:rsidR="00B15C0E" w:rsidRPr="00380F8F">
        <w:t>Community-Led Recovery Programme</w:t>
      </w:r>
      <w:r w:rsidR="00B15C0E">
        <w:t xml:space="preserve"> of London</w:t>
      </w:r>
      <w:r w:rsidR="003F6F1E">
        <w:rPr>
          <w:lang w:eastAsia="en-GB"/>
        </w:rPr>
        <w:t xml:space="preserve">. On this occasion, several social media and their relationships with the stakeholders will be analysed here. </w:t>
      </w:r>
    </w:p>
    <w:p w:rsidR="007F3E04" w:rsidRDefault="00B15C0E" w14:paraId="638A824D" w14:textId="77777777" w:rsidP="00CA40E7">
      <w:r>
        <w:rPr>
          <w:lang w:eastAsia="en-GB"/>
          <w:b/>
        </w:rPr>
        <w:t xml:space="preserve">Facebook: </w:t>
      </w:r>
      <w:r>
        <w:rPr>
          <w:lang w:eastAsia="en-GB"/>
        </w:rPr>
        <w:t xml:space="preserve">Facebook is one of the most popular social media platforms where different individuals from different culture and places engaged to share their opinions and ideas. In order to engage with the </w:t>
      </w:r>
      <w:r w:rsidRPr="00380F8F">
        <w:t>Community-Led Recovery Programme</w:t>
      </w:r>
      <w:r>
        <w:t>, the practitioners can use Facebook group and pages to engage different individual living in different community in London. With the help of this platform, the practitioners can track the stakeholder’s progress about the program and can inform the stakeholders as well</w:t>
      </w:r>
      <w:r w:rsidR="00DB0042">
        <w:t xml:space="preserve"> </w:t>
      </w:r>
      <w:r w:rsidR="00DB0042" w:rsidRPr="00DB0042">
        <w:t>(Geekiyanage, Fernando and Keraminiyage, 2020)</w:t>
      </w:r>
      <w:r>
        <w:t>.</w:t>
      </w:r>
      <w:r w:rsidR="007F3E04">
        <w:t xml:space="preserve"> Further, the practitioners can create an event in Facebook to engage the stakeholders of this program. Thus, Facebook has a great relation which the stakeholders. </w:t>
      </w:r>
    </w:p>
    <w:p w:rsidR="009D095D" w:rsidRDefault="007B63F6" w14:paraId="53B5ABD3" w14:textId="77777777" w:rsidP="00CA40E7">
      <w:r w:rsidRPr="007B63F6">
        <w:rPr>
          <w:b/>
        </w:rPr>
        <w:t>LinkedIn</w:t>
      </w:r>
      <w:r>
        <w:rPr>
          <w:b/>
        </w:rPr>
        <w:t>:</w:t>
      </w:r>
      <w:r>
        <w:t xml:space="preserve"> This is another social media platform where the practitioners can share their experience and activities of the community engagement for the program of </w:t>
      </w:r>
      <w:r w:rsidRPr="00380F8F">
        <w:t>Community-Led Recovery Programme</w:t>
      </w:r>
      <w:r w:rsidR="00883640">
        <w:t xml:space="preserve">. Through this platform the practitioners can connect with the stakeholders and can track which the stakeholders are doing regarding the project and to </w:t>
      </w:r>
      <w:r w:rsidR="00883640">
        <w:t>recover London</w:t>
        <w:lastRenderedPageBreak/>
      </w:r>
      <w:r w:rsidR="00DB0042">
        <w:t xml:space="preserve"> </w:t>
      </w:r>
      <w:r w:rsidR="00DB0042" w:rsidRPr="00132E2F">
        <w:t>(Heierbacher, 2021)</w:t>
      </w:r>
      <w:r w:rsidR="00883640">
        <w:t>.</w:t>
      </w:r>
      <w:r w:rsidR="00512A31">
        <w:t xml:space="preserve"> As a result, this platform keeps a direct relation with the stakeholders in engaging them with the project. </w:t>
      </w:r>
      <w:r w:rsidR="00883640">
        <w:t xml:space="preserve"> </w:t>
      </w:r>
    </w:p>
    <w:p w:rsidR="00B31088" w:rsidRDefault="00512A31" w14:paraId="7B8D8E0C" w14:textId="77777777" w:rsidP="00CA40E7">
      <w:r w:rsidRPr="00512A31">
        <w:rPr>
          <w:b/>
        </w:rPr>
        <w:t>Tweeter:</w:t>
      </w:r>
      <w:r>
        <w:rPr>
          <w:b/>
        </w:rPr>
        <w:t xml:space="preserve"> </w:t>
      </w:r>
      <w:r>
        <w:t>This is also a popular platform of social media</w:t>
      </w:r>
      <w:r w:rsidR="00A6421B">
        <w:t xml:space="preserve">. One great advantage of this platform is that through this platform the practitioners can mention the name of the stakeholders to engage them with the </w:t>
      </w:r>
      <w:r w:rsidR="00A6421B" w:rsidRPr="00380F8F">
        <w:t>Community-Led Recovery Programme</w:t>
      </w:r>
      <w:r w:rsidR="009A6A33">
        <w:t>. Further, the practitioners can also seek information from individual stake</w:t>
      </w:r>
      <w:r w:rsidR="009D1EC8">
        <w:t>holders by tweeting their name. Thus, it is also a great platform to engage the stakeholders with the program</w:t>
      </w:r>
      <w:r w:rsidR="00DB0042">
        <w:t xml:space="preserve"> </w:t>
      </w:r>
      <w:r w:rsidR="00DB0042" w:rsidRPr="00611DD3">
        <w:t>(Batidzirai et al., 2021)</w:t>
      </w:r>
      <w:r w:rsidR="009D1EC8">
        <w:t xml:space="preserve">. </w:t>
      </w:r>
    </w:p>
    <w:p w:rsidR="003937CF" w:rsidRDefault="00B31088" w14:paraId="008F5EBF" w14:textId="77777777" w:rsidP="00CA40E7">
      <w:r>
        <w:rPr>
          <w:b/>
        </w:rPr>
        <w:t>Pinterest:</w:t>
      </w:r>
      <w:r>
        <w:t xml:space="preserve"> This is another efficient social media platform in which the practitioners can share differe</w:t>
      </w:r>
      <w:r w:rsidR="0085048E">
        <w:t>nt pictures of their activities, different schedule of community engagement with the stakeholders</w:t>
      </w:r>
      <w:r w:rsidR="00DB0042">
        <w:t xml:space="preserve"> </w:t>
      </w:r>
      <w:r w:rsidR="00DB0042" w:rsidRPr="00DB0042">
        <w:t>(Sprague Martinez et al., 2020)</w:t>
      </w:r>
      <w:r w:rsidR="0085048E">
        <w:t>. The stakeholders can get the information how the participants are going through and the practitioners also get the information about the progress o</w:t>
      </w:r>
      <w:r w:rsidR="005A3A81">
        <w:t xml:space="preserve">f the stakeholders about the </w:t>
      </w:r>
      <w:r w:rsidR="005A3A81" w:rsidRPr="00380F8F">
        <w:t>Community-Led Recovery Programme</w:t>
      </w:r>
      <w:r w:rsidR="005A3A81">
        <w:t xml:space="preserve"> to recover London from the COVID-19 impact. Thus, this platform also has a great relation between the stakeholders and the community engagement for </w:t>
      </w:r>
      <w:r w:rsidR="005A3A81" w:rsidRPr="00380F8F">
        <w:t>Community-Led Recovery Programme</w:t>
      </w:r>
      <w:r w:rsidR="005A3A81">
        <w:t>.</w:t>
      </w:r>
      <w:r w:rsidR="003937CF">
        <w:t xml:space="preserve"> </w:t>
      </w:r>
    </w:p>
    <w:p w:rsidR="00C67F22" w:rsidRDefault="003937CF" w14:paraId="17326695" w14:textId="77777777" w:rsidP="00CA40E7">
      <w:r w:rsidRPr="003937CF">
        <w:rPr>
          <w:b/>
        </w:rPr>
        <w:t>Instagram:</w:t>
      </w:r>
      <w:r>
        <w:rPr>
          <w:b/>
        </w:rPr>
        <w:t xml:space="preserve"> </w:t>
      </w:r>
      <w:r>
        <w:t xml:space="preserve">Instagram is a great social media platform in which people share different photos and videos with others. The practitioners of </w:t>
      </w:r>
      <w:r w:rsidRPr="00380F8F">
        <w:t>Community-Led Recovery Programme</w:t>
      </w:r>
      <w:r>
        <w:t xml:space="preserve"> share their </w:t>
      </w:r>
      <w:r w:rsidR="000335B5">
        <w:t>activities</w:t>
      </w:r>
      <w:r>
        <w:t xml:space="preserve"> and programs</w:t>
      </w:r>
      <w:r w:rsidR="000335B5">
        <w:t xml:space="preserve"> to attach more stakeholders to the programme. The stakeholders get influenced by seeing the activities</w:t>
      </w:r>
      <w:r w:rsidR="00DD0459">
        <w:t xml:space="preserve"> of the practitioners</w:t>
      </w:r>
      <w:r w:rsidR="00DB0042">
        <w:t xml:space="preserve"> </w:t>
      </w:r>
      <w:r w:rsidR="00DB0042" w:rsidRPr="00DB0042">
        <w:t>(Geekiyanage, Fernando and Keraminiyage, 2020)</w:t>
      </w:r>
      <w:r w:rsidR="00DD0459">
        <w:t xml:space="preserve">. Further, the practitioners can have </w:t>
      </w:r>
      <w:r w:rsidR="00B3249F">
        <w:t xml:space="preserve">an eye on the activities that the stakeholders perform about the </w:t>
      </w:r>
      <w:r w:rsidR="00B3249F" w:rsidRPr="00380F8F">
        <w:t>Community-Led Recovery Programme</w:t>
      </w:r>
      <w:r w:rsidR="00B3249F">
        <w:t xml:space="preserve">. Therefore, this </w:t>
      </w:r>
      <w:r w:rsidR="00823092">
        <w:t xml:space="preserve">platform has a great relation with the stakeholders of community engagement. </w:t>
      </w:r>
    </w:p>
    <w:p w:rsidR="0087263F" w:rsidRDefault="0087263F" w14:paraId="03962785" w14:textId="77777777" w:rsidP="0087263F">
      <w:pPr>
        <w:pStyle w:val="Heading2"/>
      </w:pPr>
      <w:bookmarkStart w:id="6" w:name="_Toc78033581"/>
      <w:r>
        <w:t>Avenues to promote community participation</w:t>
      </w:r>
      <w:bookmarkEnd w:id="6"/>
      <w:r>
        <w:t xml:space="preserve"> </w:t>
      </w:r>
    </w:p>
    <w:p w:rsidR="00410761" w:rsidRDefault="00410761" w14:paraId="3276B993" w14:textId="77777777" w:rsidP="0087263F">
      <w:r>
        <w:t xml:space="preserve">There are several ways that the practitioners can use to promote the community engagement for the </w:t>
      </w:r>
      <w:r w:rsidRPr="00380F8F">
        <w:t>Community-Led Recovery Programme</w:t>
      </w:r>
      <w:r>
        <w:t xml:space="preserve"> in London. The avenues for engaging the stakeholders with </w:t>
      </w:r>
      <w:r w:rsidRPr="00380F8F">
        <w:t>Community-Led Recovery Programme</w:t>
      </w:r>
      <w:r>
        <w:t xml:space="preserve"> are- </w:t>
      </w:r>
    </w:p>
    <w:p w:rsidR="0005743B" w:rsidRDefault="00955DAE" w14:paraId="0FBA0A98" w14:textId="77777777" w:rsidP="0087263F">
      <w:r w:rsidRPr="00955DAE">
        <w:rPr>
          <w:b/>
        </w:rPr>
        <w:t>S</w:t>
      </w:r>
      <w:r w:rsidR="00C256CA">
        <w:rPr>
          <w:b/>
        </w:rPr>
        <w:t>elect and define</w:t>
      </w:r>
      <w:r w:rsidRPr="00955DAE">
        <w:rPr>
          <w:b/>
        </w:rPr>
        <w:t xml:space="preserve"> target audience and stakeholders:</w:t>
      </w:r>
      <w:r w:rsidR="00C256CA">
        <w:rPr>
          <w:b/>
        </w:rPr>
        <w:t xml:space="preserve"> </w:t>
      </w:r>
      <w:r w:rsidR="00C256CA">
        <w:t xml:space="preserve">To perform the community engagement work for </w:t>
      </w:r>
      <w:r w:rsidR="00C256CA" w:rsidRPr="00380F8F">
        <w:t>Community-Led Recovery Programme</w:t>
      </w:r>
      <w:r w:rsidR="00C256CA">
        <w:t>, practitioners have to select as well as define the target audience and</w:t>
      </w:r>
      <w:r w:rsidR="009E19CF">
        <w:t xml:space="preserve"> stakeholders of the programme</w:t>
      </w:r>
      <w:r w:rsidR="00DB0042">
        <w:t xml:space="preserve"> </w:t>
      </w:r>
      <w:r w:rsidR="00DB0042" w:rsidRPr="00DB0042">
        <w:t>(Sheila, Zhu, Kintu and Kataike, 2021)</w:t>
      </w:r>
      <w:r w:rsidR="009E19CF">
        <w:t xml:space="preserve">. When the practitioners select the target audience as well as stakeholders the audiences and stakeholders will feel responsible about the programme. </w:t>
      </w:r>
    </w:p>
    <w:p w:rsidR="00B11578" w:rsidRDefault="0005743B" w14:paraId="6F351E4E" w14:textId="77777777" w:rsidP="0087263F">
      <w:r w:rsidRPr="0005743B">
        <w:rPr>
          <w:b/>
        </w:rPr>
        <w:t>Stakeholder segmentation</w:t>
        <w:lastRenderedPageBreak/>
      </w:r>
      <w:r>
        <w:rPr>
          <w:b/>
        </w:rPr>
        <w:t>:</w:t>
      </w:r>
      <w:r>
        <w:t xml:space="preserve"> Here, the practitioners segment the stakeholders of the programme in different parts and engage them to the different parts of the </w:t>
      </w:r>
      <w:r w:rsidRPr="00380F8F">
        <w:t>Community-Led Recovery Programme</w:t>
      </w:r>
      <w:r w:rsidR="00132E2F">
        <w:t xml:space="preserve"> </w:t>
      </w:r>
      <w:r w:rsidR="00132E2F" w:rsidRPr="00132E2F">
        <w:t>(Musesengwa and Chimbari, 2017)</w:t>
      </w:r>
      <w:r>
        <w:t xml:space="preserve">. </w:t>
      </w:r>
      <w:r w:rsidR="00E9406E">
        <w:t xml:space="preserve">In the </w:t>
      </w:r>
      <w:r w:rsidR="00E9406E" w:rsidRPr="00380F8F">
        <w:t>Community-Led Recovery Programme</w:t>
      </w:r>
      <w:r w:rsidR="00E9406E">
        <w:t xml:space="preserve"> there are two grant programs, Community-Led Action and London Community Story. And different stakeholders are engaged to different grant programme of </w:t>
      </w:r>
      <w:r w:rsidR="00E9406E" w:rsidRPr="00380F8F">
        <w:t>Community-Led Recovery Programme</w:t>
      </w:r>
      <w:r w:rsidR="00E9406E">
        <w:t xml:space="preserve">. </w:t>
      </w:r>
    </w:p>
    <w:p w:rsidR="0054179B" w:rsidRDefault="00CD2EF9" w14:paraId="63D8778E" w14:textId="77777777" w:rsidP="0087263F">
      <w:r>
        <w:rPr>
          <w:b/>
        </w:rPr>
        <w:t>Include diverse practitioners</w:t>
      </w:r>
      <w:r w:rsidR="00B11578" w:rsidRPr="00B11578">
        <w:rPr>
          <w:b/>
        </w:rPr>
        <w:t>:</w:t>
      </w:r>
      <w:r>
        <w:rPr>
          <w:b/>
        </w:rPr>
        <w:t xml:space="preserve"> </w:t>
      </w:r>
      <w:r w:rsidR="00736CBE">
        <w:t>There should be dive</w:t>
      </w:r>
      <w:r w:rsidR="003D0EDA">
        <w:t xml:space="preserve">rse practitioners to the community engagement program like </w:t>
      </w:r>
      <w:r w:rsidR="003D0EDA" w:rsidRPr="00380F8F">
        <w:t>Community-Led Recovery Programme</w:t>
      </w:r>
      <w:r w:rsidR="003D0EDA">
        <w:t>. The diver</w:t>
      </w:r>
      <w:r w:rsidR="00C31CAA">
        <w:t>se practitioners have different interpersonal skills and cultural knowledge which help the programme promote community participation of different stakeholders</w:t>
      </w:r>
      <w:r w:rsidR="00132E2F">
        <w:t xml:space="preserve"> </w:t>
      </w:r>
      <w:r w:rsidR="00132E2F" w:rsidRPr="00132E2F">
        <w:t>(Reynolds and Sariola, 2018)</w:t>
      </w:r>
      <w:r w:rsidR="00C31CAA">
        <w:t xml:space="preserve">. With diverse practitioners, the practitioners can influence the stakeholders efficiently which help to attract and engage them in community participation of </w:t>
      </w:r>
      <w:r w:rsidR="00C31CAA" w:rsidRPr="00380F8F">
        <w:t>Community-Led Recovery Programme</w:t>
      </w:r>
      <w:r w:rsidR="00C31CAA">
        <w:t xml:space="preserve">. </w:t>
      </w:r>
    </w:p>
    <w:p w:rsidR="00EF4E56" w:rsidRDefault="0054179B" w14:paraId="026F6353" w14:textId="77777777" w:rsidP="0087263F">
      <w:r>
        <w:rPr>
          <w:b/>
        </w:rPr>
        <w:t>Social media:</w:t>
      </w:r>
      <w:r w:rsidR="00DB0042">
        <w:t xml:space="preserve"> According to Batidzirai et al. (</w:t>
      </w:r>
      <w:r w:rsidR="00DB0042" w:rsidRPr="00611DD3">
        <w:t>2021)</w:t>
      </w:r>
      <w:r w:rsidR="00DB0042">
        <w:t>, s</w:t>
      </w:r>
      <w:r>
        <w:t>takeholders use different social media</w:t>
      </w:r>
      <w:r w:rsidR="00B716E3">
        <w:t xml:space="preserve"> and through social media the practitioners can also promote the community participation for </w:t>
      </w:r>
      <w:r w:rsidR="00B716E3" w:rsidRPr="00380F8F">
        <w:t>Community-Led Recovery Programme</w:t>
      </w:r>
      <w:r w:rsidR="00B716E3">
        <w:t>. Practitioners continuously share their activities, progress, need and engagement bene</w:t>
      </w:r>
      <w:r w:rsidR="00EF4E56">
        <w:t xml:space="preserve">fits to different social media to promote the community participation of different stakeholders to </w:t>
      </w:r>
      <w:r w:rsidR="00EF4E56" w:rsidRPr="00380F8F">
        <w:t>Community-Led Recovery Programme</w:t>
      </w:r>
      <w:r w:rsidR="00EF4E56">
        <w:t xml:space="preserve">. </w:t>
      </w:r>
    </w:p>
    <w:p w:rsidR="00620F6B" w:rsidRDefault="00EF4E56" w14:paraId="06420760" w14:textId="77777777" w:rsidP="0087263F">
      <w:r>
        <w:t xml:space="preserve">All of these avenues of promoting the community participation enhance the social cultural integration as well as multi-culturalism in the community engagement work. </w:t>
      </w:r>
    </w:p>
    <w:p w:rsidR="00620F6B" w:rsidRDefault="00620F6B" w14:paraId="2E21A567" w14:textId="77777777" w:rsidP="00620F6B">
      <w:pPr>
        <w:pStyle w:val="Heading2"/>
      </w:pPr>
      <w:bookmarkStart w:id="7" w:name="_Toc78033582"/>
      <w:r>
        <w:t>The need of community engagement practitioners to educate the community members</w:t>
      </w:r>
      <w:bookmarkEnd w:id="7"/>
    </w:p>
    <w:p w:rsidR="00945938" w:rsidRDefault="007C05DC" w14:paraId="5BD31B60" w14:textId="77777777" w:rsidP="00620F6B">
      <w:r>
        <w:t xml:space="preserve">The community engagement practitioners should have built a forward looking approach to educate the community members in both the internal and external factors. </w:t>
      </w:r>
      <w:r w:rsidR="00620108">
        <w:t xml:space="preserve">Both </w:t>
      </w:r>
      <w:r w:rsidR="00D73F9E">
        <w:t xml:space="preserve">internal as well as external factors affect the community and if the community members are well-educated about these factors they will engage with the community and assist the community in resolving the community issues. If the community members of London become educated about different internal and external factors which may affect the community, them the members will resolve the problem like the COVID-19 further and will recover </w:t>
      </w:r>
      <w:r w:rsidR="00945938">
        <w:t>the community for its betterment</w:t>
      </w:r>
      <w:r w:rsidR="00DB0042">
        <w:t xml:space="preserve"> </w:t>
      </w:r>
      <w:r w:rsidR="00DB0042" w:rsidRPr="00DB0042">
        <w:t>(Sheila, Zhu, Kintu and Kataike, 2021)</w:t>
      </w:r>
      <w:r w:rsidR="00945938">
        <w:t xml:space="preserve">. </w:t>
      </w:r>
    </w:p>
    <w:p w:rsidR="00B25415" w:rsidRDefault="00945938" w14:paraId="4CCE20F5" w14:textId="77777777" w:rsidP="00B25415">
      <w:r>
        <w:t xml:space="preserve">Thus, it is inevitable that the community practitioners should educate the community members about the </w:t>
      </w:r>
      <w:r w:rsidR="00C26955">
        <w:t xml:space="preserve">internal and external factors. </w:t>
      </w:r>
      <w:r>
        <w:t xml:space="preserve"> </w:t>
      </w:r>
      <w:r w:rsidR="00D73F9E">
        <w:t xml:space="preserve">  </w:t>
      </w:r>
      <w:r w:rsidR="007C05DC">
        <w:t xml:space="preserve"> </w:t>
      </w:r>
      <w:r w:rsidR="00EF4E56">
        <w:t xml:space="preserve">   </w:t>
      </w:r>
      <w:r w:rsidR="00B716E3">
        <w:t xml:space="preserve"> </w:t>
      </w:r>
      <w:r w:rsidR="0054179B">
        <w:t xml:space="preserve"> </w:t>
      </w:r>
      <w:r w:rsidR="00C31CAA">
        <w:t xml:space="preserve"> </w:t>
      </w:r>
      <w:r w:rsidR="003D0EDA">
        <w:t xml:space="preserve"> </w:t>
      </w:r>
      <w:r w:rsidR="00B11578">
        <w:t xml:space="preserve"> </w:t>
      </w:r>
      <w:r w:rsidR="00E9406E" w:rsidRPr="00B11578">
        <w:t xml:space="preserve"> </w:t>
      </w:r>
      <w:r w:rsidR="0005743B" w:rsidRPr="00B11578">
        <w:t xml:space="preserve"> </w:t>
      </w:r>
      <w:r w:rsidR="00955DAE" w:rsidRPr="00B11578">
        <w:t xml:space="preserve"> </w:t>
      </w:r>
      <w:r w:rsidR="000335B5" w:rsidRPr="00B11578">
        <w:t xml:space="preserve"> </w:t>
      </w:r>
      <w:r w:rsidR="003937CF" w:rsidRPr="00B11578">
        <w:t xml:space="preserve">   </w:t>
      </w:r>
      <w:r w:rsidR="005A3A81" w:rsidRPr="00B11578">
        <w:t xml:space="preserve"> </w:t>
      </w:r>
      <w:r w:rsidR="009D1EC8" w:rsidRPr="00B11578">
        <w:t xml:space="preserve"> </w:t>
      </w:r>
      <w:r w:rsidR="00A6421B" w:rsidRPr="00B11578">
        <w:t xml:space="preserve">  </w:t>
      </w:r>
      <w:r w:rsidR="00512A31" w:rsidRPr="00B11578">
        <w:t xml:space="preserve"> </w:t>
      </w:r>
      <w:r w:rsidR="007B63F6" w:rsidRPr="00B11578">
        <w:t xml:space="preserve">  </w:t>
      </w:r>
    </w:p>
    <w:p w:rsidR="00941939" w:rsidRDefault="00B25415" w14:paraId="1AD32887" w14:textId="77777777" w:rsidP="00B25415">
      <w:pPr>
        <w:pStyle w:val="Heading1"/>
      </w:pPr>
      <w:bookmarkStart w:id="8" w:name="_Toc78033583"/>
      <w:r>
        <w:t>Conclusion and recommendations</w:t>
        <w:lastRenderedPageBreak/>
      </w:r>
      <w:bookmarkEnd w:id="8"/>
      <w:r>
        <w:t xml:space="preserve"> </w:t>
      </w:r>
    </w:p>
    <w:p w:rsidR="008324AA" w:rsidRDefault="0063470C" w14:paraId="31C68E7F" w14:textId="77777777" w:rsidP="008324AA">
      <w:r>
        <w:t>To recapitulate, the report unveiled</w:t>
      </w:r>
      <w:r w:rsidR="00A70E0D">
        <w:t xml:space="preserve"> the community engagement with the help of </w:t>
      </w:r>
      <w:r w:rsidR="00A70E0D" w:rsidRPr="00380F8F">
        <w:t>Community-Led Recovery Programme</w:t>
      </w:r>
      <w:r w:rsidR="00A70E0D">
        <w:t xml:space="preserve"> in London. </w:t>
      </w:r>
      <w:r w:rsidR="008324AA">
        <w:t xml:space="preserve">The report discussed community engagement, what problems can affect the community and </w:t>
      </w:r>
      <w:r w:rsidR="008324AA" w:rsidRPr="00380F8F">
        <w:t>Community-Led Recovery Programme</w:t>
      </w:r>
      <w:r w:rsidR="008324AA">
        <w:t xml:space="preserve"> to overcome the challenges of COVID-19. This program enables the communities, which are exceptionally affected by current pandemic of COVID-19, to reform and recover London as a resilient and fairer than the city has ever been. The study, further, discussed principles and standards of community engagement along with the benefits of stakeholder’s participation in the community engagement. In addition, the study incorporated the rapport between the stakeholders and the strategies to engage them. Moreover, the report analysed the avenues to promote community participation and the practitioner’s need to adapt approaches to educate the community members. </w:t>
      </w:r>
    </w:p>
    <w:p w:rsidR="008324AA" w:rsidRDefault="000D670C" w14:paraId="2955749B" w14:textId="77777777" w:rsidP="00A70E0D">
      <w:r>
        <w:t xml:space="preserve">To improve the community engagement and accomplish a future project successfully, the practitioners should do the bellow things- </w:t>
      </w:r>
    </w:p>
    <w:p w:rsidR="003148E3" w:rsidRDefault="007473A2" w14:paraId="4E672950" w14:textId="77777777" w:rsidP="003148E3">
      <w:pPr>
        <w:pStyle w:val="ListParagraph"/>
        <w:numPr>
          <w:ilvl w:val="0"/>
          <w:numId w:val="4"/>
        </w:numPr>
      </w:pPr>
      <w:r>
        <w:t>In order to improve the community engagement, gain sustainable development and accomplish future community work, the</w:t>
      </w:r>
      <w:r w:rsidR="003148E3">
        <w:t xml:space="preserve"> </w:t>
      </w:r>
      <w:r>
        <w:t xml:space="preserve">practitioners should target the audience and stakeholders of the community work. </w:t>
      </w:r>
    </w:p>
    <w:p w:rsidR="007473A2" w:rsidRDefault="007473A2" w14:paraId="66A8B515" w14:textId="77777777" w:rsidP="003148E3">
      <w:pPr>
        <w:pStyle w:val="ListParagraph"/>
        <w:numPr>
          <w:ilvl w:val="0"/>
          <w:numId w:val="4"/>
        </w:numPr>
      </w:pPr>
      <w:r>
        <w:t xml:space="preserve">The practitioners have to segment the whole stakeholders and the audience into different suitable groups to attach and engage the stakeholders more effectively. </w:t>
      </w:r>
    </w:p>
    <w:p w:rsidR="00DC174D" w:rsidRDefault="007473A2" w14:paraId="7137CA5B" w14:textId="77777777" w:rsidP="003148E3">
      <w:pPr>
        <w:pStyle w:val="ListParagraph"/>
        <w:numPr>
          <w:ilvl w:val="0"/>
          <w:numId w:val="4"/>
        </w:numPr>
      </w:pPr>
      <w:r>
        <w:t xml:space="preserve">The practitioners should </w:t>
      </w:r>
      <w:r w:rsidR="00C65E35">
        <w:t xml:space="preserve">disseminate the stakeholders about the benefits of the community engagement to the individual and society indeed. </w:t>
      </w:r>
    </w:p>
    <w:p w:rsidR="007E0DAC" w:rsidRDefault="00DC174D" w14:paraId="045AFC33" w14:textId="77777777" w:rsidP="003148E3">
      <w:pPr>
        <w:pStyle w:val="ListParagraph"/>
        <w:numPr>
          <w:ilvl w:val="0"/>
          <w:numId w:val="4"/>
        </w:numPr>
      </w:pPr>
      <w:r>
        <w:t xml:space="preserve">The practitioners have to educate the community members and the stakeholders about the internal and external factors of the community issues so that they are well-informed and can engage with the community whenever necessary. </w:t>
      </w:r>
    </w:p>
    <w:p w:rsidR="007E0DAC" w:rsidRDefault="007E0DAC" w14:paraId="3189DCD0" w14:textId="77777777">
      <w:pPr>
        <w:jc w:val="left"/>
        <w:spacing w:line="259" w:lineRule="auto"/>
      </w:pPr>
      <w:r>
        <w:br w:type="page"/>
      </w:r>
    </w:p>
    <w:p w:rsidR="00DB0042" w:rsidRDefault="00DB0042" w14:paraId="10E8D874" w14:textId="77777777" w:rsidP="00DB0042">
      <w:pPr>
        <w:pStyle w:val="Heading1"/>
        <w:rPr>
          <w:sz w:val="36"/>
        </w:rPr>
      </w:pPr>
      <w:bookmarkStart w:id="9" w:name="_Toc78033584"/>
      <w:r>
        <w:t>References</w:t>
        <w:lastRenderedPageBreak/>
      </w:r>
      <w:bookmarkEnd w:id="9"/>
    </w:p>
    <w:p w:rsidR="00463C94" w:rsidRDefault="00463C94" w14:paraId="3E6EF126" w14:textId="77777777" w:rsidP="00DB0042">
      <w:r>
        <w:t>Batidzirai, B., Trotter, P., Brophy, A., Stritzke, S., Moyo, A., Twesigye, P., Puranasamriddhi, A. and Madhlopa, A., 2021. Towards people-private-public partnerships: An integrated community engagement model for capturing energy access needs. </w:t>
      </w:r>
      <w:r>
        <w:rPr>
          <w:iCs/>
          <w:i/>
        </w:rPr>
        <w:t>Energy Research &amp; Social Science</w:t>
      </w:r>
      <w:r>
        <w:t>, 74, p.101975.</w:t>
      </w:r>
    </w:p>
    <w:p w:rsidR="00463C94" w:rsidRDefault="00463C94" w14:paraId="4126029D" w14:textId="77777777" w:rsidP="00DB0042">
      <w:r>
        <w:t>De Weger, E., Van Vooren, N., Luijkx, K., Baan, C. and Drewes, H., 2018. Achieving successful community engagement: a rapid realist review. </w:t>
      </w:r>
      <w:r>
        <w:rPr>
          <w:iCs/>
          <w:i/>
        </w:rPr>
        <w:t>BMC Health Services Research</w:t>
      </w:r>
      <w:r>
        <w:t>, 18(1).</w:t>
      </w:r>
    </w:p>
    <w:p w:rsidR="00463C94" w:rsidRDefault="00463C94" w14:paraId="6A3F29A2" w14:textId="77777777" w:rsidP="00DB0042">
      <w:r>
        <w:t>Geekiyanage, D., Fernando, T. and Keraminiyage, K., 2020. Assessing the state of the art in community engagement for participatory decision-making in disaster risk-sensitive urban development. </w:t>
      </w:r>
      <w:r>
        <w:rPr>
          <w:iCs/>
          <w:i/>
        </w:rPr>
        <w:t>International Journal of Disaster Risk Reduction</w:t>
      </w:r>
      <w:r>
        <w:t>, 51, p.101847.</w:t>
      </w:r>
    </w:p>
    <w:p w:rsidR="00463C94" w:rsidRDefault="00463C94" w14:paraId="142D1B93" w14:textId="0D0C4A76" w:rsidP="00DB0042">
      <w:r>
        <w:t>Heierbacher, S., 2021. </w:t>
      </w:r>
      <w:r>
        <w:rPr>
          <w:iCs/>
          <w:i/>
        </w:rPr>
        <w:t>Core Principles for Public Engagement</w:t>
      </w:r>
      <w:r>
        <w:t xml:space="preserve">. NCDD Resource Center. Available at: </w:t>
      </w:r>
      <w:r w:rsidRPr="00463C94">
        <w:t>https://ncdd.org/rc/item/3643/</w:t>
      </w:r>
      <w:r>
        <w:t xml:space="preserve"> [Accessed 24 July 2021].</w:t>
      </w:r>
    </w:p>
    <w:p w:rsidR="00463C94" w:rsidRDefault="00463C94" w14:paraId="21878336" w14:textId="7D9345AC" w:rsidP="00DB0042">
      <w:r>
        <w:t>Hussey, S., 2021. </w:t>
      </w:r>
      <w:r>
        <w:rPr>
          <w:iCs/>
          <w:i/>
        </w:rPr>
        <w:t>Why is Community Engagement Important? - Bang The Table</w:t>
      </w:r>
      <w:r>
        <w:t xml:space="preserve">. Bang the Table. Available at: </w:t>
      </w:r>
      <w:r w:rsidRPr="00463C94">
        <w:t>https://www.bangthetable.com/why-is-community-engagement-important/</w:t>
      </w:r>
      <w:r>
        <w:t xml:space="preserve"> [Accessed 24 July 2021].</w:t>
      </w:r>
    </w:p>
    <w:p w:rsidR="00463C94" w:rsidRDefault="00463C94" w14:paraId="66C179EB" w14:textId="08F97841" w:rsidP="00DB0042">
      <w:r>
        <w:t>Kettering Foundation. 2021. </w:t>
      </w:r>
      <w:r>
        <w:rPr>
          <w:iCs/>
          <w:i/>
        </w:rPr>
        <w:t>Kettering Foundation</w:t>
      </w:r>
      <w:r>
        <w:t xml:space="preserve">. Available at: </w:t>
      </w:r>
      <w:r w:rsidRPr="00463C94">
        <w:t>https://www.kettering.org/</w:t>
      </w:r>
      <w:r>
        <w:t xml:space="preserve"> [Accessed 24 July 2021].</w:t>
      </w:r>
    </w:p>
    <w:p w:rsidR="00463C94" w:rsidRDefault="00463C94" w14:paraId="276F1B44" w14:textId="77777777" w:rsidP="00DB0042">
      <w:r>
        <w:t>Musesengwa, R. and Chimbari, M., 2017. Experiences of community members and researchers on community engagement in an Ecohealth project in South Africa and Zimbabwe. </w:t>
      </w:r>
      <w:r>
        <w:rPr>
          <w:iCs/>
          <w:i/>
        </w:rPr>
        <w:t>BMC Medical Ethics</w:t>
      </w:r>
      <w:r>
        <w:t>, 18(1).</w:t>
      </w:r>
    </w:p>
    <w:p w:rsidR="00463C94" w:rsidRDefault="00463C94" w14:paraId="6C75D2F2" w14:textId="77777777" w:rsidP="00DB0042">
      <w:r>
        <w:t>Reynolds, L. and Sariola, S., 2018. The ethics and politics of community engagement in global health research. </w:t>
      </w:r>
      <w:r>
        <w:rPr>
          <w:iCs/>
          <w:i/>
        </w:rPr>
        <w:t>Critical Public Health</w:t>
      </w:r>
      <w:r>
        <w:t>, 28(3), pp.257-268.</w:t>
      </w:r>
    </w:p>
    <w:p w:rsidR="00463C94" w:rsidRDefault="00463C94" w14:paraId="7F2A868C" w14:textId="77777777" w:rsidP="00DB0042">
      <w:r>
        <w:t>Sheila, N., Zhu, C., Kintu, M. and Kataike, J., 2021. Assessing higher education institutional stakeholders' perceptions and needs for community engagement: An empirical evidence from Uganda. </w:t>
      </w:r>
      <w:r>
        <w:rPr>
          <w:iCs/>
          <w:i/>
        </w:rPr>
        <w:t>Heliyon</w:t>
      </w:r>
      <w:r>
        <w:t>, 7(4), p.e06612.</w:t>
      </w:r>
    </w:p>
    <w:p w:rsidR="00463C94" w:rsidRDefault="00463C94" w14:paraId="1D7893C9" w14:textId="77777777" w:rsidP="00DB0042">
      <w:r>
        <w:t>Simon, C., 2010. </w:t>
      </w:r>
      <w:r>
        <w:rPr>
          <w:iCs/>
          <w:i/>
        </w:rPr>
        <w:t>Journal of community engagement and scholarship</w:t>
      </w:r>
      <w:r>
        <w:t>. Tuscaloosa, AL: University of Alabama.</w:t>
      </w:r>
    </w:p>
    <w:p w:rsidR="00463C94" w:rsidRDefault="00463C94" w14:paraId="35CA414A" w14:textId="77777777" w:rsidP="00DB0042">
      <w:r>
        <w:t>Sprague Martinez, L., Rapkin, B., Young, A., Freisthler, B., Glasgow, L., Hunt, T., Salsberry, P., Oga, E., Bennet-Fallin, A., Plouck, T., Drainoni, M., Freeman, P., Surratt, H., Gulley, J., Hamilton, G., Bowman, P., Roeber, C., El-Bassel, N. and Battaglia, T., 2020. Community engagement to implement evidence-based practices in the HEALing communities study. </w:t>
        <w:lastRenderedPageBreak/>
      </w:r>
      <w:r>
        <w:rPr>
          <w:iCs/>
          <w:i/>
        </w:rPr>
        <w:t>Drug and Alcohol Dependence</w:t>
      </w:r>
      <w:r>
        <w:t>, 217, p.108326.</w:t>
      </w:r>
    </w:p>
    <w:p w:rsidR="00463C94" w:rsidRDefault="00463C94" w14:paraId="2B37815C" w14:textId="0996DBF8" w:rsidP="00DB0042">
      <w:r>
        <w:t>The Health Foundation. 2021. </w:t>
      </w:r>
      <w:r>
        <w:rPr>
          <w:iCs/>
          <w:i/>
        </w:rPr>
        <w:t>Sustaining community-led action in recovery: learning lessons from the community response to COVID-19 in Wales | The Health Foundation</w:t>
      </w:r>
      <w:r>
        <w:t xml:space="preserve">. Available at: </w:t>
      </w:r>
      <w:r w:rsidRPr="00463C94">
        <w:t>https://www.health.org.uk/funding-and-partnerships/programmes/sustaining-community-led-action-in-recovery-covid-19</w:t>
      </w:r>
      <w:r>
        <w:t xml:space="preserve"> [Accessed 24 July 2021].</w:t>
      </w:r>
    </w:p>
    <w:p w:rsidR="007473A2" w:rsidRDefault="007473A2" w14:paraId="769C99DA" w14:textId="77777777" w:rsidP="00DB0042"/>
    <w:p w:rsidR="00B25415" w:rsidRDefault="0063470C" w14:paraId="70C73455" w14:textId="77777777" w:rsidP="00DB0042">
      <w:r>
        <w:t xml:space="preserve"> </w:t>
      </w:r>
    </w:p>
    <w:p w:rsidR="00B25415" w:rsidRDefault="00B25415" w14:paraId="252F8FB3" w14:textId="77777777" w:rsidP="00DB0042" w:rsidRPr="00941939"/>
    <w:p w:rsidR="00517334" w:rsidRDefault="00517334" w14:paraId="2CA89261" w14:textId="77777777" w:rsidP="00DB0042" w:rsidRPr="00F33792"/>
    <w:sectPr w:rsidR="00517334" w:rsidRPr="00F33792">
      <w:docGrid w:linePitch="360"/>
      <w:footerReference r:id="rId8" w:type="default"/>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3FC9F" w14:textId="77777777" w:rsidR="00A00883" w:rsidRDefault="00A00883" w:rsidP="00DB0042">
      <w:pPr>
        <w:spacing w:after="0" w:line="240" w:lineRule="auto"/>
      </w:pPr>
      <w:r>
        <w:separator/>
      </w:r>
    </w:p>
  </w:endnote>
  <w:endnote w:type="continuationSeparator" w:id="0">
    <w:p w14:paraId="1D4947A0" w14:textId="77777777" w:rsidR="00A00883" w:rsidRDefault="00A00883" w:rsidP="00DB004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2535644"/>
      <w:docPartObj>
        <w:docPartGallery w:val="Page Numbers (Bottom of Page)"/>
        <w:docPartUnique/>
      </w:docPartObj>
    </w:sdtPr>
    <w:sdtEndPr>
      <w:rPr>
        <w:noProof/>
      </w:rPr>
    </w:sdtEndPr>
    <w:sdtContent>
      <w:p w14:paraId="56CEBAA6" w14:textId="22A84F37" w:rsidR="00463C94" w:rsidRDefault="00463C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108475" w14:textId="77777777" w:rsidR="00DB0042" w:rsidRDefault="00DB0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86482" w14:textId="77777777" w:rsidR="00A00883" w:rsidRDefault="00A00883" w:rsidP="00DB0042">
      <w:pPr>
        <w:spacing w:after="0" w:line="240" w:lineRule="auto"/>
      </w:pPr>
      <w:r>
        <w:separator/>
      </w:r>
    </w:p>
  </w:footnote>
  <w:footnote w:type="continuationSeparator" w:id="0">
    <w:p w14:paraId="03E12438" w14:textId="77777777" w:rsidR="00A00883" w:rsidRDefault="00A00883" w:rsidP="00DB004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FCC440C"/>
    <w:tmpl w:val="A8009BE8"/>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1">
    <w:multiLevelType w:val="hybridMultilevel"/>
    <w:nsid w:val="1F3C776A"/>
    <w:tmpl w:val="BD04B66C"/>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
    <w:multiLevelType w:val="hybridMultilevel"/>
    <w:nsid w:val="2741259E"/>
    <w:tmpl w:val="9C4A492C"/>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3">
    <w:multiLevelType w:val="hybridMultilevel"/>
    <w:nsid w:val="65A660C3"/>
    <w:tmpl w:val="AEE864E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num w:numId="1">
    <w:abstractNumId w:val="2"/>
  </w:num>
  <w:num w:numId="2">
    <w:abstractNumId w:val="0"/>
  </w:num>
  <w:num w:numId="3">
    <w:abstractNumId w:val="1"/>
  </w:num>
  <w:num w:numId="4">
    <w:abstractNumId w:val="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Q1NjM3NTA3MbMwMDNQ0lEKTi0uzszPAykwqgUAGzcgtyw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5A258"/>
  <w15:chartTrackingRefBased/>
  <w15:docId w15:val="{60360134-D701-47BA-BC46-419327AF3832}"/>
  <w:rsids>
    <w:rsidRoot val="00BA6560"/>
    <w:rsid val="000056B8"/>
    <w:rsid val="000335B5"/>
    <w:rsid val="00054095"/>
    <w:rsid val="0005743B"/>
    <w:rsid val="000603BA"/>
    <w:rsid val="000D670C"/>
    <w:rsid val="00132E2F"/>
    <w:rsid val="00161D9B"/>
    <w:rsid val="001942E6"/>
    <w:rsid val="001C2992"/>
    <w:rsid val="002125C4"/>
    <w:rsid val="002673EA"/>
    <w:rsid val="002706EA"/>
    <w:rsid val="002B5A0E"/>
    <w:rsid val="002E3BF8"/>
    <w:rsid val="002E4E06"/>
    <w:rsid val="002F1A94"/>
    <w:rsid val="00303F54"/>
    <w:rsid val="003148E3"/>
    <w:rsid val="00380F8F"/>
    <w:rsid val="003937CF"/>
    <w:rsid val="003D0EDA"/>
    <w:rsid val="003F6F1E"/>
    <w:rsid val="00403672"/>
    <w:rsid val="00410761"/>
    <w:rsid val="00417C45"/>
    <w:rsid val="00463C94"/>
    <w:rsid val="00464EA8"/>
    <w:rsid val="004D5F8E"/>
    <w:rsid val="004E5254"/>
    <w:rsid val="00512A31"/>
    <w:rsid val="00517334"/>
    <w:rsid val="0054179B"/>
    <w:rsid val="00563BCC"/>
    <w:rsid val="005A3A81"/>
    <w:rsid val="005E2F7D"/>
    <w:rsid val="00611DD3"/>
    <w:rsid val="00620108"/>
    <w:rsid val="00620F6B"/>
    <w:rsid val="0063470C"/>
    <w:rsid val="00641149"/>
    <w:rsid val="006A7CFC"/>
    <w:rsid val="00736CBE"/>
    <w:rsid val="007473A2"/>
    <w:rsid val="007B63F6"/>
    <w:rsid val="007C05DC"/>
    <w:rsid val="007E0DAC"/>
    <w:rsid val="007E2A80"/>
    <w:rsid val="007F3E04"/>
    <w:rsid val="00823092"/>
    <w:rsid val="008324AA"/>
    <w:rsid val="0085048E"/>
    <w:rsid val="00870C57"/>
    <w:rsid val="0087263F"/>
    <w:rsid val="008746FD"/>
    <w:rsid val="00883640"/>
    <w:rsid val="00941939"/>
    <w:rsid val="00945938"/>
    <w:rsid val="00945DDB"/>
    <w:rsid val="00955DAE"/>
    <w:rsid val="009A6A33"/>
    <w:rsid val="009D095D"/>
    <w:rsid val="009D1EC8"/>
    <w:rsid val="009E19CF"/>
    <w:rsid val="00A00883"/>
    <w:rsid val="00A6421B"/>
    <w:rsid val="00A70E0D"/>
    <w:rsid val="00AA69F2"/>
    <w:rsid val="00AE50DB"/>
    <w:rsid val="00B11578"/>
    <w:rsid val="00B15C0E"/>
    <w:rsid val="00B25415"/>
    <w:rsid val="00B31088"/>
    <w:rsid val="00B31AE3"/>
    <w:rsid val="00B3249F"/>
    <w:rsid val="00B716E3"/>
    <w:rsid val="00BA6560"/>
    <w:rsid val="00C0585A"/>
    <w:rsid val="00C256CA"/>
    <w:rsid val="00C26955"/>
    <w:rsid val="00C31CAA"/>
    <w:rsid val="00C34AE1"/>
    <w:rsid val="00C65E35"/>
    <w:rsid val="00C67F22"/>
    <w:rsid val="00CA40E7"/>
    <w:rsid val="00CC11A9"/>
    <w:rsid val="00CD2EF9"/>
    <w:rsid val="00CE0FBA"/>
    <w:rsid val="00D02FE0"/>
    <w:rsid val="00D1527F"/>
    <w:rsid val="00D363DC"/>
    <w:rsid val="00D73F9E"/>
    <w:rsid val="00D878FE"/>
    <w:rsid val="00DA204C"/>
    <w:rsid val="00DB0042"/>
    <w:rsid val="00DC174D"/>
    <w:rsid val="00DD0459"/>
    <w:rsid val="00DF2D60"/>
    <w:rsid val="00E00ACF"/>
    <w:rsid val="00E118C4"/>
    <w:rsid val="00E13F10"/>
    <w:rsid val="00E9406E"/>
    <w:rsid val="00EF4E56"/>
    <w:rsid val="00F33792"/>
    <w:rsid val="00F558BA"/>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3792"/>
    <w:pPr>
      <w:jc w:val="both"/>
      <w:spacing w:line="360" w:lineRule="auto"/>
    </w:pPr>
    <w:rPr>
      <w:rFonts w:ascii="Times New Roman" w:cs="Times New Roman" w:hAnsi="Times New Roman"/>
      <w:sz w:val="24"/>
    </w:rPr>
  </w:style>
  <w:style w:type="paragraph" w:styleId="Heading1">
    <w:name w:val="Heading 1"/>
    <w:qFormat/>
    <w:basedOn w:val="Normal"/>
    <w:link w:val="Heading1Char"/>
    <w:uiPriority w:val="9"/>
    <w:rsid w:val="00941939"/>
    <w:pPr>
      <w:outlineLvl w:val="0"/>
      <w:jc w:val="left"/>
      <w:spacing w:before="100" w:beforeAutospacing="1" w:after="100" w:afterAutospacing="1" w:line="240" w:lineRule="auto"/>
    </w:pPr>
    <w:rPr>
      <w:bCs/>
      <w:kern w:val="36"/>
      <w:lang w:eastAsia="en-GB"/>
      <w:b/>
      <w:color w:val="4472C4"/>
      <w:rFonts w:eastAsia="Times New Roman"/>
      <w:sz w:val="32"/>
      <w:szCs w:val="48"/>
    </w:rPr>
  </w:style>
  <w:style w:type="paragraph" w:styleId="Heading2">
    <w:name w:val="Heading 2"/>
    <w:qFormat/>
    <w:basedOn w:val="Normal"/>
    <w:next w:val="Normal"/>
    <w:link w:val="Heading2Char"/>
    <w:uiPriority w:val="9"/>
    <w:unhideWhenUsed/>
    <w:rsid w:val="002125C4"/>
    <w:pPr>
      <w:keepNext/>
      <w:keepLines/>
      <w:outlineLvl w:val="1"/>
      <w:spacing w:before="40" w:after="0"/>
    </w:pPr>
    <w:rPr>
      <w:b/>
      <w:color w:val="70AD47"/>
      <w:rFonts w:eastAsiaTheme="majorEastAsia"/>
      <w:sz w:val="28"/>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941939"/>
    <w:rPr>
      <w:bCs/>
      <w:kern w:val="36"/>
      <w:lang w:eastAsia="en-GB"/>
      <w:b/>
      <w:color w:val="4472C4"/>
      <w:rFonts w:ascii="Times New Roman" w:cs="Times New Roman" w:eastAsia="Times New Roman" w:hAnsi="Times New Roman"/>
      <w:sz w:val="32"/>
      <w:szCs w:val="48"/>
    </w:rPr>
  </w:style>
  <w:style w:type="paragraph" w:styleId="TOCHeading">
    <w:name w:val="TOC Heading"/>
    <w:qFormat/>
    <w:basedOn w:val="Heading1"/>
    <w:next w:val="Normal"/>
    <w:uiPriority w:val="39"/>
    <w:unhideWhenUsed/>
    <w:rsid w:val="00941939"/>
    <w:pPr>
      <w:keepNext/>
      <w:keepLines/>
      <w:outlineLvl w:val="9"/>
      <w:spacing w:before="240" w:beforeAutospacing="0" w:after="0" w:afterAutospacing="0" w:line="259" w:lineRule="auto"/>
    </w:pPr>
    <w:rPr>
      <w:bCs w:val="0"/>
      <w:kern w:val="0"/>
      <w:lang w:val="en-US" w:eastAsia="en-US"/>
      <w:b w:val="0"/>
      <w:color w:val="2E74B5"/>
      <w:rFonts w:ascii="Calibri Light" w:eastAsiaTheme="majorEastAsia" w:hAnsiTheme="majorHAnsi" w:cstheme="majorBidi"/>
      <w:szCs w:val="32"/>
    </w:rPr>
  </w:style>
  <w:style w:type="character" w:styleId="Heading2Char">
    <w:name w:val="Heading 2 Char"/>
    <w:basedOn w:val="DefaultParagraphFont"/>
    <w:link w:val="Heading2"/>
    <w:uiPriority w:val="9"/>
    <w:rsid w:val="002125C4"/>
    <w:rPr>
      <w:b/>
      <w:color w:val="70AD47"/>
      <w:rFonts w:ascii="Times New Roman" w:cs="Times New Roman" w:hAnsi="Times New Roman" w:eastAsiaTheme="majorEastAsia"/>
      <w:sz w:val="28"/>
      <w:szCs w:val="26"/>
    </w:rPr>
  </w:style>
  <w:style w:type="paragraph" w:styleId="ListParagraph">
    <w:name w:val="List Paragraph"/>
    <w:qFormat/>
    <w:basedOn w:val="Normal"/>
    <w:uiPriority w:val="34"/>
    <w:rsid w:val="003148E3"/>
    <w:pPr>
      <w:ind w:left="720"/>
      <w:contextualSpacing/>
    </w:pPr>
  </w:style>
  <w:style w:type="paragraph" w:styleId="TOC1">
    <w:name w:val="toc 1"/>
    <w:basedOn w:val="Normal"/>
    <w:next w:val="Normal"/>
    <w:autoRedefine/>
    <w:uiPriority w:val="39"/>
    <w:unhideWhenUsed/>
    <w:rsid w:val="00DB0042"/>
    <w:pPr>
      <w:spacing w:after="100"/>
    </w:pPr>
  </w:style>
  <w:style w:type="paragraph" w:styleId="TOC2">
    <w:name w:val="toc 2"/>
    <w:basedOn w:val="Normal"/>
    <w:next w:val="Normal"/>
    <w:autoRedefine/>
    <w:uiPriority w:val="39"/>
    <w:unhideWhenUsed/>
    <w:rsid w:val="00DB0042"/>
    <w:pPr>
      <w:ind w:left="240"/>
      <w:spacing w:after="100"/>
    </w:pPr>
  </w:style>
  <w:style w:type="character" w:styleId="Hyperlink">
    <w:name w:val="Hyperlink"/>
    <w:basedOn w:val="DefaultParagraphFont"/>
    <w:uiPriority w:val="99"/>
    <w:unhideWhenUsed/>
    <w:rsid w:val="00DB0042"/>
    <w:rPr>
      <w:u w:val="single"/>
      <w:color w:val="0563C1"/>
    </w:rPr>
  </w:style>
  <w:style w:type="paragraph" w:styleId="Header">
    <w:name w:val="header"/>
    <w:basedOn w:val="Normal"/>
    <w:link w:val="HeaderChar"/>
    <w:uiPriority w:val="99"/>
    <w:unhideWhenUsed/>
    <w:rsid w:val="00DB0042"/>
    <w:pPr>
      <w:spacing w:after="0" w:line="240" w:lineRule="auto"/>
      <w:tabs>
        <w:tab w:val="center" w:pos="4513"/>
        <w:tab w:val="right" w:pos="9026"/>
      </w:tabs>
    </w:pPr>
  </w:style>
  <w:style w:type="character" w:styleId="HeaderChar">
    <w:name w:val="Header Char"/>
    <w:basedOn w:val="DefaultParagraphFont"/>
    <w:link w:val="Header"/>
    <w:uiPriority w:val="99"/>
    <w:rsid w:val="00DB0042"/>
    <w:rPr>
      <w:rFonts w:ascii="Times New Roman" w:cs="Times New Roman" w:hAnsi="Times New Roman"/>
      <w:sz w:val="24"/>
    </w:rPr>
  </w:style>
  <w:style w:type="paragraph" w:styleId="Footer">
    <w:name w:val="footer"/>
    <w:basedOn w:val="Normal"/>
    <w:link w:val="FooterChar"/>
    <w:uiPriority w:val="99"/>
    <w:unhideWhenUsed/>
    <w:rsid w:val="00DB0042"/>
    <w:pPr>
      <w:spacing w:after="0" w:line="240" w:lineRule="auto"/>
      <w:tabs>
        <w:tab w:val="center" w:pos="4513"/>
        <w:tab w:val="right" w:pos="9026"/>
      </w:tabs>
    </w:pPr>
  </w:style>
  <w:style w:type="character" w:styleId="FooterChar">
    <w:name w:val="Footer Char"/>
    <w:basedOn w:val="DefaultParagraphFont"/>
    <w:link w:val="Footer"/>
    <w:uiPriority w:val="99"/>
    <w:rsid w:val="00DB0042"/>
    <w:rPr>
      <w:rFonts w:ascii="Times New Roman" w:cs="Times New Roman" w:hAnsi="Times New Roman"/>
      <w:sz w:val="24"/>
    </w:rPr>
  </w:style>
  <w:style w:type="paragraph" w:styleId="NormalWeb">
    <w:name w:val="Normal (Web)"/>
    <w:basedOn w:val="Normal"/>
    <w:uiPriority w:val="99"/>
    <w:semiHidden/>
    <w:unhideWhenUsed/>
    <w:rsid w:val="00DB0042"/>
    <w:pPr>
      <w:jc w:val="left"/>
      <w:spacing w:before="100" w:beforeAutospacing="1" w:after="100" w:afterAutospacing="1" w:line="240" w:lineRule="auto"/>
    </w:pPr>
    <w:rPr>
      <w:lang w:eastAsia="en-GB"/>
      <w:rFonts w:eastAsia="Times New Roman"/>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279263">
      <w:bodyDiv w:val="1"/>
      <w:marLeft w:val="0"/>
      <w:marRight w:val="0"/>
      <w:marTop w:val="0"/>
      <w:marBottom w:val="0"/>
      <w:divBdr>
        <w:top w:val="none" w:sz="0" w:space="0" w:color="auto"/>
        <w:left w:val="none" w:sz="0" w:space="0" w:color="auto"/>
        <w:bottom w:val="none" w:sz="0" w:space="0" w:color="auto"/>
        <w:right w:val="none" w:sz="0" w:space="0" w:color="auto"/>
      </w:divBdr>
    </w:div>
    <w:div w:id="735274991">
      <w:bodyDiv w:val="1"/>
      <w:marLeft w:val="0"/>
      <w:marRight w:val="0"/>
      <w:marTop w:val="0"/>
      <w:marBottom w:val="0"/>
      <w:divBdr>
        <w:top w:val="none" w:sz="0" w:space="0" w:color="auto"/>
        <w:left w:val="none" w:sz="0" w:space="0" w:color="auto"/>
        <w:bottom w:val="none" w:sz="0" w:space="0" w:color="auto"/>
        <w:right w:val="none" w:sz="0" w:space="0" w:color="auto"/>
      </w:divBdr>
    </w:div>
    <w:div w:id="768428770">
      <w:bodyDiv w:val="1"/>
      <w:marLeft w:val="0"/>
      <w:marRight w:val="0"/>
      <w:marTop w:val="0"/>
      <w:marBottom w:val="0"/>
      <w:divBdr>
        <w:top w:val="none" w:sz="0" w:space="0" w:color="auto"/>
        <w:left w:val="none" w:sz="0" w:space="0" w:color="auto"/>
        <w:bottom w:val="none" w:sz="0" w:space="0" w:color="auto"/>
        <w:right w:val="none" w:sz="0" w:space="0" w:color="auto"/>
      </w:divBdr>
    </w:div>
    <w:div w:id="1250890189">
      <w:bodyDiv w:val="1"/>
      <w:marLeft w:val="0"/>
      <w:marRight w:val="0"/>
      <w:marTop w:val="0"/>
      <w:marBottom w:val="0"/>
      <w:divBdr>
        <w:top w:val="none" w:sz="0" w:space="0" w:color="auto"/>
        <w:left w:val="none" w:sz="0" w:space="0" w:color="auto"/>
        <w:bottom w:val="none" w:sz="0" w:space="0" w:color="auto"/>
        <w:right w:val="none" w:sz="0" w:space="0" w:color="auto"/>
      </w:divBdr>
    </w:div>
    <w:div w:id="1264537349">
      <w:bodyDiv w:val="1"/>
      <w:marLeft w:val="0"/>
      <w:marRight w:val="0"/>
      <w:marTop w:val="0"/>
      <w:marBottom w:val="0"/>
      <w:divBdr>
        <w:top w:val="none" w:sz="0" w:space="0" w:color="auto"/>
        <w:left w:val="none" w:sz="0" w:space="0" w:color="auto"/>
        <w:bottom w:val="none" w:sz="0" w:space="0" w:color="auto"/>
        <w:right w:val="none" w:sz="0" w:space="0" w:color="auto"/>
      </w:divBdr>
    </w:div>
    <w:div w:id="177840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F8329-ED67-4809-B8B2-D34CBA0F4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913</TotalTime>
  <Pages>11</Pages>
  <Words>2787</Words>
  <Characters>15886</Characters>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2021-07-23T08:48:00Z</dcterms:created>
  <dcterms:modified xsi:type="dcterms:W3CDTF">2021-07-26T14:51:00Z</dcterms:modified>
</cp:coreProperties>
</file>