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gif" ContentType="image/gif"/>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0A06670" w:rsidP="58D114AA" w:rsidRDefault="70A06670" w14:paraId="141DC5F5" w14:textId="2676FF7A">
      <w:pPr>
        <w:pStyle w:val="Heading2"/>
        <w:spacing w:before="299" w:beforeAutospacing="off" w:after="299" w:afterAutospacing="off" w:line="360" w:lineRule="auto"/>
        <w:jc w:val="center"/>
        <w:rPr>
          <w:rFonts w:ascii="Arial" w:hAnsi="Arial" w:eastAsia="Arial" w:cs="Arial"/>
          <w:b w:val="1"/>
          <w:bCs w:val="1"/>
          <w:noProof w:val="0"/>
          <w:color w:val="auto"/>
          <w:sz w:val="22"/>
          <w:szCs w:val="22"/>
          <w:lang w:val="en-GB"/>
        </w:rPr>
      </w:pPr>
      <w:r w:rsidRPr="58D114AA" w:rsidR="70A06670">
        <w:rPr>
          <w:rFonts w:ascii="Arial" w:hAnsi="Arial" w:eastAsia="Arial" w:cs="Arial"/>
          <w:b w:val="1"/>
          <w:bCs w:val="1"/>
          <w:noProof w:val="0"/>
          <w:color w:val="auto"/>
          <w:sz w:val="22"/>
          <w:szCs w:val="22"/>
          <w:lang w:val="en-GB"/>
        </w:rPr>
        <w:t xml:space="preserve">Blog 1 </w:t>
      </w:r>
    </w:p>
    <w:p w:rsidR="70A06670" w:rsidP="58D114AA" w:rsidRDefault="70A06670" w14:paraId="4884BCFD" w14:textId="30FBBD02">
      <w:pPr>
        <w:pStyle w:val="Heading2"/>
        <w:spacing w:before="299" w:beforeAutospacing="off" w:after="299" w:afterAutospacing="off" w:line="360" w:lineRule="auto"/>
        <w:jc w:val="center"/>
        <w:rPr>
          <w:rFonts w:ascii="Arial" w:hAnsi="Arial" w:eastAsia="Arial" w:cs="Arial"/>
          <w:b w:val="1"/>
          <w:bCs w:val="1"/>
          <w:noProof w:val="0"/>
          <w:color w:val="auto"/>
          <w:sz w:val="22"/>
          <w:szCs w:val="22"/>
          <w:lang w:val="en-GB"/>
        </w:rPr>
      </w:pPr>
      <w:r w:rsidRPr="58D114AA" w:rsidR="70A06670">
        <w:rPr>
          <w:rFonts w:ascii="Arial" w:hAnsi="Arial" w:eastAsia="Arial" w:cs="Arial"/>
          <w:b w:val="1"/>
          <w:bCs w:val="1"/>
          <w:noProof w:val="0"/>
          <w:color w:val="auto"/>
          <w:sz w:val="22"/>
          <w:szCs w:val="22"/>
          <w:lang w:val="en-GB"/>
        </w:rPr>
        <w:t>The Impact of Wearable Technology (Fitbit) on Obesity Health Promotion</w:t>
      </w:r>
    </w:p>
    <w:p w:rsidR="70A06670" w:rsidP="58D114AA" w:rsidRDefault="70A06670" w14:paraId="3C3E4040" w14:textId="67193461">
      <w:pPr>
        <w:pStyle w:val="Heading3"/>
        <w:spacing w:before="281" w:beforeAutospacing="off" w:after="281" w:afterAutospacing="off" w:line="360" w:lineRule="auto"/>
        <w:rPr>
          <w:rFonts w:ascii="Arial" w:hAnsi="Arial" w:eastAsia="Arial" w:cs="Arial"/>
          <w:b w:val="1"/>
          <w:bCs w:val="1"/>
          <w:noProof w:val="0"/>
          <w:color w:val="auto"/>
          <w:sz w:val="22"/>
          <w:szCs w:val="22"/>
          <w:lang w:val="en-GB"/>
        </w:rPr>
      </w:pPr>
      <w:r w:rsidRPr="58D114AA" w:rsidR="70A06670">
        <w:rPr>
          <w:rFonts w:ascii="Arial" w:hAnsi="Arial" w:eastAsia="Arial" w:cs="Arial"/>
          <w:b w:val="1"/>
          <w:bCs w:val="1"/>
          <w:noProof w:val="0"/>
          <w:color w:val="auto"/>
          <w:sz w:val="22"/>
          <w:szCs w:val="22"/>
          <w:lang w:val="en-GB"/>
        </w:rPr>
        <w:t>Introduction</w:t>
      </w:r>
    </w:p>
    <w:p w:rsidR="70A06670" w:rsidP="58D114AA" w:rsidRDefault="70A06670" w14:paraId="6B340786" w14:textId="0FCC5F0C">
      <w:pPr>
        <w:pStyle w:val="Heading3"/>
        <w:spacing w:before="281" w:beforeAutospacing="off" w:after="281" w:afterAutospacing="off" w:line="360" w:lineRule="auto"/>
        <w:jc w:val="both"/>
        <w:rPr>
          <w:rFonts w:ascii="Arial" w:hAnsi="Arial" w:eastAsia="Arial" w:cs="Arial"/>
          <w:noProof w:val="0"/>
          <w:color w:val="auto"/>
          <w:sz w:val="22"/>
          <w:szCs w:val="22"/>
          <w:lang w:val="en-GB"/>
        </w:rPr>
      </w:pPr>
      <w:r w:rsidRPr="58D114AA" w:rsidR="70A06670">
        <w:rPr>
          <w:rFonts w:ascii="Arial" w:hAnsi="Arial" w:eastAsia="Arial" w:cs="Arial"/>
          <w:noProof w:val="0"/>
          <w:color w:val="auto"/>
          <w:sz w:val="22"/>
          <w:szCs w:val="22"/>
          <w:lang w:val="en-GB"/>
        </w:rPr>
        <w:t>Obesity</w:t>
      </w:r>
      <w:r w:rsidRPr="58D114AA" w:rsidR="70A06670">
        <w:rPr>
          <w:rFonts w:ascii="Arial" w:hAnsi="Arial" w:eastAsia="Arial" w:cs="Arial"/>
          <w:noProof w:val="0"/>
          <w:color w:val="auto"/>
          <w:sz w:val="22"/>
          <w:szCs w:val="22"/>
          <w:lang w:val="en-GB"/>
        </w:rPr>
        <w:t xml:space="preserve"> is a major public health problem characterised by excess body fat, increasing the risk of type 2 diabetes, cardiovascular disease, and metabolic syndrome. Global obesity prevalence has risen over recent decades, with physical inactivity as a key contributing factor. Digital health technologies, especially wearable activity trackers like Fitbit, have become important tools for supporting self-monitoring and behaviour change. This blog critically examines the impact of Fitbit in promoting healthy behaviours and addressing obesity.</w:t>
      </w:r>
    </w:p>
    <w:p w:rsidR="31A8C30A" w:rsidP="58D114AA" w:rsidRDefault="31A8C30A" w14:paraId="1F9634DA" w14:textId="63A08619">
      <w:pPr>
        <w:pStyle w:val="Normal"/>
        <w:jc w:val="center"/>
        <w:rPr>
          <w:rFonts w:ascii="Arial" w:hAnsi="Arial" w:eastAsia="Arial" w:cs="Arial"/>
          <w:noProof w:val="0"/>
          <w:lang w:val="en-GB"/>
        </w:rPr>
      </w:pPr>
      <w:r w:rsidR="31A8C30A">
        <w:drawing>
          <wp:inline wp14:editId="55FC9052" wp14:anchorId="1E38A0FC">
            <wp:extent cx="3109618" cy="1257300"/>
            <wp:effectExtent l="0" t="0" r="0" b="0"/>
            <wp:docPr id="1158005490" name="drawing" descr="Weighty Matters: October 2016"/>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58005490" name="Picture 1158005490"/>
                    <pic:cNvPicPr/>
                  </pic:nvPicPr>
                  <pic:blipFill>
                    <a:blip xmlns:r="http://schemas.openxmlformats.org/officeDocument/2006/relationships" r:embed="rId2068148396">
                      <a:extLst>
                        <a:ext uri="{28A0092B-C50C-407E-A947-70E740481C1C}">
                          <a14:useLocalDpi xmlns:a14="http://schemas.microsoft.com/office/drawing/2010/main"/>
                        </a:ext>
                      </a:extLst>
                    </a:blip>
                    <a:stretch>
                      <a:fillRect/>
                    </a:stretch>
                  </pic:blipFill>
                  <pic:spPr>
                    <a:xfrm rot="0">
                      <a:off x="0" y="0"/>
                      <a:ext cx="3109618" cy="1257300"/>
                    </a:xfrm>
                    <a:prstGeom prst="rect">
                      <a:avLst/>
                    </a:prstGeom>
                  </pic:spPr>
                </pic:pic>
              </a:graphicData>
            </a:graphic>
          </wp:inline>
        </w:drawing>
      </w:r>
    </w:p>
    <w:p w:rsidR="09202BF2" w:rsidP="58D114AA" w:rsidRDefault="09202BF2" w14:paraId="580E2203" w14:textId="47264947">
      <w:pPr>
        <w:pStyle w:val="Normal"/>
        <w:jc w:val="center"/>
        <w:rPr>
          <w:rFonts w:ascii="Arial" w:hAnsi="Arial" w:eastAsia="Arial" w:cs="Arial"/>
          <w:b w:val="1"/>
          <w:bCs w:val="1"/>
          <w:noProof w:val="0"/>
          <w:sz w:val="16"/>
          <w:szCs w:val="16"/>
          <w:lang w:val="en-GB"/>
        </w:rPr>
      </w:pPr>
      <w:r w:rsidRPr="58D114AA" w:rsidR="09202BF2">
        <w:rPr>
          <w:rFonts w:ascii="Arial" w:hAnsi="Arial" w:eastAsia="Arial" w:cs="Arial"/>
          <w:b w:val="1"/>
          <w:bCs w:val="1"/>
          <w:noProof w:val="0"/>
          <w:sz w:val="16"/>
          <w:szCs w:val="16"/>
          <w:lang w:val="en-GB"/>
        </w:rPr>
        <w:t>Figure 1. Fitbit wearable activity tracker in use.</w:t>
      </w:r>
    </w:p>
    <w:p w:rsidR="70A06670" w:rsidP="58D114AA" w:rsidRDefault="70A06670" w14:paraId="66CA2A53" w14:textId="5BF2B146">
      <w:pPr>
        <w:pStyle w:val="Normal"/>
        <w:jc w:val="left"/>
        <w:rPr>
          <w:rFonts w:ascii="Arial" w:hAnsi="Arial" w:eastAsia="Arial" w:cs="Arial"/>
          <w:b w:val="1"/>
          <w:bCs w:val="1"/>
          <w:noProof w:val="0"/>
          <w:color w:val="auto"/>
          <w:sz w:val="22"/>
          <w:szCs w:val="22"/>
          <w:lang w:val="en-GB"/>
        </w:rPr>
      </w:pPr>
      <w:r w:rsidRPr="58D114AA" w:rsidR="70A06670">
        <w:rPr>
          <w:rFonts w:ascii="Arial" w:hAnsi="Arial" w:eastAsia="Arial" w:cs="Arial"/>
          <w:b w:val="1"/>
          <w:bCs w:val="1"/>
          <w:noProof w:val="0"/>
          <w:color w:val="auto"/>
          <w:sz w:val="22"/>
          <w:szCs w:val="22"/>
          <w:lang w:val="en-GB"/>
        </w:rPr>
        <w:t>Public Health Problem</w:t>
      </w:r>
    </w:p>
    <w:p w:rsidR="70A06670" w:rsidP="58D114AA" w:rsidRDefault="70A06670" w14:paraId="36BE2C49" w14:textId="2226C80A">
      <w:pPr>
        <w:spacing w:before="240" w:beforeAutospacing="off" w:after="240" w:afterAutospacing="off" w:line="360" w:lineRule="auto"/>
        <w:jc w:val="both"/>
        <w:rPr>
          <w:rFonts w:ascii="Arial" w:hAnsi="Arial" w:eastAsia="Arial" w:cs="Arial"/>
          <w:noProof w:val="0"/>
          <w:color w:val="auto"/>
          <w:sz w:val="22"/>
          <w:szCs w:val="22"/>
          <w:lang w:val="en-GB"/>
        </w:rPr>
      </w:pPr>
      <w:r w:rsidRPr="58D114AA" w:rsidR="70A06670">
        <w:rPr>
          <w:rFonts w:ascii="Arial" w:hAnsi="Arial" w:eastAsia="Arial" w:cs="Arial"/>
          <w:noProof w:val="0"/>
          <w:color w:val="auto"/>
          <w:sz w:val="22"/>
          <w:szCs w:val="22"/>
          <w:lang w:val="en-GB"/>
        </w:rPr>
        <w:t xml:space="preserve">Obesity prevalence continues to rise worldwide, affecting both adults and children. Physical inactivity significantly contributes to obesity, making increased activity central to weight management. Digital technologies that </w:t>
      </w:r>
      <w:r w:rsidRPr="58D114AA" w:rsidR="70A06670">
        <w:rPr>
          <w:rFonts w:ascii="Arial" w:hAnsi="Arial" w:eastAsia="Arial" w:cs="Arial"/>
          <w:noProof w:val="0"/>
          <w:color w:val="auto"/>
          <w:sz w:val="22"/>
          <w:szCs w:val="22"/>
          <w:lang w:val="en-GB"/>
        </w:rPr>
        <w:t>monitor</w:t>
      </w:r>
      <w:r w:rsidRPr="58D114AA" w:rsidR="70A06670">
        <w:rPr>
          <w:rFonts w:ascii="Arial" w:hAnsi="Arial" w:eastAsia="Arial" w:cs="Arial"/>
          <w:noProof w:val="0"/>
          <w:color w:val="auto"/>
          <w:sz w:val="22"/>
          <w:szCs w:val="22"/>
          <w:lang w:val="en-GB"/>
        </w:rPr>
        <w:t xml:space="preserve"> activity offer real-time feedback, encouraging users to self-regulate their behaviours and increase daily physical activity</w:t>
      </w:r>
      <w:r w:rsidRPr="58D114AA" w:rsidR="55BD2BD4">
        <w:rPr>
          <w:rFonts w:ascii="Arial" w:hAnsi="Arial" w:eastAsia="Arial" w:cs="Arial"/>
          <w:noProof w:val="0"/>
          <w:color w:val="auto"/>
          <w:sz w:val="22"/>
          <w:szCs w:val="22"/>
          <w:lang w:val="en-GB"/>
        </w:rPr>
        <w:t>.</w:t>
      </w:r>
    </w:p>
    <w:p w:rsidR="5CE28C4F" w:rsidP="58D114AA" w:rsidRDefault="5CE28C4F" w14:paraId="7FC92C62" w14:textId="7A32130B">
      <w:pPr>
        <w:spacing w:before="240" w:beforeAutospacing="off" w:after="240" w:afterAutospacing="off" w:line="360" w:lineRule="auto"/>
        <w:jc w:val="center"/>
        <w:rPr>
          <w:rFonts w:ascii="Arial" w:hAnsi="Arial" w:eastAsia="Arial" w:cs="Arial"/>
          <w:noProof w:val="0"/>
          <w:color w:val="000000" w:themeColor="text1" w:themeTint="FF" w:themeShade="FF"/>
          <w:sz w:val="16"/>
          <w:szCs w:val="16"/>
          <w:lang w:val="en-GB"/>
        </w:rPr>
      </w:pPr>
      <w:r w:rsidR="5CE28C4F">
        <w:drawing>
          <wp:inline wp14:editId="5AC87922" wp14:anchorId="64F968FD">
            <wp:extent cx="2988211" cy="1582737"/>
            <wp:effectExtent l="0" t="0" r="0" b="0"/>
            <wp:docPr id="1771461103" name="drawing" descr="Frontiers | Diabetes and Sarcopenic Obesity: Pathogenesis, Diagnosis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1461103" name="Picture 1771461103"/>
                    <pic:cNvPicPr/>
                  </pic:nvPicPr>
                  <pic:blipFill>
                    <a:blip xmlns:r="http://schemas.openxmlformats.org/officeDocument/2006/relationships" r:embed="rId515728581">
                      <a:extLst>
                        <a:ext uri="{28A0092B-C50C-407E-A947-70E740481C1C}">
                          <a14:useLocalDpi xmlns:a14="http://schemas.microsoft.com/office/drawing/2010/main"/>
                        </a:ext>
                      </a:extLst>
                    </a:blip>
                    <a:stretch>
                      <a:fillRect/>
                    </a:stretch>
                  </pic:blipFill>
                  <pic:spPr>
                    <a:xfrm rot="0">
                      <a:off x="0" y="0"/>
                      <a:ext cx="2988211" cy="1582737"/>
                    </a:xfrm>
                    <a:prstGeom prst="rect">
                      <a:avLst/>
                    </a:prstGeom>
                  </pic:spPr>
                </pic:pic>
              </a:graphicData>
            </a:graphic>
          </wp:inline>
        </w:drawing>
      </w:r>
      <w:r w:rsidRPr="58D114AA" w:rsidR="6343519C">
        <w:rPr>
          <w:rFonts w:ascii="Arial" w:hAnsi="Arial" w:eastAsia="Arial" w:cs="Arial"/>
          <w:b w:val="1"/>
          <w:bCs w:val="1"/>
          <w:i w:val="1"/>
          <w:iCs w:val="1"/>
          <w:noProof w:val="0"/>
          <w:color w:val="000000" w:themeColor="text1" w:themeTint="FF" w:themeShade="FF"/>
          <w:sz w:val="16"/>
          <w:szCs w:val="16"/>
          <w:lang w:val="en-GB"/>
        </w:rPr>
        <w:t xml:space="preserve">  </w:t>
      </w:r>
      <w:r w:rsidRPr="58D114AA" w:rsidR="5867E527">
        <w:rPr>
          <w:rFonts w:ascii="Arial" w:hAnsi="Arial" w:eastAsia="Arial" w:cs="Arial"/>
          <w:b w:val="1"/>
          <w:bCs w:val="1"/>
          <w:i w:val="1"/>
          <w:iCs w:val="1"/>
          <w:noProof w:val="0"/>
          <w:color w:val="000000" w:themeColor="text1" w:themeTint="FF" w:themeShade="FF"/>
          <w:sz w:val="16"/>
          <w:szCs w:val="16"/>
          <w:lang w:val="en-GB"/>
        </w:rPr>
        <w:t>(Wang et al., 2020)</w:t>
      </w:r>
    </w:p>
    <w:p w:rsidR="70A06670" w:rsidP="58D114AA" w:rsidRDefault="70A06670" w14:paraId="4B18621F" w14:textId="1F096ABE">
      <w:pPr>
        <w:pStyle w:val="Heading3"/>
        <w:spacing w:before="281" w:beforeAutospacing="off" w:after="281" w:afterAutospacing="off" w:line="360" w:lineRule="auto"/>
        <w:rPr>
          <w:rFonts w:ascii="Arial" w:hAnsi="Arial" w:eastAsia="Arial" w:cs="Arial"/>
          <w:b w:val="1"/>
          <w:bCs w:val="1"/>
          <w:noProof w:val="0"/>
          <w:color w:val="auto"/>
          <w:sz w:val="22"/>
          <w:szCs w:val="22"/>
          <w:lang w:val="en-GB"/>
        </w:rPr>
      </w:pPr>
      <w:r w:rsidRPr="58D114AA" w:rsidR="70A06670">
        <w:rPr>
          <w:rFonts w:ascii="Arial" w:hAnsi="Arial" w:eastAsia="Arial" w:cs="Arial"/>
          <w:b w:val="1"/>
          <w:bCs w:val="1"/>
          <w:noProof w:val="0"/>
          <w:color w:val="auto"/>
          <w:sz w:val="22"/>
          <w:szCs w:val="22"/>
          <w:lang w:val="en-GB"/>
        </w:rPr>
        <w:t>Wearable Technology in Health Promotion</w:t>
      </w:r>
    </w:p>
    <w:p w:rsidR="70A06670" w:rsidP="58D114AA" w:rsidRDefault="70A06670" w14:paraId="6366D8B9" w14:textId="7173148D">
      <w:pPr>
        <w:spacing w:before="240" w:beforeAutospacing="off" w:after="240" w:afterAutospacing="off" w:line="360" w:lineRule="auto"/>
        <w:jc w:val="both"/>
        <w:rPr>
          <w:rFonts w:ascii="Arial" w:hAnsi="Arial" w:eastAsia="Arial" w:cs="Arial"/>
          <w:noProof w:val="0"/>
          <w:color w:val="auto"/>
          <w:sz w:val="22"/>
          <w:szCs w:val="22"/>
          <w:lang w:val="en-GB"/>
        </w:rPr>
      </w:pPr>
      <w:r w:rsidRPr="58D114AA" w:rsidR="70A06670">
        <w:rPr>
          <w:rFonts w:ascii="Arial" w:hAnsi="Arial" w:eastAsia="Arial" w:cs="Arial"/>
          <w:noProof w:val="0"/>
          <w:color w:val="auto"/>
          <w:sz w:val="22"/>
          <w:szCs w:val="22"/>
          <w:lang w:val="en-GB"/>
        </w:rPr>
        <w:t xml:space="preserve">Fitbit devices use accelerometers and sensors to track steps, energy expenditure, and active minutes, </w:t>
      </w:r>
      <w:r w:rsidRPr="58D114AA" w:rsidR="70A06670">
        <w:rPr>
          <w:rFonts w:ascii="Arial" w:hAnsi="Arial" w:eastAsia="Arial" w:cs="Arial"/>
          <w:noProof w:val="0"/>
          <w:color w:val="auto"/>
          <w:sz w:val="22"/>
          <w:szCs w:val="22"/>
          <w:lang w:val="en-GB"/>
        </w:rPr>
        <w:t>syncing</w:t>
      </w:r>
      <w:r w:rsidRPr="58D114AA" w:rsidR="70A06670">
        <w:rPr>
          <w:rFonts w:ascii="Arial" w:hAnsi="Arial" w:eastAsia="Arial" w:cs="Arial"/>
          <w:noProof w:val="0"/>
          <w:color w:val="auto"/>
          <w:sz w:val="22"/>
          <w:szCs w:val="22"/>
          <w:lang w:val="en-GB"/>
        </w:rPr>
        <w:t xml:space="preserve"> with smartphone apps for personalised feedback, </w:t>
      </w:r>
      <w:r w:rsidRPr="58D114AA" w:rsidR="5CA4344A">
        <w:rPr>
          <w:rFonts w:ascii="Arial" w:hAnsi="Arial" w:eastAsia="Arial" w:cs="Arial"/>
          <w:noProof w:val="0"/>
          <w:color w:val="auto"/>
          <w:sz w:val="22"/>
          <w:szCs w:val="22"/>
          <w:lang w:val="en-GB"/>
        </w:rPr>
        <w:t>goal setting</w:t>
      </w:r>
      <w:r w:rsidRPr="58D114AA" w:rsidR="70A06670">
        <w:rPr>
          <w:rFonts w:ascii="Arial" w:hAnsi="Arial" w:eastAsia="Arial" w:cs="Arial"/>
          <w:noProof w:val="0"/>
          <w:color w:val="auto"/>
          <w:sz w:val="22"/>
          <w:szCs w:val="22"/>
          <w:lang w:val="en-GB"/>
        </w:rPr>
        <w:t xml:space="preserve">, and reminders. Behaviour </w:t>
      </w:r>
      <w:r w:rsidRPr="58D114AA" w:rsidR="37EA2ECD">
        <w:rPr>
          <w:rFonts w:ascii="Arial" w:hAnsi="Arial" w:eastAsia="Arial" w:cs="Arial"/>
          <w:noProof w:val="0"/>
          <w:color w:val="auto"/>
          <w:sz w:val="22"/>
          <w:szCs w:val="22"/>
          <w:lang w:val="en-GB"/>
        </w:rPr>
        <w:t>changes</w:t>
      </w:r>
      <w:r w:rsidRPr="58D114AA" w:rsidR="70A06670">
        <w:rPr>
          <w:rFonts w:ascii="Arial" w:hAnsi="Arial" w:eastAsia="Arial" w:cs="Arial"/>
          <w:noProof w:val="0"/>
          <w:color w:val="auto"/>
          <w:sz w:val="22"/>
          <w:szCs w:val="22"/>
          <w:lang w:val="en-GB"/>
        </w:rPr>
        <w:t xml:space="preserve"> techniques embedded in these systems</w:t>
      </w:r>
      <w:r w:rsidRPr="58D114AA" w:rsidR="750655CF">
        <w:rPr>
          <w:rFonts w:ascii="Arial" w:hAnsi="Arial" w:eastAsia="Arial" w:cs="Arial"/>
          <w:noProof w:val="0"/>
          <w:color w:val="auto"/>
          <w:sz w:val="22"/>
          <w:szCs w:val="22"/>
          <w:lang w:val="en-GB"/>
        </w:rPr>
        <w:t xml:space="preserve"> </w:t>
      </w:r>
      <w:r w:rsidRPr="58D114AA" w:rsidR="70A06670">
        <w:rPr>
          <w:rFonts w:ascii="Arial" w:hAnsi="Arial" w:eastAsia="Arial" w:cs="Arial"/>
          <w:noProof w:val="0"/>
          <w:color w:val="auto"/>
          <w:sz w:val="22"/>
          <w:szCs w:val="22"/>
          <w:lang w:val="en-GB"/>
        </w:rPr>
        <w:t xml:space="preserve">self-monitoring, feedback, and </w:t>
      </w:r>
      <w:r w:rsidRPr="58D114AA" w:rsidR="014B4D62">
        <w:rPr>
          <w:rFonts w:ascii="Arial" w:hAnsi="Arial" w:eastAsia="Arial" w:cs="Arial"/>
          <w:noProof w:val="0"/>
          <w:color w:val="auto"/>
          <w:sz w:val="22"/>
          <w:szCs w:val="22"/>
          <w:lang w:val="en-GB"/>
        </w:rPr>
        <w:t xml:space="preserve">goal setting </w:t>
      </w:r>
      <w:r w:rsidRPr="58D114AA" w:rsidR="70A06670">
        <w:rPr>
          <w:rFonts w:ascii="Arial" w:hAnsi="Arial" w:eastAsia="Arial" w:cs="Arial"/>
          <w:noProof w:val="0"/>
          <w:color w:val="auto"/>
          <w:sz w:val="22"/>
          <w:szCs w:val="22"/>
          <w:lang w:val="en-GB"/>
        </w:rPr>
        <w:t>align with behaviour change theories, promoting engagement and supporting sustained healthy behaviours.</w:t>
      </w:r>
    </w:p>
    <w:p w:rsidR="0205AF1C" w:rsidP="58D114AA" w:rsidRDefault="0205AF1C" w14:paraId="14238925" w14:textId="7187DC71">
      <w:pPr>
        <w:pStyle w:val="Normal"/>
        <w:spacing w:before="240" w:beforeAutospacing="off" w:after="240" w:afterAutospacing="off" w:line="360" w:lineRule="auto"/>
        <w:jc w:val="center"/>
        <w:rPr>
          <w:rFonts w:ascii="Arial" w:hAnsi="Arial" w:eastAsia="Arial" w:cs="Arial"/>
          <w:noProof w:val="0"/>
          <w:sz w:val="16"/>
          <w:szCs w:val="16"/>
          <w:lang w:val="en-GB"/>
        </w:rPr>
      </w:pPr>
      <w:r w:rsidR="0205AF1C">
        <w:drawing>
          <wp:inline wp14:editId="05EC0597" wp14:anchorId="4B3F3E0F">
            <wp:extent cx="1458636" cy="1076325"/>
            <wp:effectExtent l="0" t="0" r="0" b="0"/>
            <wp:docPr id="2003969687" name="drawing" descr="Therapeutic Orientations | Noba"/>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03969687" name="Picture 2003969687"/>
                    <pic:cNvPicPr/>
                  </pic:nvPicPr>
                  <pic:blipFill>
                    <a:blip xmlns:r="http://schemas.openxmlformats.org/officeDocument/2006/relationships" r:embed="rId1918626350">
                      <a:extLst>
                        <a:ext uri="{28A0092B-C50C-407E-A947-70E740481C1C}">
                          <a14:useLocalDpi xmlns:a14="http://schemas.microsoft.com/office/drawing/2010/main"/>
                        </a:ext>
                      </a:extLst>
                    </a:blip>
                    <a:stretch>
                      <a:fillRect/>
                    </a:stretch>
                  </pic:blipFill>
                  <pic:spPr>
                    <a:xfrm rot="0">
                      <a:off x="0" y="0"/>
                      <a:ext cx="1458636" cy="1076325"/>
                    </a:xfrm>
                    <a:prstGeom prst="rect">
                      <a:avLst/>
                    </a:prstGeom>
                  </pic:spPr>
                </pic:pic>
              </a:graphicData>
            </a:graphic>
          </wp:inline>
        </w:drawing>
      </w:r>
    </w:p>
    <w:p w:rsidR="4DBADF2A" w:rsidP="58D114AA" w:rsidRDefault="4DBADF2A" w14:paraId="234DDA74" w14:textId="2264754D">
      <w:pPr>
        <w:pStyle w:val="Normal"/>
        <w:spacing w:before="240" w:beforeAutospacing="off" w:after="240" w:afterAutospacing="off" w:line="360" w:lineRule="auto"/>
        <w:jc w:val="center"/>
        <w:rPr>
          <w:rFonts w:ascii="Arial" w:hAnsi="Arial" w:eastAsia="Arial" w:cs="Arial"/>
          <w:b w:val="1"/>
          <w:bCs w:val="1"/>
          <w:i w:val="1"/>
          <w:iCs w:val="1"/>
          <w:noProof w:val="0"/>
          <w:sz w:val="16"/>
          <w:szCs w:val="16"/>
          <w:lang w:val="en-GB"/>
        </w:rPr>
      </w:pPr>
      <w:r w:rsidRPr="58D114AA" w:rsidR="4DBADF2A">
        <w:rPr>
          <w:rFonts w:ascii="Arial" w:hAnsi="Arial" w:eastAsia="Arial" w:cs="Arial"/>
          <w:b w:val="1"/>
          <w:bCs w:val="1"/>
          <w:i w:val="1"/>
          <w:iCs w:val="1"/>
          <w:noProof w:val="0"/>
          <w:sz w:val="16"/>
          <w:szCs w:val="16"/>
          <w:lang w:val="en-GB"/>
        </w:rPr>
        <w:t xml:space="preserve">Figure </w:t>
      </w:r>
      <w:r w:rsidRPr="58D114AA" w:rsidR="2E08EF97">
        <w:rPr>
          <w:rFonts w:ascii="Arial" w:hAnsi="Arial" w:eastAsia="Arial" w:cs="Arial"/>
          <w:b w:val="1"/>
          <w:bCs w:val="1"/>
          <w:i w:val="1"/>
          <w:iCs w:val="1"/>
          <w:noProof w:val="0"/>
          <w:sz w:val="16"/>
          <w:szCs w:val="16"/>
          <w:lang w:val="en-GB"/>
        </w:rPr>
        <w:t>2</w:t>
      </w:r>
      <w:r w:rsidRPr="58D114AA" w:rsidR="4DBADF2A">
        <w:rPr>
          <w:rFonts w:ascii="Arial" w:hAnsi="Arial" w:eastAsia="Arial" w:cs="Arial"/>
          <w:b w:val="1"/>
          <w:bCs w:val="1"/>
          <w:i w:val="1"/>
          <w:iCs w:val="1"/>
          <w:noProof w:val="0"/>
          <w:sz w:val="16"/>
          <w:szCs w:val="16"/>
          <w:lang w:val="en-GB"/>
        </w:rPr>
        <w:t>. Fitbit wearable technology supporting behaviour change and physical activity.</w:t>
      </w:r>
    </w:p>
    <w:p w:rsidR="7FE0D9C9" w:rsidP="58D114AA" w:rsidRDefault="7FE0D9C9" w14:paraId="0DD24FAD" w14:textId="1D866244">
      <w:pPr>
        <w:pStyle w:val="Normal"/>
        <w:spacing w:before="240" w:beforeAutospacing="off" w:after="240" w:afterAutospacing="off" w:line="360" w:lineRule="auto"/>
        <w:jc w:val="both"/>
        <w:rPr>
          <w:rFonts w:ascii="Arial" w:hAnsi="Arial" w:eastAsia="Arial" w:cs="Arial"/>
          <w:noProof w:val="0"/>
          <w:color w:val="auto"/>
          <w:sz w:val="22"/>
          <w:szCs w:val="22"/>
          <w:lang w:val="en-GB"/>
        </w:rPr>
      </w:pPr>
      <w:r w:rsidRPr="58D114AA" w:rsidR="7FE0D9C9">
        <w:rPr>
          <w:rFonts w:ascii="Arial" w:hAnsi="Arial" w:eastAsia="Arial" w:cs="Arial"/>
          <w:b w:val="1"/>
          <w:bCs w:val="1"/>
          <w:noProof w:val="0"/>
          <w:color w:val="auto"/>
          <w:sz w:val="22"/>
          <w:szCs w:val="22"/>
          <w:lang w:val="en-GB"/>
        </w:rPr>
        <w:t>Evidence of Effectiveness</w:t>
      </w:r>
    </w:p>
    <w:p w:rsidR="7FE0D9C9" w:rsidP="58D114AA" w:rsidRDefault="7FE0D9C9" w14:paraId="64A9D863" w14:textId="2CB3128F">
      <w:pPr>
        <w:spacing w:before="240" w:beforeAutospacing="off" w:after="240" w:afterAutospacing="off" w:line="360" w:lineRule="auto"/>
        <w:jc w:val="both"/>
        <w:rPr>
          <w:rFonts w:ascii="Arial" w:hAnsi="Arial" w:eastAsia="Arial" w:cs="Arial"/>
          <w:noProof w:val="0"/>
          <w:color w:val="auto"/>
          <w:sz w:val="22"/>
          <w:szCs w:val="22"/>
          <w:lang w:val="en-GB"/>
        </w:rPr>
      </w:pPr>
      <w:r w:rsidRPr="58D114AA" w:rsidR="7FE0D9C9">
        <w:rPr>
          <w:rFonts w:ascii="Arial" w:hAnsi="Arial" w:eastAsia="Arial" w:cs="Arial"/>
          <w:noProof w:val="0"/>
          <w:color w:val="auto"/>
          <w:sz w:val="22"/>
          <w:szCs w:val="22"/>
          <w:lang w:val="en-GB"/>
        </w:rPr>
        <w:t xml:space="preserve">Systematic reviews and meta-analyses show wearable devices can improve weight and activity outcomes. A meta-analysis of 19 RCTs reported significant reductions in weight, BMI, and waist circumference with wearable interventions, especially after 12 weeks (Yen &amp; Chiu, 2019). Network meta-analyses confirm weight and BMI reductions among adults using wearable programmes (McDonough et al., 2021). Evidence also supports efficacy in children and adolescents (Wang et al., 2022). Trials in women with overweight or obesity </w:t>
      </w:r>
      <w:r w:rsidRPr="58D114AA" w:rsidR="7FE0D9C9">
        <w:rPr>
          <w:rFonts w:ascii="Arial" w:hAnsi="Arial" w:eastAsia="Arial" w:cs="Arial"/>
          <w:noProof w:val="0"/>
          <w:color w:val="auto"/>
          <w:sz w:val="22"/>
          <w:szCs w:val="22"/>
          <w:lang w:val="en-GB"/>
        </w:rPr>
        <w:t>indicate</w:t>
      </w:r>
      <w:r w:rsidRPr="58D114AA" w:rsidR="7FE0D9C9">
        <w:rPr>
          <w:rFonts w:ascii="Arial" w:hAnsi="Arial" w:eastAsia="Arial" w:cs="Arial"/>
          <w:noProof w:val="0"/>
          <w:color w:val="auto"/>
          <w:sz w:val="22"/>
          <w:szCs w:val="22"/>
          <w:lang w:val="en-GB"/>
        </w:rPr>
        <w:t xml:space="preserve"> increased walking and improved </w:t>
      </w:r>
      <w:r w:rsidRPr="58D114AA" w:rsidR="7FE0D9C9">
        <w:rPr>
          <w:rFonts w:ascii="Arial" w:hAnsi="Arial" w:eastAsia="Arial" w:cs="Arial"/>
          <w:noProof w:val="0"/>
          <w:color w:val="auto"/>
          <w:sz w:val="22"/>
          <w:szCs w:val="22"/>
          <w:lang w:val="en-GB"/>
        </w:rPr>
        <w:t>perceptions</w:t>
      </w:r>
      <w:r w:rsidRPr="58D114AA" w:rsidR="7FE0D9C9">
        <w:rPr>
          <w:rFonts w:ascii="Arial" w:hAnsi="Arial" w:eastAsia="Arial" w:cs="Arial"/>
          <w:noProof w:val="0"/>
          <w:color w:val="auto"/>
          <w:sz w:val="22"/>
          <w:szCs w:val="22"/>
          <w:lang w:val="en-GB"/>
        </w:rPr>
        <w:t xml:space="preserve"> of physical competence (Black et al., 2021). Reviews additionally report positive changes in BMI, waist circumference, and blood pressure alongside wearable-facilitated lifestyle interventions (Wong et al., 2022).</w:t>
      </w:r>
    </w:p>
    <w:p w:rsidR="245274E0" w:rsidP="58D114AA" w:rsidRDefault="245274E0" w14:paraId="1F51A183" w14:textId="65729F51">
      <w:pPr>
        <w:pStyle w:val="Normal"/>
        <w:spacing w:before="240" w:beforeAutospacing="off" w:after="240" w:afterAutospacing="off" w:line="360" w:lineRule="auto"/>
        <w:jc w:val="center"/>
        <w:rPr>
          <w:rFonts w:ascii="Arial" w:hAnsi="Arial" w:eastAsia="Arial" w:cs="Arial"/>
          <w:b w:val="1"/>
          <w:bCs w:val="1"/>
          <w:i w:val="1"/>
          <w:iCs w:val="1"/>
          <w:noProof w:val="0"/>
          <w:sz w:val="16"/>
          <w:szCs w:val="16"/>
          <w:lang w:val="en-GB"/>
        </w:rPr>
      </w:pPr>
      <w:r w:rsidR="245274E0">
        <w:drawing>
          <wp:inline wp14:editId="3C2E2E5A" wp14:anchorId="5B3F2867">
            <wp:extent cx="1964302" cy="1578633"/>
            <wp:effectExtent l="0" t="0" r="0" b="0"/>
            <wp:docPr id="1158480889" name="drawing" descr="Obesity - Definitions &amp; Some Data - Obesity: Topic Guide to Sources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3625602" name="Picture 613625602"/>
                    <pic:cNvPicPr/>
                  </pic:nvPicPr>
                  <pic:blipFill>
                    <a:blip xmlns:r="http://schemas.openxmlformats.org/officeDocument/2006/relationships" r:embed="rId830340222">
                      <a:extLst>
                        <a:ext uri="{28A0092B-C50C-407E-A947-70E740481C1C}">
                          <a14:useLocalDpi xmlns:a14="http://schemas.microsoft.com/office/drawing/2010/main"/>
                        </a:ext>
                      </a:extLst>
                    </a:blip>
                    <a:stretch>
                      <a:fillRect/>
                    </a:stretch>
                  </pic:blipFill>
                  <pic:spPr>
                    <a:xfrm rot="0">
                      <a:off x="0" y="0"/>
                      <a:ext cx="1964302" cy="1578633"/>
                    </a:xfrm>
                    <a:prstGeom prst="rect">
                      <a:avLst/>
                    </a:prstGeom>
                  </pic:spPr>
                </pic:pic>
              </a:graphicData>
            </a:graphic>
          </wp:inline>
        </w:drawing>
      </w:r>
      <w:r w:rsidRPr="58D114AA" w:rsidR="327B3E52">
        <w:rPr>
          <w:rFonts w:ascii="Arial" w:hAnsi="Arial" w:eastAsia="Arial" w:cs="Arial"/>
          <w:noProof w:val="0"/>
          <w:sz w:val="16"/>
          <w:szCs w:val="16"/>
          <w:lang w:val="en-GB"/>
        </w:rPr>
        <w:t xml:space="preserve"> </w:t>
      </w:r>
    </w:p>
    <w:p w:rsidR="6B026D0D" w:rsidP="58D114AA" w:rsidRDefault="6B026D0D" w14:paraId="0DB1CFD7" w14:textId="1049E5AF">
      <w:pPr>
        <w:pStyle w:val="Normal"/>
        <w:spacing w:before="240" w:beforeAutospacing="off" w:after="240" w:afterAutospacing="off" w:line="360" w:lineRule="auto"/>
        <w:jc w:val="center"/>
        <w:rPr>
          <w:rFonts w:ascii="Arial" w:hAnsi="Arial" w:eastAsia="Arial" w:cs="Arial"/>
          <w:b w:val="1"/>
          <w:bCs w:val="1"/>
          <w:i w:val="1"/>
          <w:iCs w:val="1"/>
          <w:noProof w:val="0"/>
          <w:sz w:val="16"/>
          <w:szCs w:val="16"/>
          <w:lang w:val="en-GB"/>
        </w:rPr>
      </w:pPr>
      <w:r w:rsidRPr="58D114AA" w:rsidR="6B026D0D">
        <w:rPr>
          <w:rFonts w:ascii="Arial" w:hAnsi="Arial" w:eastAsia="Arial" w:cs="Arial"/>
          <w:b w:val="1"/>
          <w:bCs w:val="1"/>
          <w:i w:val="1"/>
          <w:iCs w:val="1"/>
          <w:noProof w:val="0"/>
          <w:sz w:val="16"/>
          <w:szCs w:val="16"/>
          <w:lang w:val="en-GB"/>
        </w:rPr>
        <w:t xml:space="preserve">Figure </w:t>
      </w:r>
      <w:r w:rsidRPr="58D114AA" w:rsidR="16ABD5AA">
        <w:rPr>
          <w:rFonts w:ascii="Arial" w:hAnsi="Arial" w:eastAsia="Arial" w:cs="Arial"/>
          <w:b w:val="1"/>
          <w:bCs w:val="1"/>
          <w:i w:val="1"/>
          <w:iCs w:val="1"/>
          <w:noProof w:val="0"/>
          <w:sz w:val="16"/>
          <w:szCs w:val="16"/>
          <w:lang w:val="en-GB"/>
        </w:rPr>
        <w:t>3</w:t>
      </w:r>
      <w:r w:rsidRPr="58D114AA" w:rsidR="6B026D0D">
        <w:rPr>
          <w:rFonts w:ascii="Arial" w:hAnsi="Arial" w:eastAsia="Arial" w:cs="Arial"/>
          <w:b w:val="1"/>
          <w:bCs w:val="1"/>
          <w:i w:val="1"/>
          <w:iCs w:val="1"/>
          <w:noProof w:val="0"/>
          <w:sz w:val="16"/>
          <w:szCs w:val="16"/>
          <w:lang w:val="en-GB"/>
        </w:rPr>
        <w:t>. Impact of wearable technology on weight and BMI in adults and adolescents.</w:t>
      </w:r>
    </w:p>
    <w:p w:rsidR="70A06670" w:rsidP="58D114AA" w:rsidRDefault="70A06670" w14:paraId="63FBB19A" w14:textId="677BB88A">
      <w:pPr>
        <w:pStyle w:val="Normal"/>
        <w:spacing w:before="240" w:beforeAutospacing="off" w:after="240" w:afterAutospacing="off" w:line="360" w:lineRule="auto"/>
        <w:jc w:val="center"/>
        <w:rPr>
          <w:rFonts w:ascii="Arial" w:hAnsi="Arial" w:eastAsia="Arial" w:cs="Arial"/>
          <w:b w:val="1"/>
          <w:bCs w:val="1"/>
          <w:noProof w:val="0"/>
          <w:color w:val="auto"/>
          <w:sz w:val="22"/>
          <w:szCs w:val="22"/>
          <w:lang w:val="en-GB"/>
        </w:rPr>
      </w:pPr>
      <w:r w:rsidRPr="58D114AA" w:rsidR="70A06670">
        <w:rPr>
          <w:rFonts w:ascii="Arial" w:hAnsi="Arial" w:eastAsia="Arial" w:cs="Arial"/>
          <w:b w:val="1"/>
          <w:bCs w:val="1"/>
          <w:noProof w:val="0"/>
          <w:color w:val="auto"/>
          <w:sz w:val="22"/>
          <w:szCs w:val="22"/>
          <w:lang w:val="en-GB"/>
        </w:rPr>
        <w:t>Critical Discussion &amp; Addressing Shortfalls</w:t>
      </w:r>
    </w:p>
    <w:p w:rsidR="70A06670" w:rsidP="58D114AA" w:rsidRDefault="70A06670" w14:paraId="58048F3A" w14:textId="559C925F">
      <w:pPr>
        <w:spacing w:before="240" w:beforeAutospacing="off" w:after="240" w:afterAutospacing="off" w:line="360" w:lineRule="auto"/>
        <w:jc w:val="both"/>
        <w:rPr>
          <w:rFonts w:ascii="Arial" w:hAnsi="Arial" w:eastAsia="Arial" w:cs="Arial"/>
          <w:noProof w:val="0"/>
          <w:color w:val="auto"/>
          <w:sz w:val="22"/>
          <w:szCs w:val="22"/>
          <w:lang w:val="en-GB"/>
        </w:rPr>
      </w:pPr>
      <w:r w:rsidRPr="58D114AA" w:rsidR="70A06670">
        <w:rPr>
          <w:rFonts w:ascii="Arial" w:hAnsi="Arial" w:eastAsia="Arial" w:cs="Arial"/>
          <w:noProof w:val="0"/>
          <w:color w:val="auto"/>
          <w:sz w:val="22"/>
          <w:szCs w:val="22"/>
          <w:lang w:val="en-GB"/>
        </w:rPr>
        <w:t>Although wearables improve physical activity and related outcomes, long-term weight loss effects are modest, and engagement declines over time. Wearables alone may not address broader social and environmental determinants of obesity. Integrating devices into multi-</w:t>
      </w:r>
      <w:r w:rsidRPr="58D114AA" w:rsidR="70A06670">
        <w:rPr>
          <w:rFonts w:ascii="Arial" w:hAnsi="Arial" w:eastAsia="Arial" w:cs="Arial"/>
          <w:noProof w:val="0"/>
          <w:color w:val="auto"/>
          <w:sz w:val="22"/>
          <w:szCs w:val="22"/>
          <w:lang w:val="en-GB"/>
        </w:rPr>
        <w:t>component</w:t>
      </w:r>
      <w:r w:rsidRPr="58D114AA" w:rsidR="70A06670">
        <w:rPr>
          <w:rFonts w:ascii="Arial" w:hAnsi="Arial" w:eastAsia="Arial" w:cs="Arial"/>
          <w:noProof w:val="0"/>
          <w:color w:val="auto"/>
          <w:sz w:val="22"/>
          <w:szCs w:val="22"/>
          <w:lang w:val="en-GB"/>
        </w:rPr>
        <w:t xml:space="preserve"> programmes with dietary support, behavioural coaching, and social support is recommended. Equitable access and tailored programming are essential to enhance effectiveness across diverse populations.</w:t>
      </w:r>
    </w:p>
    <w:p w:rsidR="58D114AA" w:rsidP="58D114AA" w:rsidRDefault="58D114AA" w14:paraId="0435D27E" w14:textId="718E27A4">
      <w:pPr>
        <w:spacing w:before="240" w:beforeAutospacing="off" w:after="240" w:afterAutospacing="off" w:line="360" w:lineRule="auto"/>
        <w:jc w:val="both"/>
        <w:rPr>
          <w:rFonts w:ascii="Arial" w:hAnsi="Arial" w:eastAsia="Arial" w:cs="Arial"/>
          <w:noProof w:val="0"/>
          <w:color w:val="auto"/>
          <w:sz w:val="22"/>
          <w:szCs w:val="22"/>
          <w:lang w:val="en-GB"/>
        </w:rPr>
      </w:pPr>
    </w:p>
    <w:p w:rsidR="56D94F7E" w:rsidP="58D114AA" w:rsidRDefault="56D94F7E" w14:paraId="20A554A3" w14:textId="6F38C976">
      <w:pPr>
        <w:pStyle w:val="Normal"/>
        <w:spacing w:before="240" w:beforeAutospacing="off" w:after="240" w:afterAutospacing="off" w:line="360" w:lineRule="auto"/>
        <w:jc w:val="center"/>
        <w:rPr>
          <w:rFonts w:ascii="Arial" w:hAnsi="Arial" w:eastAsia="Arial" w:cs="Arial"/>
          <w:noProof w:val="0"/>
          <w:color w:val="000000" w:themeColor="text1" w:themeTint="FF" w:themeShade="FF"/>
          <w:sz w:val="16"/>
          <w:szCs w:val="16"/>
          <w:lang w:val="en-GB"/>
        </w:rPr>
      </w:pPr>
      <w:r w:rsidR="56D94F7E">
        <w:drawing>
          <wp:inline wp14:editId="7F918A0F" wp14:anchorId="5BEDE247">
            <wp:extent cx="2618906" cy="1823719"/>
            <wp:effectExtent l="0" t="0" r="0" b="0"/>
            <wp:docPr id="1410683825" name="drawing" descr="Frontiers | A Critical Review of Consumer Wearables, Mobile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37290856" name="Picture 1537290856"/>
                    <pic:cNvPicPr/>
                  </pic:nvPicPr>
                  <pic:blipFill>
                    <a:blip xmlns:r="http://schemas.openxmlformats.org/officeDocument/2006/relationships" r:embed="rId783026862">
                      <a:extLst>
                        <a:ext uri="{28A0092B-C50C-407E-A947-70E740481C1C}">
                          <a14:useLocalDpi xmlns:a14="http://schemas.microsoft.com/office/drawing/2010/main"/>
                        </a:ext>
                      </a:extLst>
                    </a:blip>
                    <a:stretch>
                      <a:fillRect/>
                    </a:stretch>
                  </pic:blipFill>
                  <pic:spPr>
                    <a:xfrm rot="0">
                      <a:off x="0" y="0"/>
                      <a:ext cx="2618906" cy="1823719"/>
                    </a:xfrm>
                    <a:prstGeom prst="rect">
                      <a:avLst/>
                    </a:prstGeom>
                  </pic:spPr>
                </pic:pic>
              </a:graphicData>
            </a:graphic>
          </wp:inline>
        </w:drawing>
      </w:r>
      <w:r w:rsidRPr="58D114AA" w:rsidR="33C1BDF7">
        <w:rPr>
          <w:rFonts w:ascii="Arial" w:hAnsi="Arial" w:eastAsia="Arial" w:cs="Arial"/>
          <w:noProof w:val="0"/>
          <w:color w:val="000000" w:themeColor="text1" w:themeTint="FF" w:themeShade="FF"/>
          <w:sz w:val="16"/>
          <w:szCs w:val="16"/>
          <w:lang w:val="en-GB"/>
        </w:rPr>
        <w:t xml:space="preserve">  </w:t>
      </w:r>
    </w:p>
    <w:p w:rsidR="2F8BCA18" w:rsidP="58D114AA" w:rsidRDefault="2F8BCA18" w14:paraId="0454EADF" w14:textId="443E8009">
      <w:pPr>
        <w:pStyle w:val="Normal"/>
        <w:spacing w:before="240" w:beforeAutospacing="off" w:after="240" w:afterAutospacing="off" w:line="360" w:lineRule="auto"/>
        <w:jc w:val="center"/>
        <w:rPr>
          <w:rFonts w:ascii="Arial" w:hAnsi="Arial" w:eastAsia="Arial" w:cs="Arial"/>
          <w:b w:val="1"/>
          <w:bCs w:val="1"/>
          <w:i w:val="1"/>
          <w:iCs w:val="1"/>
          <w:noProof w:val="0"/>
          <w:color w:val="000000" w:themeColor="text1" w:themeTint="FF" w:themeShade="FF"/>
          <w:sz w:val="16"/>
          <w:szCs w:val="16"/>
          <w:lang w:val="en-GB"/>
        </w:rPr>
      </w:pPr>
      <w:r w:rsidRPr="58D114AA" w:rsidR="2F8BCA18">
        <w:rPr>
          <w:rFonts w:ascii="Arial" w:hAnsi="Arial" w:eastAsia="Arial" w:cs="Arial"/>
          <w:b w:val="1"/>
          <w:bCs w:val="1"/>
          <w:i w:val="1"/>
          <w:iCs w:val="1"/>
          <w:noProof w:val="0"/>
          <w:color w:val="000000" w:themeColor="text1" w:themeTint="FF" w:themeShade="FF"/>
          <w:sz w:val="16"/>
          <w:szCs w:val="16"/>
          <w:lang w:val="en-GB"/>
        </w:rPr>
        <w:t xml:space="preserve">Figure </w:t>
      </w:r>
      <w:r w:rsidRPr="58D114AA" w:rsidR="280CCD77">
        <w:rPr>
          <w:rFonts w:ascii="Arial" w:hAnsi="Arial" w:eastAsia="Arial" w:cs="Arial"/>
          <w:b w:val="1"/>
          <w:bCs w:val="1"/>
          <w:i w:val="1"/>
          <w:iCs w:val="1"/>
          <w:noProof w:val="0"/>
          <w:color w:val="000000" w:themeColor="text1" w:themeTint="FF" w:themeShade="FF"/>
          <w:sz w:val="16"/>
          <w:szCs w:val="16"/>
          <w:lang w:val="en-GB"/>
        </w:rPr>
        <w:t>4</w:t>
      </w:r>
      <w:r w:rsidRPr="58D114AA" w:rsidR="2F8BCA18">
        <w:rPr>
          <w:rFonts w:ascii="Arial" w:hAnsi="Arial" w:eastAsia="Arial" w:cs="Arial"/>
          <w:b w:val="1"/>
          <w:bCs w:val="1"/>
          <w:i w:val="1"/>
          <w:iCs w:val="1"/>
          <w:noProof w:val="0"/>
          <w:color w:val="000000" w:themeColor="text1" w:themeTint="FF" w:themeShade="FF"/>
          <w:sz w:val="16"/>
          <w:szCs w:val="16"/>
          <w:lang w:val="en-GB"/>
        </w:rPr>
        <w:t xml:space="preserve">. Challenges and shortfalls of wearable technology in long-term health behaviour change </w:t>
      </w:r>
    </w:p>
    <w:p w:rsidR="2F8BCA18" w:rsidP="58D114AA" w:rsidRDefault="2F8BCA18" w14:paraId="0850DA36" w14:textId="2D6BC152">
      <w:pPr>
        <w:pStyle w:val="Normal"/>
        <w:spacing w:before="240" w:beforeAutospacing="off" w:after="240" w:afterAutospacing="off" w:line="360" w:lineRule="auto"/>
        <w:jc w:val="center"/>
        <w:rPr>
          <w:rFonts w:ascii="Arial" w:hAnsi="Arial" w:eastAsia="Arial" w:cs="Arial"/>
          <w:b w:val="1"/>
          <w:bCs w:val="1"/>
          <w:noProof w:val="0"/>
          <w:color w:val="auto"/>
          <w:sz w:val="22"/>
          <w:szCs w:val="22"/>
          <w:lang w:val="en-GB"/>
        </w:rPr>
      </w:pPr>
      <w:r w:rsidRPr="58D114AA" w:rsidR="2F8BCA18">
        <w:rPr>
          <w:rFonts w:ascii="Arial" w:hAnsi="Arial" w:eastAsia="Arial" w:cs="Arial"/>
          <w:b w:val="1"/>
          <w:bCs w:val="1"/>
          <w:i w:val="1"/>
          <w:iCs w:val="1"/>
          <w:noProof w:val="0"/>
          <w:color w:val="000000" w:themeColor="text1" w:themeTint="FF" w:themeShade="FF"/>
          <w:sz w:val="16"/>
          <w:szCs w:val="16"/>
          <w:lang w:val="en-GB"/>
        </w:rPr>
        <w:t>(Peake, Kerr &amp; Sullivan, 2018).</w:t>
      </w:r>
    </w:p>
    <w:p w:rsidR="70A06670" w:rsidP="58D114AA" w:rsidRDefault="70A06670" w14:paraId="7559B6B5" w14:textId="4356EBB3">
      <w:pPr>
        <w:pStyle w:val="Normal"/>
        <w:spacing w:before="240" w:beforeAutospacing="off" w:after="240" w:afterAutospacing="off" w:line="360" w:lineRule="auto"/>
        <w:jc w:val="center"/>
        <w:rPr>
          <w:rFonts w:ascii="Arial" w:hAnsi="Arial" w:eastAsia="Arial" w:cs="Arial"/>
          <w:b w:val="1"/>
          <w:bCs w:val="1"/>
          <w:noProof w:val="0"/>
          <w:color w:val="auto"/>
          <w:sz w:val="22"/>
          <w:szCs w:val="22"/>
          <w:lang w:val="en-GB"/>
        </w:rPr>
      </w:pPr>
      <w:r w:rsidRPr="58D114AA" w:rsidR="70A06670">
        <w:rPr>
          <w:rFonts w:ascii="Arial" w:hAnsi="Arial" w:eastAsia="Arial" w:cs="Arial"/>
          <w:b w:val="1"/>
          <w:bCs w:val="1"/>
          <w:noProof w:val="0"/>
          <w:color w:val="auto"/>
          <w:sz w:val="22"/>
          <w:szCs w:val="22"/>
          <w:lang w:val="en-GB"/>
        </w:rPr>
        <w:t>Conclusion</w:t>
      </w:r>
    </w:p>
    <w:p w:rsidR="70A06670" w:rsidP="58D114AA" w:rsidRDefault="70A06670" w14:paraId="03FF5DA7" w14:textId="23126A9C">
      <w:pPr>
        <w:spacing w:before="240" w:beforeAutospacing="off" w:after="240" w:afterAutospacing="off" w:line="360" w:lineRule="auto"/>
        <w:jc w:val="both"/>
        <w:rPr>
          <w:rFonts w:ascii="Arial" w:hAnsi="Arial" w:eastAsia="Arial" w:cs="Arial"/>
          <w:noProof w:val="0"/>
          <w:color w:val="auto"/>
          <w:sz w:val="22"/>
          <w:szCs w:val="22"/>
          <w:lang w:val="en-GB"/>
        </w:rPr>
      </w:pPr>
      <w:r w:rsidRPr="58D114AA" w:rsidR="70A06670">
        <w:rPr>
          <w:rFonts w:ascii="Arial" w:hAnsi="Arial" w:eastAsia="Arial" w:cs="Arial"/>
          <w:noProof w:val="0"/>
          <w:color w:val="auto"/>
          <w:sz w:val="22"/>
          <w:szCs w:val="22"/>
          <w:lang w:val="en-GB"/>
        </w:rPr>
        <w:t>Fitbit and similar wearables are effective tools for promoting physical activity and supporting weight management. While not a standalone solution, when combined with comprehensive public health strategies, wearables provide valuable real-time feedback and self-monitoring to reinforce healthier behaviours.</w:t>
      </w:r>
    </w:p>
    <w:p w:rsidR="12196BE9" w:rsidP="58D114AA" w:rsidRDefault="12196BE9" w14:paraId="0D6191AD" w14:textId="7FD42B3E">
      <w:pPr>
        <w:pStyle w:val="Normal"/>
        <w:spacing w:before="240" w:beforeAutospacing="off" w:after="240" w:afterAutospacing="off" w:line="360" w:lineRule="auto"/>
        <w:jc w:val="center"/>
        <w:rPr>
          <w:rFonts w:ascii="Arial" w:hAnsi="Arial" w:eastAsia="Arial" w:cs="Arial"/>
          <w:noProof w:val="0"/>
          <w:color w:val="000000" w:themeColor="text1" w:themeTint="FF" w:themeShade="FF"/>
          <w:sz w:val="16"/>
          <w:szCs w:val="16"/>
          <w:lang w:val="en-GB"/>
        </w:rPr>
      </w:pPr>
      <w:r w:rsidR="12196BE9">
        <w:drawing>
          <wp:inline wp14:editId="5F51B24A" wp14:anchorId="18FD3567">
            <wp:extent cx="2495774" cy="1665929"/>
            <wp:effectExtent l="0" t="0" r="0" b="0"/>
            <wp:docPr id="12453208" name="drawing" descr="Elderly Images | Free Photos, HD Backgrounds, PNGs, Vectors &amp; Mockups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94974324" name="Picture 694974324"/>
                    <pic:cNvPicPr/>
                  </pic:nvPicPr>
                  <pic:blipFill>
                    <a:blip xmlns:r="http://schemas.openxmlformats.org/officeDocument/2006/relationships" r:embed="rId1776500297">
                      <a:extLst>
                        <a:ext uri="{28A0092B-C50C-407E-A947-70E740481C1C}">
                          <a14:useLocalDpi xmlns:a14="http://schemas.microsoft.com/office/drawing/2010/main"/>
                        </a:ext>
                      </a:extLst>
                    </a:blip>
                    <a:stretch>
                      <a:fillRect/>
                    </a:stretch>
                  </pic:blipFill>
                  <pic:spPr>
                    <a:xfrm rot="0">
                      <a:off x="0" y="0"/>
                      <a:ext cx="2495774" cy="1665929"/>
                    </a:xfrm>
                    <a:prstGeom prst="rect">
                      <a:avLst/>
                    </a:prstGeom>
                  </pic:spPr>
                </pic:pic>
              </a:graphicData>
            </a:graphic>
          </wp:inline>
        </w:drawing>
      </w:r>
      <w:r w:rsidRPr="58D114AA" w:rsidR="12196BE9">
        <w:rPr>
          <w:rFonts w:ascii="Arial" w:hAnsi="Arial" w:eastAsia="Arial" w:cs="Arial"/>
          <w:noProof w:val="0"/>
          <w:color w:val="000000" w:themeColor="text1" w:themeTint="FF" w:themeShade="FF"/>
          <w:sz w:val="16"/>
          <w:szCs w:val="16"/>
          <w:lang w:val="en-GB"/>
        </w:rPr>
        <w:t xml:space="preserve"> </w:t>
      </w:r>
    </w:p>
    <w:p w:rsidR="3A39A6D1" w:rsidP="58D114AA" w:rsidRDefault="3A39A6D1" w14:paraId="0432A8CA" w14:textId="34201525">
      <w:pPr>
        <w:pStyle w:val="Normal"/>
        <w:suppressLineNumbers w:val="0"/>
        <w:bidi w:val="0"/>
        <w:spacing w:before="240" w:beforeAutospacing="off" w:after="240" w:afterAutospacing="off" w:line="360" w:lineRule="auto"/>
        <w:ind w:left="0" w:right="0"/>
        <w:jc w:val="center"/>
        <w:rPr>
          <w:rFonts w:ascii="Arial" w:hAnsi="Arial" w:eastAsia="Arial" w:cs="Arial"/>
          <w:b w:val="1"/>
          <w:bCs w:val="1"/>
          <w:i w:val="1"/>
          <w:iCs w:val="1"/>
          <w:noProof w:val="0"/>
          <w:color w:val="000000" w:themeColor="text1" w:themeTint="FF" w:themeShade="FF"/>
          <w:sz w:val="16"/>
          <w:szCs w:val="16"/>
          <w:lang w:val="en-GB"/>
        </w:rPr>
      </w:pPr>
      <w:r w:rsidRPr="58D114AA" w:rsidR="3A39A6D1">
        <w:rPr>
          <w:rFonts w:ascii="Arial" w:hAnsi="Arial" w:eastAsia="Arial" w:cs="Arial"/>
          <w:b w:val="1"/>
          <w:bCs w:val="1"/>
          <w:i w:val="1"/>
          <w:iCs w:val="1"/>
          <w:noProof w:val="0"/>
          <w:color w:val="000000" w:themeColor="text1" w:themeTint="FF" w:themeShade="FF"/>
          <w:sz w:val="16"/>
          <w:szCs w:val="16"/>
          <w:lang w:val="en-GB"/>
        </w:rPr>
        <w:t>Figure 6. Summary of Fitbit’s role in promoting physical activity and supporting weight management.</w:t>
      </w:r>
    </w:p>
    <w:p w:rsidR="70A06670" w:rsidP="58D114AA" w:rsidRDefault="70A06670" w14:paraId="6F860FFB" w14:textId="5ABF1ADB">
      <w:pPr>
        <w:pStyle w:val="Heading3"/>
        <w:spacing w:line="360" w:lineRule="auto"/>
        <w:rPr>
          <w:rFonts w:ascii="Arial" w:hAnsi="Arial" w:eastAsia="Arial" w:cs="Arial"/>
          <w:b w:val="1"/>
          <w:bCs w:val="1"/>
          <w:noProof w:val="0"/>
          <w:color w:val="auto"/>
          <w:sz w:val="22"/>
          <w:szCs w:val="22"/>
          <w:lang w:val="en-GB"/>
        </w:rPr>
      </w:pPr>
      <w:r w:rsidRPr="58D114AA" w:rsidR="70A06670">
        <w:rPr>
          <w:rFonts w:ascii="Arial" w:hAnsi="Arial" w:eastAsia="Arial" w:cs="Arial"/>
          <w:b w:val="1"/>
          <w:bCs w:val="1"/>
          <w:noProof w:val="0"/>
          <w:color w:val="auto"/>
          <w:sz w:val="22"/>
          <w:szCs w:val="22"/>
          <w:lang w:val="en-GB"/>
        </w:rPr>
        <w:t xml:space="preserve">References </w:t>
      </w:r>
    </w:p>
    <w:p w:rsidR="5D8C2A64" w:rsidP="58D114AA" w:rsidRDefault="5D8C2A64" w14:paraId="4F7BCC2B" w14:textId="5482C2EB">
      <w:pPr>
        <w:spacing w:before="240" w:beforeAutospacing="off" w:after="240" w:afterAutospacing="off"/>
        <w:jc w:val="left"/>
      </w:pPr>
      <w:r w:rsidRPr="58D114AA" w:rsidR="5D8C2A64">
        <w:rPr>
          <w:rFonts w:ascii="Arial" w:hAnsi="Arial" w:eastAsia="Arial" w:cs="Arial"/>
          <w:noProof w:val="0"/>
          <w:sz w:val="22"/>
          <w:szCs w:val="22"/>
          <w:lang w:val="en-GB"/>
        </w:rPr>
        <w:t xml:space="preserve">Black, M. and Brunet, J. (2021) ‘A wearable activity tracker intervention with and without weekly behavioral support emails to promote physical activity among women who are overweight or obese: Randomized controlled trial’, </w:t>
      </w:r>
      <w:r w:rsidRPr="58D114AA" w:rsidR="5D8C2A64">
        <w:rPr>
          <w:rFonts w:ascii="Arial" w:hAnsi="Arial" w:eastAsia="Arial" w:cs="Arial"/>
          <w:i w:val="1"/>
          <w:iCs w:val="1"/>
          <w:noProof w:val="0"/>
          <w:sz w:val="22"/>
          <w:szCs w:val="22"/>
          <w:lang w:val="en-GB"/>
        </w:rPr>
        <w:t>JMIR mHealth and uHealth</w:t>
      </w:r>
      <w:r w:rsidRPr="58D114AA" w:rsidR="5D8C2A64">
        <w:rPr>
          <w:rFonts w:ascii="Arial" w:hAnsi="Arial" w:eastAsia="Arial" w:cs="Arial"/>
          <w:noProof w:val="0"/>
          <w:sz w:val="22"/>
          <w:szCs w:val="22"/>
          <w:lang w:val="en-GB"/>
        </w:rPr>
        <w:t>. PMID: 34927590.</w:t>
      </w:r>
    </w:p>
    <w:p w:rsidR="5D8C2A64" w:rsidP="58D114AA" w:rsidRDefault="5D8C2A64" w14:paraId="3F77D000" w14:textId="77EED8B8">
      <w:pPr>
        <w:spacing w:before="240" w:beforeAutospacing="off" w:after="240" w:afterAutospacing="off"/>
        <w:jc w:val="left"/>
      </w:pPr>
      <w:r w:rsidRPr="58D114AA" w:rsidR="5D8C2A64">
        <w:rPr>
          <w:rFonts w:ascii="Arial" w:hAnsi="Arial" w:eastAsia="Arial" w:cs="Arial"/>
          <w:noProof w:val="0"/>
          <w:sz w:val="22"/>
          <w:szCs w:val="22"/>
          <w:lang w:val="en-GB"/>
        </w:rPr>
        <w:t xml:space="preserve">McDonough, D.J., Su, X. and Gao, Z. (2021) ‘Health wearable devices for weight and BMI reduction in individuals with overweight/obesity and chronic comorbidities: systematic review and network meta-analysis’, </w:t>
      </w:r>
      <w:r w:rsidRPr="58D114AA" w:rsidR="5D8C2A64">
        <w:rPr>
          <w:rFonts w:ascii="Arial" w:hAnsi="Arial" w:eastAsia="Arial" w:cs="Arial"/>
          <w:i w:val="1"/>
          <w:iCs w:val="1"/>
          <w:noProof w:val="0"/>
          <w:sz w:val="22"/>
          <w:szCs w:val="22"/>
          <w:lang w:val="en-GB"/>
        </w:rPr>
        <w:t>British Journal of Sports Medicine</w:t>
      </w:r>
      <w:r w:rsidRPr="58D114AA" w:rsidR="5D8C2A64">
        <w:rPr>
          <w:rFonts w:ascii="Arial" w:hAnsi="Arial" w:eastAsia="Arial" w:cs="Arial"/>
          <w:noProof w:val="0"/>
          <w:sz w:val="22"/>
          <w:szCs w:val="22"/>
          <w:lang w:val="en-GB"/>
        </w:rPr>
        <w:t>. PMID: 33731385.</w:t>
      </w:r>
    </w:p>
    <w:p w:rsidR="5D8C2A64" w:rsidP="58D114AA" w:rsidRDefault="5D8C2A64" w14:paraId="2184241F" w14:textId="731850EA">
      <w:pPr>
        <w:spacing w:before="240" w:beforeAutospacing="off" w:after="240" w:afterAutospacing="off"/>
        <w:jc w:val="left"/>
      </w:pPr>
      <w:r w:rsidRPr="58D114AA" w:rsidR="5D8C2A64">
        <w:rPr>
          <w:rFonts w:ascii="Arial" w:hAnsi="Arial" w:eastAsia="Arial" w:cs="Arial"/>
          <w:noProof w:val="0"/>
          <w:sz w:val="22"/>
          <w:szCs w:val="22"/>
          <w:lang w:val="en-GB"/>
        </w:rPr>
        <w:t xml:space="preserve">Wang, W. et al. (2022) ‘The effectiveness of wearable devices as physical activity interventions for preventing and treating obesity in children and adolescents: systematic review and meta-analysis’, </w:t>
      </w:r>
      <w:r w:rsidRPr="58D114AA" w:rsidR="5D8C2A64">
        <w:rPr>
          <w:rFonts w:ascii="Arial" w:hAnsi="Arial" w:eastAsia="Arial" w:cs="Arial"/>
          <w:i w:val="1"/>
          <w:iCs w:val="1"/>
          <w:noProof w:val="0"/>
          <w:sz w:val="22"/>
          <w:szCs w:val="22"/>
          <w:lang w:val="en-GB"/>
        </w:rPr>
        <w:t>JMIR mHealth and uHealth</w:t>
      </w:r>
      <w:r w:rsidRPr="58D114AA" w:rsidR="5D8C2A64">
        <w:rPr>
          <w:rFonts w:ascii="Arial" w:hAnsi="Arial" w:eastAsia="Arial" w:cs="Arial"/>
          <w:noProof w:val="0"/>
          <w:sz w:val="22"/>
          <w:szCs w:val="22"/>
          <w:lang w:val="en-GB"/>
        </w:rPr>
        <w:t>. PMID: 35394447.</w:t>
      </w:r>
    </w:p>
    <w:p w:rsidR="5D8C2A64" w:rsidP="58D114AA" w:rsidRDefault="5D8C2A64" w14:paraId="229A8A98" w14:textId="772E27BD">
      <w:pPr>
        <w:spacing w:before="240" w:beforeAutospacing="off" w:after="240" w:afterAutospacing="off"/>
        <w:jc w:val="left"/>
      </w:pPr>
      <w:r w:rsidRPr="58D114AA" w:rsidR="5D8C2A64">
        <w:rPr>
          <w:rFonts w:ascii="Arial" w:hAnsi="Arial" w:eastAsia="Arial" w:cs="Arial"/>
          <w:noProof w:val="0"/>
          <w:sz w:val="22"/>
          <w:szCs w:val="22"/>
          <w:lang w:val="en-GB"/>
        </w:rPr>
        <w:t xml:space="preserve">Wong, S.H. et al. (2022) ‘Wearable technology-delivered lifestyle intervention amongst adults with overweight and obese: systematic review and meta-regression’, </w:t>
      </w:r>
      <w:r w:rsidRPr="58D114AA" w:rsidR="5D8C2A64">
        <w:rPr>
          <w:rFonts w:ascii="Arial" w:hAnsi="Arial" w:eastAsia="Arial" w:cs="Arial"/>
          <w:i w:val="1"/>
          <w:iCs w:val="1"/>
          <w:noProof w:val="0"/>
          <w:sz w:val="22"/>
          <w:szCs w:val="22"/>
          <w:lang w:val="en-GB"/>
        </w:rPr>
        <w:t>International Journal of Nursing Studies</w:t>
      </w:r>
      <w:r w:rsidRPr="58D114AA" w:rsidR="5D8C2A64">
        <w:rPr>
          <w:rFonts w:ascii="Arial" w:hAnsi="Arial" w:eastAsia="Arial" w:cs="Arial"/>
          <w:noProof w:val="0"/>
          <w:sz w:val="22"/>
          <w:szCs w:val="22"/>
          <w:lang w:val="en-GB"/>
        </w:rPr>
        <w:t>. PMID: 35092872.</w:t>
      </w:r>
    </w:p>
    <w:p w:rsidR="5D8C2A64" w:rsidP="58D114AA" w:rsidRDefault="5D8C2A64" w14:paraId="50AE0869" w14:textId="25E38E2E">
      <w:pPr>
        <w:spacing w:before="240" w:beforeAutospacing="off" w:after="240" w:afterAutospacing="off"/>
        <w:jc w:val="left"/>
      </w:pPr>
      <w:r w:rsidRPr="58D114AA" w:rsidR="5D8C2A64">
        <w:rPr>
          <w:rFonts w:ascii="Arial" w:hAnsi="Arial" w:eastAsia="Arial" w:cs="Arial"/>
          <w:noProof w:val="0"/>
          <w:sz w:val="22"/>
          <w:szCs w:val="22"/>
          <w:lang w:val="en-GB"/>
        </w:rPr>
        <w:t xml:space="preserve">Yen, H.-Y. and Chiu, H.-L. (2019) ‘The effectiveness of wearable technologies as physical activity interventions in weight control: systematic review and meta-analysis’, </w:t>
      </w:r>
      <w:r w:rsidRPr="58D114AA" w:rsidR="5D8C2A64">
        <w:rPr>
          <w:rFonts w:ascii="Arial" w:hAnsi="Arial" w:eastAsia="Arial" w:cs="Arial"/>
          <w:i w:val="1"/>
          <w:iCs w:val="1"/>
          <w:noProof w:val="0"/>
          <w:sz w:val="22"/>
          <w:szCs w:val="22"/>
          <w:lang w:val="en-GB"/>
        </w:rPr>
        <w:t>Obesity Reviews</w:t>
      </w:r>
      <w:r w:rsidRPr="58D114AA" w:rsidR="5D8C2A64">
        <w:rPr>
          <w:rFonts w:ascii="Arial" w:hAnsi="Arial" w:eastAsia="Arial" w:cs="Arial"/>
          <w:noProof w:val="0"/>
          <w:sz w:val="22"/>
          <w:szCs w:val="22"/>
          <w:lang w:val="en-GB"/>
        </w:rPr>
        <w:t>, 20(10), pp. 1485–1493. PMID: 31342646.</w:t>
      </w:r>
    </w:p>
    <w:p w:rsidR="2BC97311" w:rsidP="58D114AA" w:rsidRDefault="2BC97311" w14:paraId="5D18B2B3" w14:textId="610A5EA3">
      <w:pPr>
        <w:pStyle w:val="Heading2"/>
        <w:spacing w:before="299" w:beforeAutospacing="off" w:after="299" w:afterAutospacing="off"/>
        <w:jc w:val="left"/>
        <w:rPr>
          <w:rFonts w:ascii="Arial" w:hAnsi="Arial" w:eastAsia="Arial" w:cs="Arial"/>
          <w:b w:val="1"/>
          <w:bCs w:val="1"/>
          <w:noProof w:val="0"/>
          <w:color w:val="000000" w:themeColor="text1" w:themeTint="FF" w:themeShade="FF"/>
          <w:sz w:val="22"/>
          <w:szCs w:val="22"/>
          <w:lang w:val="en-GB"/>
        </w:rPr>
      </w:pPr>
      <w:r w:rsidRPr="58D114AA" w:rsidR="2BC97311">
        <w:rPr>
          <w:rFonts w:ascii="Arial" w:hAnsi="Arial" w:eastAsia="Arial" w:cs="Arial"/>
          <w:b w:val="1"/>
          <w:bCs w:val="1"/>
          <w:noProof w:val="0"/>
          <w:sz w:val="22"/>
          <w:szCs w:val="22"/>
          <w:lang w:val="en-GB"/>
        </w:rPr>
        <w:t>I</w:t>
      </w:r>
      <w:r w:rsidRPr="58D114AA" w:rsidR="2BC97311">
        <w:rPr>
          <w:rFonts w:ascii="Arial" w:hAnsi="Arial" w:eastAsia="Arial" w:cs="Arial"/>
          <w:b w:val="1"/>
          <w:bCs w:val="1"/>
          <w:noProof w:val="0"/>
          <w:color w:val="000000" w:themeColor="text1" w:themeTint="FF" w:themeShade="FF"/>
          <w:sz w:val="22"/>
          <w:szCs w:val="22"/>
          <w:lang w:val="en-GB"/>
        </w:rPr>
        <w:t>mage Sources</w:t>
      </w:r>
    </w:p>
    <w:p w:rsidR="2BC97311" w:rsidP="58D114AA" w:rsidRDefault="2BC97311" w14:paraId="754F11A0" w14:textId="6E5333FD">
      <w:pPr>
        <w:spacing w:before="240" w:beforeAutospacing="off" w:after="240" w:afterAutospacing="off"/>
        <w:jc w:val="left"/>
      </w:pPr>
      <w:r w:rsidRPr="58D114AA" w:rsidR="2BC97311">
        <w:rPr>
          <w:rFonts w:ascii="Arial" w:hAnsi="Arial" w:eastAsia="Arial" w:cs="Arial"/>
          <w:b w:val="1"/>
          <w:bCs w:val="1"/>
          <w:noProof w:val="0"/>
          <w:sz w:val="22"/>
          <w:szCs w:val="22"/>
          <w:lang w:val="en-GB"/>
        </w:rPr>
        <w:t>Figure 1.</w:t>
      </w:r>
      <w:r w:rsidRPr="58D114AA" w:rsidR="2BC97311">
        <w:rPr>
          <w:rFonts w:ascii="Arial" w:hAnsi="Arial" w:eastAsia="Arial" w:cs="Arial"/>
          <w:noProof w:val="0"/>
          <w:sz w:val="22"/>
          <w:szCs w:val="22"/>
          <w:lang w:val="en-GB"/>
        </w:rPr>
        <w:t xml:space="preserve"> Fitbit wearable activity tracker in use. Available at: </w:t>
      </w:r>
      <w:hyperlink r:id="R7955c77d6ab94c6b">
        <w:r w:rsidRPr="58D114AA" w:rsidR="2BC97311">
          <w:rPr>
            <w:rStyle w:val="Hyperlink"/>
            <w:rFonts w:ascii="Arial" w:hAnsi="Arial" w:eastAsia="Arial" w:cs="Arial"/>
            <w:noProof w:val="0"/>
            <w:sz w:val="22"/>
            <w:szCs w:val="22"/>
            <w:lang w:val="en-GB"/>
          </w:rPr>
          <w:t>https://1.bp.blogspot.com/-D1C3p6rQT1o/V---4MgP5FI/AAAAAAAARJo/PBDgzhrqFBMW1rQZ9HDOV5FQT2mitCkUQCLcB/w1200-h630-p-k-no-nu/Fitbit-watch-family_2.png</w:t>
        </w:r>
      </w:hyperlink>
      <w:r w:rsidRPr="58D114AA" w:rsidR="2BC97311">
        <w:rPr>
          <w:rFonts w:ascii="Arial" w:hAnsi="Arial" w:eastAsia="Arial" w:cs="Arial"/>
          <w:noProof w:val="0"/>
          <w:sz w:val="22"/>
          <w:szCs w:val="22"/>
          <w:lang w:val="en-GB"/>
        </w:rPr>
        <w:t xml:space="preserve"> (Accessed: 17 February 2026)</w:t>
      </w:r>
    </w:p>
    <w:p w:rsidR="2BC97311" w:rsidP="58D114AA" w:rsidRDefault="2BC97311" w14:paraId="477847C8" w14:textId="321C5A17">
      <w:pPr>
        <w:spacing w:before="240" w:beforeAutospacing="off" w:after="240" w:afterAutospacing="off"/>
        <w:jc w:val="left"/>
      </w:pPr>
      <w:r w:rsidRPr="20D5D3F1" w:rsidR="2BC97311">
        <w:rPr>
          <w:rFonts w:ascii="Arial" w:hAnsi="Arial" w:eastAsia="Arial" w:cs="Arial"/>
          <w:b w:val="1"/>
          <w:bCs w:val="1"/>
          <w:noProof w:val="0"/>
          <w:sz w:val="22"/>
          <w:szCs w:val="22"/>
          <w:lang w:val="en-GB"/>
        </w:rPr>
        <w:t>Figure 2.</w:t>
      </w:r>
      <w:r w:rsidRPr="20D5D3F1" w:rsidR="2BC97311">
        <w:rPr>
          <w:rFonts w:ascii="Arial" w:hAnsi="Arial" w:eastAsia="Arial" w:cs="Arial"/>
          <w:noProof w:val="0"/>
          <w:sz w:val="22"/>
          <w:szCs w:val="22"/>
          <w:lang w:val="en-GB"/>
        </w:rPr>
        <w:t xml:space="preserve"> Fitbit wearable technology supporting behaviour change and physical activity. Available at: </w:t>
      </w:r>
      <w:hyperlink r:id="Rc2ae019fd22f428b">
        <w:r w:rsidRPr="20D5D3F1" w:rsidR="2BC97311">
          <w:rPr>
            <w:rStyle w:val="Hyperlink"/>
            <w:rFonts w:ascii="Arial" w:hAnsi="Arial" w:eastAsia="Arial" w:cs="Arial"/>
            <w:noProof w:val="0"/>
            <w:sz w:val="22"/>
            <w:szCs w:val="22"/>
            <w:lang w:val="en-GB"/>
          </w:rPr>
          <w:t>https://nobaproject.com/images/shared/images/000/000/528/original.jpg</w:t>
        </w:r>
      </w:hyperlink>
      <w:r w:rsidRPr="20D5D3F1" w:rsidR="2BC97311">
        <w:rPr>
          <w:rFonts w:ascii="Arial" w:hAnsi="Arial" w:eastAsia="Arial" w:cs="Arial"/>
          <w:noProof w:val="0"/>
          <w:sz w:val="22"/>
          <w:szCs w:val="22"/>
          <w:lang w:val="en-GB"/>
        </w:rPr>
        <w:t xml:space="preserve"> (Accessed: 1</w:t>
      </w:r>
      <w:r w:rsidRPr="20D5D3F1" w:rsidR="09312425">
        <w:rPr>
          <w:rFonts w:ascii="Arial" w:hAnsi="Arial" w:eastAsia="Arial" w:cs="Arial"/>
          <w:noProof w:val="0"/>
          <w:sz w:val="22"/>
          <w:szCs w:val="22"/>
          <w:lang w:val="en-GB"/>
        </w:rPr>
        <w:t>9</w:t>
      </w:r>
      <w:r w:rsidRPr="20D5D3F1" w:rsidR="2BC97311">
        <w:rPr>
          <w:rFonts w:ascii="Arial" w:hAnsi="Arial" w:eastAsia="Arial" w:cs="Arial"/>
          <w:noProof w:val="0"/>
          <w:sz w:val="22"/>
          <w:szCs w:val="22"/>
          <w:lang w:val="en-GB"/>
        </w:rPr>
        <w:t xml:space="preserve"> February 2026)</w:t>
      </w:r>
    </w:p>
    <w:p w:rsidR="2BC97311" w:rsidP="58D114AA" w:rsidRDefault="2BC97311" w14:paraId="0ED5BBEB" w14:textId="0E38DA15">
      <w:pPr>
        <w:spacing w:before="240" w:beforeAutospacing="off" w:after="240" w:afterAutospacing="off"/>
        <w:jc w:val="left"/>
      </w:pPr>
      <w:r w:rsidRPr="20D5D3F1" w:rsidR="2BC97311">
        <w:rPr>
          <w:rFonts w:ascii="Arial" w:hAnsi="Arial" w:eastAsia="Arial" w:cs="Arial"/>
          <w:b w:val="1"/>
          <w:bCs w:val="1"/>
          <w:noProof w:val="0"/>
          <w:sz w:val="22"/>
          <w:szCs w:val="22"/>
          <w:lang w:val="en-GB"/>
        </w:rPr>
        <w:t>Figure 3.</w:t>
      </w:r>
      <w:r w:rsidRPr="20D5D3F1" w:rsidR="2BC97311">
        <w:rPr>
          <w:rFonts w:ascii="Arial" w:hAnsi="Arial" w:eastAsia="Arial" w:cs="Arial"/>
          <w:noProof w:val="0"/>
          <w:sz w:val="22"/>
          <w:szCs w:val="22"/>
          <w:lang w:val="en-GB"/>
        </w:rPr>
        <w:t xml:space="preserve"> Impact of wearable technology on weight and BMI in adults and adolescents. Available at: </w:t>
      </w:r>
      <w:hyperlink r:id="R3dec2eaf56d84278">
        <w:r w:rsidRPr="20D5D3F1" w:rsidR="2BC97311">
          <w:rPr>
            <w:rStyle w:val="Hyperlink"/>
            <w:rFonts w:ascii="Arial" w:hAnsi="Arial" w:eastAsia="Arial" w:cs="Arial"/>
            <w:noProof w:val="0"/>
            <w:sz w:val="22"/>
            <w:szCs w:val="22"/>
            <w:lang w:val="en-GB"/>
          </w:rPr>
          <w:t>https://s3.amazonaws.com/libapps/accounts/57093/images/BMI-Chart.gif</w:t>
        </w:r>
      </w:hyperlink>
      <w:r w:rsidRPr="20D5D3F1" w:rsidR="2BC97311">
        <w:rPr>
          <w:rFonts w:ascii="Arial" w:hAnsi="Arial" w:eastAsia="Arial" w:cs="Arial"/>
          <w:noProof w:val="0"/>
          <w:sz w:val="22"/>
          <w:szCs w:val="22"/>
          <w:lang w:val="en-GB"/>
        </w:rPr>
        <w:t xml:space="preserve"> (Accessed: 1</w:t>
      </w:r>
      <w:r w:rsidRPr="20D5D3F1" w:rsidR="53254F36">
        <w:rPr>
          <w:rFonts w:ascii="Arial" w:hAnsi="Arial" w:eastAsia="Arial" w:cs="Arial"/>
          <w:noProof w:val="0"/>
          <w:sz w:val="22"/>
          <w:szCs w:val="22"/>
          <w:lang w:val="en-GB"/>
        </w:rPr>
        <w:t>5</w:t>
      </w:r>
      <w:r w:rsidRPr="20D5D3F1" w:rsidR="2BC97311">
        <w:rPr>
          <w:rFonts w:ascii="Arial" w:hAnsi="Arial" w:eastAsia="Arial" w:cs="Arial"/>
          <w:noProof w:val="0"/>
          <w:sz w:val="22"/>
          <w:szCs w:val="22"/>
          <w:lang w:val="en-GB"/>
        </w:rPr>
        <w:t xml:space="preserve"> February 2026)</w:t>
      </w:r>
    </w:p>
    <w:p w:rsidR="2BC97311" w:rsidP="58D114AA" w:rsidRDefault="2BC97311" w14:paraId="58099EC9" w14:textId="4B244892">
      <w:pPr>
        <w:spacing w:before="240" w:beforeAutospacing="off" w:after="240" w:afterAutospacing="off"/>
        <w:jc w:val="left"/>
      </w:pPr>
      <w:r w:rsidRPr="20D5D3F1" w:rsidR="2BC97311">
        <w:rPr>
          <w:rFonts w:ascii="Arial" w:hAnsi="Arial" w:eastAsia="Arial" w:cs="Arial"/>
          <w:b w:val="1"/>
          <w:bCs w:val="1"/>
          <w:noProof w:val="0"/>
          <w:sz w:val="22"/>
          <w:szCs w:val="22"/>
          <w:lang w:val="en-GB"/>
        </w:rPr>
        <w:t>Figure 4.</w:t>
      </w:r>
      <w:r w:rsidRPr="20D5D3F1" w:rsidR="2BC97311">
        <w:rPr>
          <w:rFonts w:ascii="Arial" w:hAnsi="Arial" w:eastAsia="Arial" w:cs="Arial"/>
          <w:noProof w:val="0"/>
          <w:sz w:val="22"/>
          <w:szCs w:val="22"/>
          <w:lang w:val="en-GB"/>
        </w:rPr>
        <w:t xml:space="preserve"> Challenges and shortfalls of wearable technology in long-term health behaviour change. Available at: </w:t>
      </w:r>
      <w:hyperlink r:id="R10bdc7b6a66f40d5">
        <w:r w:rsidRPr="20D5D3F1" w:rsidR="2BC97311">
          <w:rPr>
            <w:rStyle w:val="Hyperlink"/>
            <w:rFonts w:ascii="Arial" w:hAnsi="Arial" w:eastAsia="Arial" w:cs="Arial"/>
            <w:noProof w:val="0"/>
            <w:sz w:val="22"/>
            <w:szCs w:val="22"/>
            <w:lang w:val="en-GB"/>
          </w:rPr>
          <w:t>https://www.frontiersin.org/files/Articles/329783/fphys-09-00743-HTML-r1/image_m/fphys-09-00743-g001.jpg</w:t>
        </w:r>
      </w:hyperlink>
      <w:r w:rsidRPr="20D5D3F1" w:rsidR="2BC97311">
        <w:rPr>
          <w:rFonts w:ascii="Arial" w:hAnsi="Arial" w:eastAsia="Arial" w:cs="Arial"/>
          <w:noProof w:val="0"/>
          <w:sz w:val="22"/>
          <w:szCs w:val="22"/>
          <w:lang w:val="en-GB"/>
        </w:rPr>
        <w:t xml:space="preserve"> (Accessed: 1</w:t>
      </w:r>
      <w:r w:rsidRPr="20D5D3F1" w:rsidR="5756BF9F">
        <w:rPr>
          <w:rFonts w:ascii="Arial" w:hAnsi="Arial" w:eastAsia="Arial" w:cs="Arial"/>
          <w:noProof w:val="0"/>
          <w:sz w:val="22"/>
          <w:szCs w:val="22"/>
          <w:lang w:val="en-GB"/>
        </w:rPr>
        <w:t>1</w:t>
      </w:r>
      <w:r w:rsidRPr="20D5D3F1" w:rsidR="2BC97311">
        <w:rPr>
          <w:rFonts w:ascii="Arial" w:hAnsi="Arial" w:eastAsia="Arial" w:cs="Arial"/>
          <w:noProof w:val="0"/>
          <w:sz w:val="22"/>
          <w:szCs w:val="22"/>
          <w:lang w:val="en-GB"/>
        </w:rPr>
        <w:t xml:space="preserve"> February 2026)</w:t>
      </w:r>
    </w:p>
    <w:p w:rsidR="2BC97311" w:rsidP="20D5D3F1" w:rsidRDefault="2BC97311" w14:paraId="5685FA1C" w14:textId="3C339309">
      <w:pPr>
        <w:spacing w:before="240" w:beforeAutospacing="off" w:after="240" w:afterAutospacing="off"/>
        <w:jc w:val="left"/>
        <w:rPr>
          <w:rFonts w:ascii="Arial" w:hAnsi="Arial" w:eastAsia="Arial" w:cs="Arial"/>
          <w:noProof w:val="0"/>
          <w:sz w:val="22"/>
          <w:szCs w:val="22"/>
          <w:lang w:val="en-GB"/>
        </w:rPr>
      </w:pPr>
      <w:r w:rsidRPr="155268D2" w:rsidR="2BC97311">
        <w:rPr>
          <w:rFonts w:ascii="Arial" w:hAnsi="Arial" w:eastAsia="Arial" w:cs="Arial"/>
          <w:b w:val="1"/>
          <w:bCs w:val="1"/>
          <w:noProof w:val="0"/>
          <w:sz w:val="22"/>
          <w:szCs w:val="22"/>
          <w:lang w:val="en-GB"/>
        </w:rPr>
        <w:t>Figure 5.</w:t>
      </w:r>
      <w:r w:rsidRPr="155268D2" w:rsidR="2BC97311">
        <w:rPr>
          <w:rFonts w:ascii="Arial" w:hAnsi="Arial" w:eastAsia="Arial" w:cs="Arial"/>
          <w:noProof w:val="0"/>
          <w:sz w:val="22"/>
          <w:szCs w:val="22"/>
          <w:lang w:val="en-GB"/>
        </w:rPr>
        <w:t xml:space="preserve"> Summary of Fitbit’s role in promoting physical activity and supporting weight management. Available at: </w:t>
      </w:r>
      <w:hyperlink r:id="R8e922f8703f24125">
        <w:r w:rsidRPr="155268D2" w:rsidR="2BC97311">
          <w:rPr>
            <w:rStyle w:val="Hyperlink"/>
            <w:rFonts w:ascii="Arial" w:hAnsi="Arial" w:eastAsia="Arial" w:cs="Arial"/>
            <w:noProof w:val="0"/>
            <w:sz w:val="22"/>
            <w:szCs w:val="22"/>
            <w:lang w:val="en-GB"/>
          </w:rPr>
          <w:t>https://img.rawpixel.com/s3fs-private/rawpixel_images/website_content/k-117-chim-0120.jpg</w:t>
        </w:r>
      </w:hyperlink>
      <w:r w:rsidRPr="155268D2" w:rsidR="2BC97311">
        <w:rPr>
          <w:rFonts w:ascii="Arial" w:hAnsi="Arial" w:eastAsia="Arial" w:cs="Arial"/>
          <w:noProof w:val="0"/>
          <w:sz w:val="22"/>
          <w:szCs w:val="22"/>
          <w:lang w:val="en-GB"/>
        </w:rPr>
        <w:t xml:space="preserve"> (Accessed: </w:t>
      </w:r>
      <w:r w:rsidRPr="155268D2" w:rsidR="60C96B0B">
        <w:rPr>
          <w:rFonts w:ascii="Arial" w:hAnsi="Arial" w:eastAsia="Arial" w:cs="Arial"/>
          <w:noProof w:val="0"/>
          <w:sz w:val="22"/>
          <w:szCs w:val="22"/>
          <w:lang w:val="en-GB"/>
        </w:rPr>
        <w:t>22</w:t>
      </w:r>
      <w:r w:rsidRPr="155268D2" w:rsidR="2BC97311">
        <w:rPr>
          <w:rFonts w:ascii="Arial" w:hAnsi="Arial" w:eastAsia="Arial" w:cs="Arial"/>
          <w:noProof w:val="0"/>
          <w:sz w:val="22"/>
          <w:szCs w:val="22"/>
          <w:lang w:val="en-GB"/>
        </w:rPr>
        <w:t xml:space="preserve"> February 2026)</w:t>
      </w:r>
    </w:p>
    <w:p w:rsidR="58D114AA" w:rsidP="155268D2" w:rsidRDefault="58D114AA" w14:paraId="75C07228" w14:textId="3DE78D10">
      <w:pPr>
        <w:spacing w:before="240" w:beforeAutospacing="off" w:after="240" w:afterAutospacing="off" w:line="360" w:lineRule="auto"/>
        <w:ind/>
        <w:jc w:val="left"/>
        <w:rPr>
          <w:rFonts w:ascii="Arial" w:hAnsi="Arial" w:eastAsia="Arial" w:cs="Arial"/>
          <w:noProof w:val="0"/>
          <w:sz w:val="22"/>
          <w:szCs w:val="22"/>
          <w:lang w:val="en-GB"/>
        </w:rPr>
      </w:pPr>
    </w:p>
    <w:p w:rsidR="58D114AA" w:rsidP="155268D2" w:rsidRDefault="58D114AA" w14:paraId="64462279" w14:textId="092CF628">
      <w:pPr>
        <w:spacing w:before="240" w:beforeAutospacing="off" w:after="240" w:afterAutospacing="off" w:line="360" w:lineRule="auto"/>
        <w:ind/>
        <w:jc w:val="left"/>
        <w:rPr>
          <w:rFonts w:ascii="Arial" w:hAnsi="Arial" w:eastAsia="Arial" w:cs="Arial"/>
          <w:noProof w:val="0"/>
          <w:sz w:val="22"/>
          <w:szCs w:val="22"/>
          <w:lang w:val="en-GB"/>
        </w:rPr>
      </w:pPr>
    </w:p>
    <w:p w:rsidR="58D114AA" w:rsidP="155268D2" w:rsidRDefault="58D114AA" w14:paraId="71545571" w14:textId="3F470B64">
      <w:pPr>
        <w:spacing w:before="240" w:beforeAutospacing="off" w:after="240" w:afterAutospacing="off" w:line="360" w:lineRule="auto"/>
        <w:ind/>
        <w:jc w:val="left"/>
        <w:rPr>
          <w:rFonts w:ascii="Arial" w:hAnsi="Arial" w:eastAsia="Arial" w:cs="Arial"/>
          <w:noProof w:val="0"/>
          <w:sz w:val="22"/>
          <w:szCs w:val="22"/>
          <w:lang w:val="en-GB"/>
        </w:rPr>
      </w:pPr>
    </w:p>
    <w:p w:rsidR="58D114AA" w:rsidP="155268D2" w:rsidRDefault="58D114AA" w14:paraId="75BF1229" w14:textId="7F3C542F">
      <w:pPr>
        <w:spacing w:before="240" w:beforeAutospacing="off" w:after="240" w:afterAutospacing="off" w:line="360" w:lineRule="auto"/>
        <w:ind/>
        <w:jc w:val="left"/>
        <w:rPr>
          <w:rFonts w:ascii="Arial" w:hAnsi="Arial" w:eastAsia="Arial" w:cs="Arial"/>
          <w:noProof w:val="0"/>
          <w:sz w:val="22"/>
          <w:szCs w:val="22"/>
          <w:lang w:val="en-GB"/>
        </w:rPr>
      </w:pPr>
    </w:p>
    <w:p w:rsidR="58D114AA" w:rsidP="155268D2" w:rsidRDefault="58D114AA" w14:paraId="3CA3AFEC" w14:textId="48928C5E">
      <w:pPr>
        <w:spacing w:before="240" w:beforeAutospacing="off" w:after="240" w:afterAutospacing="off" w:line="360" w:lineRule="auto"/>
        <w:ind/>
        <w:jc w:val="left"/>
        <w:rPr>
          <w:rFonts w:ascii="Arial" w:hAnsi="Arial" w:eastAsia="Arial" w:cs="Arial"/>
          <w:noProof w:val="0"/>
          <w:sz w:val="22"/>
          <w:szCs w:val="22"/>
          <w:lang w:val="en-GB"/>
        </w:rPr>
      </w:pPr>
    </w:p>
    <w:p w:rsidR="58D114AA" w:rsidP="155268D2" w:rsidRDefault="58D114AA" w14:paraId="78C02250" w14:textId="55873396">
      <w:pPr>
        <w:pStyle w:val="Normal"/>
        <w:spacing w:before="240" w:beforeAutospacing="off" w:after="240" w:afterAutospacing="off" w:line="360" w:lineRule="auto"/>
        <w:ind/>
        <w:jc w:val="left"/>
        <w:rPr>
          <w:rFonts w:ascii="Arial" w:hAnsi="Arial" w:eastAsia="Arial" w:cs="Arial"/>
          <w:noProof w:val="0"/>
          <w:sz w:val="22"/>
          <w:szCs w:val="22"/>
          <w:lang w:val="en-GB"/>
        </w:rPr>
      </w:pPr>
    </w:p>
    <w:p w:rsidR="58D114AA" w:rsidP="155268D2" w:rsidRDefault="58D114AA" w14:paraId="15D7EF14" w14:textId="2A2A0572">
      <w:pPr>
        <w:pStyle w:val="Heading2"/>
        <w:keepNext w:val="1"/>
        <w:keepLines w:val="1"/>
        <w:spacing w:before="299" w:beforeAutospacing="off" w:after="299" w:afterAutospacing="off" w:line="360" w:lineRule="auto"/>
        <w:ind/>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155268D2" w:rsidR="42DFAADE">
        <w:rPr>
          <w:rFonts w:ascii="Arial" w:hAnsi="Arial" w:eastAsia="Arial" w:cs="Arial"/>
          <w:b w:val="1"/>
          <w:bCs w:val="1"/>
          <w:i w:val="0"/>
          <w:iCs w:val="0"/>
          <w:caps w:val="0"/>
          <w:smallCaps w:val="0"/>
          <w:noProof w:val="0"/>
          <w:color w:val="000000" w:themeColor="text1" w:themeTint="FF" w:themeShade="FF"/>
          <w:sz w:val="22"/>
          <w:szCs w:val="22"/>
          <w:lang w:val="en-GB"/>
        </w:rPr>
        <w:t>Blog 2</w:t>
      </w:r>
    </w:p>
    <w:p w:rsidR="58D114AA" w:rsidP="155268D2" w:rsidRDefault="58D114AA" w14:paraId="07AE09AC" w14:textId="2040F3B5">
      <w:pPr>
        <w:spacing w:before="240" w:beforeAutospacing="off" w:after="240" w:afterAutospacing="off" w:line="360" w:lineRule="auto"/>
        <w:ind/>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155268D2" w:rsidR="42DFAADE">
        <w:rPr>
          <w:rFonts w:ascii="Arial" w:hAnsi="Arial" w:eastAsia="Arial" w:cs="Arial"/>
          <w:b w:val="1"/>
          <w:bCs w:val="1"/>
          <w:i w:val="0"/>
          <w:iCs w:val="0"/>
          <w:caps w:val="0"/>
          <w:smallCaps w:val="0"/>
          <w:noProof w:val="0"/>
          <w:color w:val="000000" w:themeColor="text1" w:themeTint="FF" w:themeShade="FF"/>
          <w:sz w:val="22"/>
          <w:szCs w:val="22"/>
          <w:lang w:val="en-GB"/>
        </w:rPr>
        <w:t>The Impact of Mobile Health Applications on Diabetes Management</w:t>
      </w:r>
    </w:p>
    <w:p w:rsidR="58D114AA" w:rsidP="155268D2" w:rsidRDefault="58D114AA" w14:paraId="1287ED35" w14:textId="48E5B647">
      <w:pPr>
        <w:pStyle w:val="Heading3"/>
        <w:keepNext w:val="1"/>
        <w:keepLines w:val="1"/>
        <w:spacing w:before="281" w:beforeAutospacing="off" w:after="281" w:afterAutospacing="off" w:line="360"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55268D2" w:rsidR="42DFAADE">
        <w:rPr>
          <w:rFonts w:ascii="Arial" w:hAnsi="Arial" w:eastAsia="Arial" w:cs="Arial"/>
          <w:b w:val="1"/>
          <w:bCs w:val="1"/>
          <w:i w:val="0"/>
          <w:iCs w:val="0"/>
          <w:caps w:val="0"/>
          <w:smallCaps w:val="0"/>
          <w:noProof w:val="0"/>
          <w:color w:val="000000" w:themeColor="text1" w:themeTint="FF" w:themeShade="FF"/>
          <w:sz w:val="22"/>
          <w:szCs w:val="22"/>
          <w:lang w:val="en-GB"/>
        </w:rPr>
        <w:t>Introduction</w:t>
      </w:r>
    </w:p>
    <w:p w:rsidR="58D114AA" w:rsidP="155268D2" w:rsidRDefault="58D114AA" w14:paraId="59777133" w14:textId="1E782EE2">
      <w:pPr>
        <w:spacing w:before="240" w:beforeAutospacing="off" w:after="240" w:afterAutospacing="off" w:line="360" w:lineRule="auto"/>
        <w:ind/>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42DFAADE">
        <w:drawing>
          <wp:inline wp14:editId="4EB219DE" wp14:anchorId="6AD252EF">
            <wp:extent cx="2876550" cy="2952750"/>
            <wp:effectExtent l="0" t="0" r="0" b="0"/>
            <wp:docPr id="1279500654" name="drawing" title="@Ignatia Webs: Mobile Diabetic: new invention for painless blood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9500654" name="Picture 1279500654"/>
                    <pic:cNvPicPr/>
                  </pic:nvPicPr>
                  <pic:blipFill>
                    <a:blip xmlns:r="http://schemas.openxmlformats.org/officeDocument/2006/relationships" r:embed="rId290443386">
                      <a:extLst>
                        <a:ext uri="{28A0092B-C50C-407E-A947-70E740481C1C}">
                          <a14:useLocalDpi xmlns:a14="http://schemas.microsoft.com/office/drawing/2010/main"/>
                        </a:ext>
                      </a:extLst>
                    </a:blip>
                    <a:stretch>
                      <a:fillRect/>
                    </a:stretch>
                  </pic:blipFill>
                  <pic:spPr>
                    <a:xfrm>
                      <a:off x="0" y="0"/>
                      <a:ext cx="2876550" cy="2952750"/>
                    </a:xfrm>
                    <a:prstGeom prst="rect">
                      <a:avLst/>
                    </a:prstGeom>
                  </pic:spPr>
                </pic:pic>
              </a:graphicData>
            </a:graphic>
          </wp:inline>
        </w:drawing>
      </w:r>
    </w:p>
    <w:p w:rsidR="58D114AA" w:rsidP="155268D2" w:rsidRDefault="58D114AA" w14:paraId="3A022228" w14:textId="26B748D8">
      <w:pPr>
        <w:spacing w:before="240" w:beforeAutospacing="off" w:after="240" w:afterAutospacing="off" w:line="360" w:lineRule="auto"/>
        <w:ind/>
        <w:jc w:val="center"/>
        <w:rPr>
          <w:rFonts w:ascii="Arial" w:hAnsi="Arial" w:eastAsia="Arial" w:cs="Arial"/>
          <w:b w:val="0"/>
          <w:bCs w:val="0"/>
          <w:i w:val="0"/>
          <w:iCs w:val="0"/>
          <w:caps w:val="0"/>
          <w:smallCaps w:val="0"/>
          <w:noProof w:val="0"/>
          <w:color w:val="000000" w:themeColor="text1" w:themeTint="FF" w:themeShade="FF"/>
          <w:sz w:val="16"/>
          <w:szCs w:val="16"/>
          <w:lang w:val="en-GB"/>
        </w:rPr>
      </w:pPr>
      <w:r w:rsidRPr="155268D2" w:rsidR="42DFAADE">
        <w:rPr>
          <w:rFonts w:ascii="Arial" w:hAnsi="Arial" w:eastAsia="Arial" w:cs="Arial"/>
          <w:b w:val="1"/>
          <w:bCs w:val="1"/>
          <w:i w:val="0"/>
          <w:iCs w:val="0"/>
          <w:caps w:val="0"/>
          <w:smallCaps w:val="0"/>
          <w:noProof w:val="0"/>
          <w:color w:val="000000" w:themeColor="text1" w:themeTint="FF" w:themeShade="FF"/>
          <w:sz w:val="16"/>
          <w:szCs w:val="16"/>
          <w:lang w:val="en-GB"/>
        </w:rPr>
        <w:t>Figure 1. Example of a glucose reader used in diabetes monitoring.</w:t>
      </w:r>
    </w:p>
    <w:p w:rsidR="58D114AA" w:rsidP="155268D2" w:rsidRDefault="58D114AA" w14:paraId="5A7CEBB4" w14:textId="6D04CDF7">
      <w:pPr>
        <w:spacing w:before="240" w:beforeAutospacing="off" w:after="24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55268D2" w:rsidR="42DFAADE">
        <w:rPr>
          <w:rFonts w:ascii="Arial" w:hAnsi="Arial" w:eastAsia="Arial" w:cs="Arial"/>
          <w:b w:val="0"/>
          <w:bCs w:val="0"/>
          <w:i w:val="0"/>
          <w:iCs w:val="0"/>
          <w:caps w:val="0"/>
          <w:smallCaps w:val="0"/>
          <w:noProof w:val="0"/>
          <w:color w:val="000000" w:themeColor="text1" w:themeTint="FF" w:themeShade="FF"/>
          <w:sz w:val="22"/>
          <w:szCs w:val="22"/>
          <w:lang w:val="en-GB"/>
        </w:rPr>
        <w:t>Diabetes is a chronic metabolic disorder characterised by high blood glucose levels due to impaired insulin production or action. The prevalence of diabetes is increasing globally, posing a significant burden on healthcare systems and individuals’ quality of life (Cho et al., 2021). Self-management, including monitoring blood glucose, dietary control, and physical activity, is critical in reducing complications. Mobile health (mHealth) applications have emerged as digital tools that support self-management and behavioural change in diabetes care. This blog examines the effectiveness of mHealth apps in improving diabetes outcomes.</w:t>
      </w:r>
    </w:p>
    <w:p w:rsidR="58D114AA" w:rsidP="155268D2" w:rsidRDefault="58D114AA" w14:paraId="1A096261" w14:textId="286D5C76">
      <w:pPr>
        <w:pStyle w:val="Heading3"/>
        <w:keepNext w:val="1"/>
        <w:keepLines w:val="1"/>
        <w:spacing w:before="160" w:beforeAutospacing="off" w:after="8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55268D2" w:rsidR="42DFAADE">
        <w:rPr>
          <w:rFonts w:ascii="Arial" w:hAnsi="Arial" w:eastAsia="Arial" w:cs="Arial"/>
          <w:b w:val="1"/>
          <w:bCs w:val="1"/>
          <w:i w:val="0"/>
          <w:iCs w:val="0"/>
          <w:caps w:val="0"/>
          <w:smallCaps w:val="0"/>
          <w:noProof w:val="0"/>
          <w:color w:val="000000" w:themeColor="text1" w:themeTint="FF" w:themeShade="FF"/>
          <w:sz w:val="22"/>
          <w:szCs w:val="22"/>
          <w:lang w:val="en-GB"/>
        </w:rPr>
        <w:t>Public Health Problem</w:t>
      </w:r>
    </w:p>
    <w:p w:rsidR="58D114AA" w:rsidP="155268D2" w:rsidRDefault="58D114AA" w14:paraId="708E2BFD" w14:textId="32AA3570">
      <w:pPr>
        <w:spacing w:before="240" w:beforeAutospacing="off" w:after="24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55268D2" w:rsidR="42DFAADE">
        <w:rPr>
          <w:rFonts w:ascii="Arial" w:hAnsi="Arial" w:eastAsia="Arial" w:cs="Arial"/>
          <w:b w:val="0"/>
          <w:bCs w:val="0"/>
          <w:i w:val="0"/>
          <w:iCs w:val="0"/>
          <w:caps w:val="0"/>
          <w:smallCaps w:val="0"/>
          <w:noProof w:val="0"/>
          <w:color w:val="000000" w:themeColor="text1" w:themeTint="FF" w:themeShade="FF"/>
          <w:sz w:val="22"/>
          <w:szCs w:val="22"/>
          <w:lang w:val="en-GB"/>
        </w:rPr>
        <w:t>Globally, diabetes affects millions of adults, with prevalence expected to rise in coming decades. Poorly managed diabetes increases the risk of cardiovascular disease, neuropathy, retinopathy, and kidney disease. Interventions that support consistent self-monitoring and adherence to lifestyle changes are therefore essential (Cho et al., 2021). mHealth applications offer real-time tracking of glucose levels, medication adherence, and dietary habits, providing opportunities to enhance self-care behaviours and prevent complications.</w:t>
      </w:r>
    </w:p>
    <w:p w:rsidR="58D114AA" w:rsidP="155268D2" w:rsidRDefault="58D114AA" w14:paraId="63B41466" w14:textId="7E7611E0">
      <w:pPr>
        <w:spacing w:before="240" w:beforeAutospacing="off" w:after="240" w:afterAutospacing="off" w:line="360" w:lineRule="auto"/>
        <w:ind/>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42DFAADE">
        <w:drawing>
          <wp:inline wp14:editId="3CAACB2B" wp14:anchorId="29F865E3">
            <wp:extent cx="2076450" cy="1543050"/>
            <wp:effectExtent l="0" t="0" r="0" b="0"/>
            <wp:docPr id="1847452502" name="drawing" title="PPT - Diabetes: Global Perspective PowerPoint Presentation, free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7452502" name="Picture 1847452502"/>
                    <pic:cNvPicPr/>
                  </pic:nvPicPr>
                  <pic:blipFill>
                    <a:blip xmlns:r="http://schemas.openxmlformats.org/officeDocument/2006/relationships" r:embed="rId157883435">
                      <a:extLst>
                        <a:ext uri="{28A0092B-C50C-407E-A947-70E740481C1C}">
                          <a14:useLocalDpi xmlns:a14="http://schemas.microsoft.com/office/drawing/2010/main"/>
                        </a:ext>
                      </a:extLst>
                    </a:blip>
                    <a:stretch>
                      <a:fillRect/>
                    </a:stretch>
                  </pic:blipFill>
                  <pic:spPr>
                    <a:xfrm>
                      <a:off x="0" y="0"/>
                      <a:ext cx="2076450" cy="1543050"/>
                    </a:xfrm>
                    <a:prstGeom prst="rect">
                      <a:avLst/>
                    </a:prstGeom>
                  </pic:spPr>
                </pic:pic>
              </a:graphicData>
            </a:graphic>
          </wp:inline>
        </w:drawing>
      </w:r>
    </w:p>
    <w:p w:rsidR="58D114AA" w:rsidP="155268D2" w:rsidRDefault="58D114AA" w14:paraId="3AFA6617" w14:textId="4FF6A2CF">
      <w:pPr>
        <w:spacing w:before="240" w:beforeAutospacing="off" w:after="240" w:afterAutospacing="off" w:line="360" w:lineRule="auto"/>
        <w:ind/>
        <w:jc w:val="center"/>
        <w:rPr>
          <w:rFonts w:ascii="Arial" w:hAnsi="Arial" w:eastAsia="Arial" w:cs="Arial"/>
          <w:b w:val="0"/>
          <w:bCs w:val="0"/>
          <w:i w:val="0"/>
          <w:iCs w:val="0"/>
          <w:caps w:val="0"/>
          <w:smallCaps w:val="0"/>
          <w:noProof w:val="0"/>
          <w:color w:val="000000" w:themeColor="text1" w:themeTint="FF" w:themeShade="FF"/>
          <w:sz w:val="16"/>
          <w:szCs w:val="16"/>
          <w:lang w:val="en-GB"/>
        </w:rPr>
      </w:pPr>
      <w:r w:rsidRPr="155268D2" w:rsidR="42DFAADE">
        <w:rPr>
          <w:rFonts w:ascii="Arial" w:hAnsi="Arial" w:eastAsia="Arial" w:cs="Arial"/>
          <w:b w:val="1"/>
          <w:bCs w:val="1"/>
          <w:i w:val="0"/>
          <w:iCs w:val="0"/>
          <w:caps w:val="0"/>
          <w:smallCaps w:val="0"/>
          <w:noProof w:val="0"/>
          <w:color w:val="000000" w:themeColor="text1" w:themeTint="FF" w:themeShade="FF"/>
          <w:sz w:val="16"/>
          <w:szCs w:val="16"/>
          <w:lang w:val="en-GB"/>
        </w:rPr>
        <w:t>Figure 2. Projected global prevalence of diabetes in 2025.</w:t>
      </w:r>
    </w:p>
    <w:p w:rsidR="58D114AA" w:rsidP="155268D2" w:rsidRDefault="58D114AA" w14:paraId="0A8F0C03" w14:textId="52250AF4">
      <w:pPr>
        <w:pStyle w:val="Heading3"/>
        <w:keepNext w:val="1"/>
        <w:keepLines w:val="1"/>
        <w:spacing w:before="160" w:beforeAutospacing="off" w:after="8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55268D2" w:rsidR="42DFAADE">
        <w:rPr>
          <w:rFonts w:ascii="Arial" w:hAnsi="Arial" w:eastAsia="Arial" w:cs="Arial"/>
          <w:b w:val="1"/>
          <w:bCs w:val="1"/>
          <w:i w:val="0"/>
          <w:iCs w:val="0"/>
          <w:caps w:val="0"/>
          <w:smallCaps w:val="0"/>
          <w:noProof w:val="0"/>
          <w:color w:val="000000" w:themeColor="text1" w:themeTint="FF" w:themeShade="FF"/>
          <w:sz w:val="22"/>
          <w:szCs w:val="22"/>
          <w:lang w:val="en-GB"/>
        </w:rPr>
        <w:t>Mobile Health Applications in Diabetes</w:t>
      </w:r>
    </w:p>
    <w:p w:rsidR="58D114AA" w:rsidP="155268D2" w:rsidRDefault="58D114AA" w14:paraId="172720E1" w14:textId="1727FFB1">
      <w:pPr>
        <w:spacing w:before="240" w:beforeAutospacing="off" w:after="24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55268D2" w:rsidR="42DFAADE">
        <w:rPr>
          <w:rFonts w:ascii="Arial" w:hAnsi="Arial" w:eastAsia="Arial" w:cs="Arial"/>
          <w:b w:val="0"/>
          <w:bCs w:val="0"/>
          <w:i w:val="0"/>
          <w:iCs w:val="0"/>
          <w:caps w:val="0"/>
          <w:smallCaps w:val="0"/>
          <w:noProof w:val="0"/>
          <w:color w:val="000000" w:themeColor="text1" w:themeTint="FF" w:themeShade="FF"/>
          <w:sz w:val="22"/>
          <w:szCs w:val="22"/>
          <w:lang w:val="en-GB"/>
        </w:rPr>
        <w:t>Mobile health applications provide features such as blood glucose tracking, reminders for medication, lifestyle coaching, and interactive dashboards. These apps often incorporate behaviour change techniques including self-monitoring, goal-setting, and personalised feedback (Arnhold et al., 2014). Through these features, mHealth applications aim to improve engagement with self-care and encourage sustained adherence to diabetes management plans.</w:t>
      </w:r>
    </w:p>
    <w:p w:rsidR="58D114AA" w:rsidP="155268D2" w:rsidRDefault="58D114AA" w14:paraId="64A7BD7B" w14:textId="1F9B265E">
      <w:pPr>
        <w:spacing w:before="240" w:beforeAutospacing="off" w:after="240" w:afterAutospacing="off" w:line="360" w:lineRule="auto"/>
        <w:ind/>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155268D2" w:rsidR="42DFAAD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42DFAADE">
        <w:drawing>
          <wp:inline wp14:editId="76B1420A" wp14:anchorId="344DB4BC">
            <wp:extent cx="3895725" cy="1638300"/>
            <wp:effectExtent l="0" t="0" r="0" b="0"/>
            <wp:docPr id="255830214" name="drawing" title="International feasibility trial on the use of an interactive mobile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55830214" name="Picture 255830214"/>
                    <pic:cNvPicPr/>
                  </pic:nvPicPr>
                  <pic:blipFill>
                    <a:blip xmlns:r="http://schemas.openxmlformats.org/officeDocument/2006/relationships" r:embed="rId1359259083">
                      <a:extLst>
                        <a:ext uri="{28A0092B-C50C-407E-A947-70E740481C1C}">
                          <a14:useLocalDpi xmlns:a14="http://schemas.microsoft.com/office/drawing/2010/main"/>
                        </a:ext>
                      </a:extLst>
                    </a:blip>
                    <a:stretch>
                      <a:fillRect/>
                    </a:stretch>
                  </pic:blipFill>
                  <pic:spPr>
                    <a:xfrm>
                      <a:off x="0" y="0"/>
                      <a:ext cx="3895725" cy="1638300"/>
                    </a:xfrm>
                    <a:prstGeom prst="rect">
                      <a:avLst/>
                    </a:prstGeom>
                  </pic:spPr>
                </pic:pic>
              </a:graphicData>
            </a:graphic>
          </wp:inline>
        </w:drawing>
      </w:r>
    </w:p>
    <w:p w:rsidR="58D114AA" w:rsidP="155268D2" w:rsidRDefault="58D114AA" w14:paraId="22454A32" w14:textId="7E0CC6E9">
      <w:pPr>
        <w:spacing w:before="240" w:beforeAutospacing="off" w:after="240" w:afterAutospacing="off" w:line="360" w:lineRule="auto"/>
        <w:ind/>
        <w:jc w:val="center"/>
        <w:rPr>
          <w:rFonts w:ascii="Arial" w:hAnsi="Arial" w:eastAsia="Arial" w:cs="Arial"/>
          <w:b w:val="0"/>
          <w:bCs w:val="0"/>
          <w:i w:val="0"/>
          <w:iCs w:val="0"/>
          <w:caps w:val="0"/>
          <w:smallCaps w:val="0"/>
          <w:noProof w:val="0"/>
          <w:color w:val="000000" w:themeColor="text1" w:themeTint="FF" w:themeShade="FF"/>
          <w:sz w:val="16"/>
          <w:szCs w:val="16"/>
          <w:lang w:val="en-GB"/>
        </w:rPr>
      </w:pPr>
      <w:r w:rsidRPr="155268D2" w:rsidR="42DFAADE">
        <w:rPr>
          <w:rFonts w:ascii="Arial" w:hAnsi="Arial" w:eastAsia="Arial" w:cs="Arial"/>
          <w:b w:val="1"/>
          <w:bCs w:val="1"/>
          <w:i w:val="0"/>
          <w:iCs w:val="0"/>
          <w:caps w:val="0"/>
          <w:smallCaps w:val="0"/>
          <w:noProof w:val="0"/>
          <w:color w:val="000000" w:themeColor="text1" w:themeTint="FF" w:themeShade="FF"/>
          <w:sz w:val="16"/>
          <w:szCs w:val="16"/>
          <w:lang w:val="en-GB"/>
        </w:rPr>
        <w:t>Figure 3. Interaction diagram of an interactive mobile health platform.</w:t>
      </w:r>
    </w:p>
    <w:p w:rsidR="58D114AA" w:rsidP="155268D2" w:rsidRDefault="58D114AA" w14:paraId="20BD4B8E" w14:textId="0E2E3185">
      <w:pPr>
        <w:pStyle w:val="Heading3"/>
        <w:keepNext w:val="1"/>
        <w:keepLines w:val="1"/>
        <w:spacing w:before="160" w:beforeAutospacing="off" w:after="8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55268D2" w:rsidR="42DFAADE">
        <w:rPr>
          <w:rFonts w:ascii="Arial" w:hAnsi="Arial" w:eastAsia="Arial" w:cs="Arial"/>
          <w:b w:val="1"/>
          <w:bCs w:val="1"/>
          <w:i w:val="0"/>
          <w:iCs w:val="0"/>
          <w:caps w:val="0"/>
          <w:smallCaps w:val="0"/>
          <w:noProof w:val="0"/>
          <w:color w:val="000000" w:themeColor="text1" w:themeTint="FF" w:themeShade="FF"/>
          <w:sz w:val="22"/>
          <w:szCs w:val="22"/>
          <w:lang w:val="en-GB"/>
        </w:rPr>
        <w:t>Evidence of Effectiveness</w:t>
      </w:r>
    </w:p>
    <w:p w:rsidR="58D114AA" w:rsidP="155268D2" w:rsidRDefault="58D114AA" w14:paraId="7474EF36" w14:textId="0D5FC31B">
      <w:pPr>
        <w:spacing w:before="240" w:beforeAutospacing="off" w:after="24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55268D2" w:rsidR="42DFAADE">
        <w:rPr>
          <w:rFonts w:ascii="Arial" w:hAnsi="Arial" w:eastAsia="Arial" w:cs="Arial"/>
          <w:b w:val="0"/>
          <w:bCs w:val="0"/>
          <w:i w:val="0"/>
          <w:iCs w:val="0"/>
          <w:caps w:val="0"/>
          <w:smallCaps w:val="0"/>
          <w:noProof w:val="0"/>
          <w:color w:val="000000" w:themeColor="text1" w:themeTint="FF" w:themeShade="FF"/>
          <w:sz w:val="22"/>
          <w:szCs w:val="22"/>
          <w:lang w:val="en-GB"/>
        </w:rPr>
        <w:t>Evidence from systematic reviews and randomized controlled trials indicates that mHealth applications can improve glycaemic control in patients with diabetes. Meta-analyses have reported significant reductions in HbA1c levels among app users compared with standard care (Zhou, Chen &amp; Zhang, 2020). Mobile apps that provide personalised feedback and automated reminders have been shown to increase medication adherence, encourage lifestyle modifications, and improve patient satisfaction (Bosi, Scarsella &amp; Maranesi, 2019).</w:t>
      </w:r>
    </w:p>
    <w:p w:rsidR="58D114AA" w:rsidP="155268D2" w:rsidRDefault="58D114AA" w14:paraId="0F3BC4B8" w14:textId="6D7F5ABE">
      <w:pPr>
        <w:spacing w:before="240" w:beforeAutospacing="off" w:after="240" w:afterAutospacing="off" w:line="360" w:lineRule="auto"/>
        <w:ind/>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42DFAADE">
        <w:drawing>
          <wp:inline wp14:editId="0F75281F" wp14:anchorId="774009C7">
            <wp:extent cx="3886200" cy="2047875"/>
            <wp:effectExtent l="0" t="0" r="0" b="0"/>
            <wp:docPr id="414670188" name="drawing" title="減量 hba1c conversion table Hba1c range normal diabetes chart explained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4670188" name="Picture 414670188"/>
                    <pic:cNvPicPr/>
                  </pic:nvPicPr>
                  <pic:blipFill>
                    <a:blip xmlns:r="http://schemas.openxmlformats.org/officeDocument/2006/relationships" r:embed="rId695542570">
                      <a:extLst>
                        <a:ext uri="{28A0092B-C50C-407E-A947-70E740481C1C}">
                          <a14:useLocalDpi xmlns:a14="http://schemas.microsoft.com/office/drawing/2010/main"/>
                        </a:ext>
                      </a:extLst>
                    </a:blip>
                    <a:stretch>
                      <a:fillRect/>
                    </a:stretch>
                  </pic:blipFill>
                  <pic:spPr>
                    <a:xfrm>
                      <a:off x="0" y="0"/>
                      <a:ext cx="3886200" cy="2047875"/>
                    </a:xfrm>
                    <a:prstGeom prst="rect">
                      <a:avLst/>
                    </a:prstGeom>
                  </pic:spPr>
                </pic:pic>
              </a:graphicData>
            </a:graphic>
          </wp:inline>
        </w:drawing>
      </w:r>
    </w:p>
    <w:p w:rsidR="58D114AA" w:rsidP="155268D2" w:rsidRDefault="58D114AA" w14:paraId="67239C8C" w14:textId="2090943F">
      <w:pPr>
        <w:spacing w:before="240" w:beforeAutospacing="off" w:after="240" w:afterAutospacing="off" w:line="360" w:lineRule="auto"/>
        <w:ind/>
        <w:jc w:val="center"/>
        <w:rPr>
          <w:rFonts w:ascii="Arial" w:hAnsi="Arial" w:eastAsia="Arial" w:cs="Arial"/>
          <w:b w:val="0"/>
          <w:bCs w:val="0"/>
          <w:i w:val="0"/>
          <w:iCs w:val="0"/>
          <w:caps w:val="0"/>
          <w:smallCaps w:val="0"/>
          <w:noProof w:val="0"/>
          <w:color w:val="000000" w:themeColor="text1" w:themeTint="FF" w:themeShade="FF"/>
          <w:sz w:val="16"/>
          <w:szCs w:val="16"/>
          <w:lang w:val="en-GB"/>
        </w:rPr>
      </w:pPr>
      <w:r w:rsidRPr="155268D2" w:rsidR="42DFAADE">
        <w:rPr>
          <w:rFonts w:ascii="Arial" w:hAnsi="Arial" w:eastAsia="Arial" w:cs="Arial"/>
          <w:b w:val="1"/>
          <w:bCs w:val="1"/>
          <w:i w:val="0"/>
          <w:iCs w:val="0"/>
          <w:caps w:val="0"/>
          <w:smallCaps w:val="0"/>
          <w:noProof w:val="0"/>
          <w:color w:val="000000" w:themeColor="text1" w:themeTint="FF" w:themeShade="FF"/>
          <w:sz w:val="16"/>
          <w:szCs w:val="16"/>
          <w:lang w:val="en-GB"/>
        </w:rPr>
        <w:t>Figure 4. Typical HbA1c chart showing average blood glucose categories.</w:t>
      </w:r>
    </w:p>
    <w:p w:rsidR="58D114AA" w:rsidP="155268D2" w:rsidRDefault="58D114AA" w14:paraId="251A063E" w14:textId="5E4DCBA7">
      <w:pPr>
        <w:pStyle w:val="Heading3"/>
        <w:keepNext w:val="1"/>
        <w:keepLines w:val="1"/>
        <w:spacing w:before="160" w:beforeAutospacing="off" w:after="8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55268D2" w:rsidR="42DFAADE">
        <w:rPr>
          <w:rFonts w:ascii="Arial" w:hAnsi="Arial" w:eastAsia="Arial" w:cs="Arial"/>
          <w:b w:val="1"/>
          <w:bCs w:val="1"/>
          <w:i w:val="0"/>
          <w:iCs w:val="0"/>
          <w:caps w:val="0"/>
          <w:smallCaps w:val="0"/>
          <w:noProof w:val="0"/>
          <w:color w:val="000000" w:themeColor="text1" w:themeTint="FF" w:themeShade="FF"/>
          <w:sz w:val="22"/>
          <w:szCs w:val="22"/>
          <w:lang w:val="en-GB"/>
        </w:rPr>
        <w:t>Critical Discussion &amp; Shortfalls</w:t>
      </w:r>
    </w:p>
    <w:p w:rsidR="58D114AA" w:rsidP="155268D2" w:rsidRDefault="58D114AA" w14:paraId="7DCECC3A" w14:textId="4D053BAD">
      <w:pPr>
        <w:spacing w:before="240" w:beforeAutospacing="off" w:after="24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55268D2" w:rsidR="42DFAADE">
        <w:rPr>
          <w:rFonts w:ascii="Arial" w:hAnsi="Arial" w:eastAsia="Arial" w:cs="Arial"/>
          <w:b w:val="0"/>
          <w:bCs w:val="0"/>
          <w:i w:val="0"/>
          <w:iCs w:val="0"/>
          <w:caps w:val="0"/>
          <w:smallCaps w:val="0"/>
          <w:noProof w:val="0"/>
          <w:color w:val="000000" w:themeColor="text1" w:themeTint="FF" w:themeShade="FF"/>
          <w:sz w:val="22"/>
          <w:szCs w:val="22"/>
          <w:lang w:val="en-GB"/>
        </w:rPr>
        <w:t>While mHealth applications show promise in diabetes management, limitations exist. Long-term engagement often declines as novelty decreases, reducing effectiveness (Hood et al., 2016). Additionally, apps may not address social determinants of health, such as socioeconomic status or digital literacy, which can impact usage. Integration with healthcare providers and clinical supervision is essential to maximise benefits and ensure safety.</w:t>
      </w:r>
    </w:p>
    <w:p w:rsidR="58D114AA" w:rsidP="155268D2" w:rsidRDefault="58D114AA" w14:paraId="64E09A2D" w14:textId="21A12D44">
      <w:pPr>
        <w:spacing w:before="240" w:beforeAutospacing="off" w:after="240" w:afterAutospacing="off" w:line="360" w:lineRule="auto"/>
        <w:ind/>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42DFAADE">
        <w:drawing>
          <wp:inline wp14:editId="5BBD4F6D" wp14:anchorId="1E81CD20">
            <wp:extent cx="2962275" cy="1952625"/>
            <wp:effectExtent l="0" t="0" r="0" b="0"/>
            <wp:docPr id="1623234737" name="drawing" title="Creating a Winning mHealth App for 2025: A Comprehensive Guide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23234737" name="Picture 1623234737"/>
                    <pic:cNvPicPr/>
                  </pic:nvPicPr>
                  <pic:blipFill>
                    <a:blip xmlns:r="http://schemas.openxmlformats.org/officeDocument/2006/relationships" r:embed="rId619162956">
                      <a:extLst>
                        <a:ext uri="{28A0092B-C50C-407E-A947-70E740481C1C}">
                          <a14:useLocalDpi xmlns:a14="http://schemas.microsoft.com/office/drawing/2010/main"/>
                        </a:ext>
                      </a:extLst>
                    </a:blip>
                    <a:stretch>
                      <a:fillRect/>
                    </a:stretch>
                  </pic:blipFill>
                  <pic:spPr>
                    <a:xfrm>
                      <a:off x="0" y="0"/>
                      <a:ext cx="2962275" cy="1952625"/>
                    </a:xfrm>
                    <a:prstGeom prst="rect">
                      <a:avLst/>
                    </a:prstGeom>
                  </pic:spPr>
                </pic:pic>
              </a:graphicData>
            </a:graphic>
          </wp:inline>
        </w:drawing>
      </w:r>
    </w:p>
    <w:p w:rsidR="58D114AA" w:rsidP="155268D2" w:rsidRDefault="58D114AA" w14:paraId="6EFB37ED" w14:textId="6D78D237">
      <w:pPr>
        <w:spacing w:before="240" w:beforeAutospacing="off" w:after="240" w:afterAutospacing="off" w:line="360" w:lineRule="auto"/>
        <w:ind/>
        <w:jc w:val="center"/>
        <w:rPr>
          <w:rFonts w:ascii="Arial" w:hAnsi="Arial" w:eastAsia="Arial" w:cs="Arial"/>
          <w:b w:val="0"/>
          <w:bCs w:val="0"/>
          <w:i w:val="0"/>
          <w:iCs w:val="0"/>
          <w:caps w:val="0"/>
          <w:smallCaps w:val="0"/>
          <w:noProof w:val="0"/>
          <w:color w:val="000000" w:themeColor="text1" w:themeTint="FF" w:themeShade="FF"/>
          <w:sz w:val="16"/>
          <w:szCs w:val="16"/>
          <w:lang w:val="en-GB"/>
        </w:rPr>
      </w:pPr>
      <w:r w:rsidRPr="155268D2" w:rsidR="42DFAADE">
        <w:rPr>
          <w:rFonts w:ascii="Arial" w:hAnsi="Arial" w:eastAsia="Arial" w:cs="Arial"/>
          <w:b w:val="1"/>
          <w:bCs w:val="1"/>
          <w:i w:val="0"/>
          <w:iCs w:val="0"/>
          <w:caps w:val="0"/>
          <w:smallCaps w:val="0"/>
          <w:noProof w:val="0"/>
          <w:color w:val="000000" w:themeColor="text1" w:themeTint="FF" w:themeShade="FF"/>
          <w:sz w:val="16"/>
          <w:szCs w:val="16"/>
          <w:lang w:val="en-GB"/>
        </w:rPr>
        <w:t>Figure 5. Factors influencing long-term engagement with mHealth apps.</w:t>
      </w:r>
    </w:p>
    <w:p w:rsidR="58D114AA" w:rsidP="155268D2" w:rsidRDefault="58D114AA" w14:paraId="5B23710D" w14:textId="4A5FDA38">
      <w:pPr>
        <w:pStyle w:val="Heading3"/>
        <w:keepNext w:val="1"/>
        <w:keepLines w:val="1"/>
        <w:spacing w:before="160" w:beforeAutospacing="off" w:after="8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55268D2" w:rsidR="42DFAADE">
        <w:rPr>
          <w:rFonts w:ascii="Arial" w:hAnsi="Arial" w:eastAsia="Arial" w:cs="Arial"/>
          <w:b w:val="1"/>
          <w:bCs w:val="1"/>
          <w:i w:val="0"/>
          <w:iCs w:val="0"/>
          <w:caps w:val="0"/>
          <w:smallCaps w:val="0"/>
          <w:noProof w:val="0"/>
          <w:color w:val="000000" w:themeColor="text1" w:themeTint="FF" w:themeShade="FF"/>
          <w:sz w:val="22"/>
          <w:szCs w:val="22"/>
          <w:lang w:val="en-GB"/>
        </w:rPr>
        <w:t>Conclusion</w:t>
      </w:r>
    </w:p>
    <w:p w:rsidR="58D114AA" w:rsidP="155268D2" w:rsidRDefault="58D114AA" w14:paraId="6AA460C5" w14:textId="282201DD">
      <w:pPr>
        <w:spacing w:before="240" w:beforeAutospacing="off" w:after="24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55268D2" w:rsidR="42DFAADE">
        <w:rPr>
          <w:rFonts w:ascii="Arial" w:hAnsi="Arial" w:eastAsia="Arial" w:cs="Arial"/>
          <w:b w:val="0"/>
          <w:bCs w:val="0"/>
          <w:i w:val="0"/>
          <w:iCs w:val="0"/>
          <w:caps w:val="0"/>
          <w:smallCaps w:val="0"/>
          <w:noProof w:val="0"/>
          <w:color w:val="000000" w:themeColor="text1" w:themeTint="FF" w:themeShade="FF"/>
          <w:sz w:val="22"/>
          <w:szCs w:val="22"/>
          <w:lang w:val="en-GB"/>
        </w:rPr>
        <w:t>mHealth applications provide effective support for diabetes self-management, improving glucose control, adherence, and patient engagement. Although not a replacement for clinical care, these apps can complement healthcare strategies, offering real-time feedback, self-monitoring, and behavioural support to reinforce healthy behaviours. Effective implementation requires consideration of long-term engagement, accessibility, and integration with healthcare systems (Quinn et al., 2011).</w:t>
      </w:r>
    </w:p>
    <w:p w:rsidR="58D114AA" w:rsidP="155268D2" w:rsidRDefault="58D114AA" w14:paraId="700FD63B" w14:textId="77CA8A88">
      <w:pPr>
        <w:spacing w:before="240" w:beforeAutospacing="off" w:after="240" w:afterAutospacing="off" w:line="360" w:lineRule="auto"/>
        <w:ind/>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42DFAADE">
        <w:drawing>
          <wp:inline wp14:editId="616861CB" wp14:anchorId="2BD3F2CE">
            <wp:extent cx="2647950" cy="2066925"/>
            <wp:effectExtent l="0" t="0" r="0" b="0"/>
            <wp:docPr id="693099510" name="drawing" title="Build A Diabetes Management App Like MySugr In 2024"/>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93099510" name="Picture 693099510"/>
                    <pic:cNvPicPr/>
                  </pic:nvPicPr>
                  <pic:blipFill>
                    <a:blip xmlns:r="http://schemas.openxmlformats.org/officeDocument/2006/relationships" r:embed="rId722238568">
                      <a:extLst>
                        <a:ext uri="{28A0092B-C50C-407E-A947-70E740481C1C}">
                          <a14:useLocalDpi xmlns:a14="http://schemas.microsoft.com/office/drawing/2010/main"/>
                        </a:ext>
                      </a:extLst>
                    </a:blip>
                    <a:stretch>
                      <a:fillRect/>
                    </a:stretch>
                  </pic:blipFill>
                  <pic:spPr>
                    <a:xfrm>
                      <a:off x="0" y="0"/>
                      <a:ext cx="2647950" cy="2066925"/>
                    </a:xfrm>
                    <a:prstGeom prst="rect">
                      <a:avLst/>
                    </a:prstGeom>
                  </pic:spPr>
                </pic:pic>
              </a:graphicData>
            </a:graphic>
          </wp:inline>
        </w:drawing>
      </w:r>
    </w:p>
    <w:p w:rsidR="58D114AA" w:rsidP="155268D2" w:rsidRDefault="58D114AA" w14:paraId="10218FE2" w14:textId="43C0EA8A">
      <w:pPr>
        <w:spacing w:before="240" w:beforeAutospacing="off" w:after="240" w:afterAutospacing="off" w:line="360" w:lineRule="auto"/>
        <w:ind/>
        <w:jc w:val="center"/>
        <w:rPr>
          <w:rFonts w:ascii="Arial" w:hAnsi="Arial" w:eastAsia="Arial" w:cs="Arial"/>
          <w:b w:val="0"/>
          <w:bCs w:val="0"/>
          <w:i w:val="0"/>
          <w:iCs w:val="0"/>
          <w:caps w:val="0"/>
          <w:smallCaps w:val="0"/>
          <w:noProof w:val="0"/>
          <w:color w:val="000000" w:themeColor="text1" w:themeTint="FF" w:themeShade="FF"/>
          <w:sz w:val="16"/>
          <w:szCs w:val="16"/>
          <w:lang w:val="en-GB"/>
        </w:rPr>
      </w:pPr>
      <w:r w:rsidRPr="155268D2" w:rsidR="42DFAADE">
        <w:rPr>
          <w:rFonts w:ascii="Arial" w:hAnsi="Arial" w:eastAsia="Arial" w:cs="Arial"/>
          <w:b w:val="1"/>
          <w:bCs w:val="1"/>
          <w:i w:val="0"/>
          <w:iCs w:val="0"/>
          <w:caps w:val="0"/>
          <w:smallCaps w:val="0"/>
          <w:noProof w:val="0"/>
          <w:color w:val="000000" w:themeColor="text1" w:themeTint="FF" w:themeShade="FF"/>
          <w:sz w:val="16"/>
          <w:szCs w:val="16"/>
          <w:lang w:val="en-GB"/>
        </w:rPr>
        <w:t>Figure 6 User panel features of diabetes management apps</w:t>
      </w:r>
    </w:p>
    <w:p w:rsidR="58D114AA" w:rsidP="155268D2" w:rsidRDefault="58D114AA" w14:paraId="01BD778F" w14:textId="5C2ED289">
      <w:pPr>
        <w:pStyle w:val="Heading3"/>
        <w:keepNext w:val="1"/>
        <w:keepLines w:val="1"/>
        <w:spacing w:before="160" w:beforeAutospacing="off" w:after="8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155268D2" w:rsidR="42DFAADE">
        <w:rPr>
          <w:rFonts w:ascii="Arial" w:hAnsi="Arial" w:eastAsia="Arial" w:cs="Arial"/>
          <w:b w:val="1"/>
          <w:bCs w:val="1"/>
          <w:i w:val="0"/>
          <w:iCs w:val="0"/>
          <w:caps w:val="0"/>
          <w:smallCaps w:val="0"/>
          <w:noProof w:val="0"/>
          <w:color w:val="000000" w:themeColor="text1" w:themeTint="FF" w:themeShade="FF"/>
          <w:sz w:val="22"/>
          <w:szCs w:val="22"/>
          <w:lang w:val="en-GB"/>
        </w:rPr>
        <w:t>References</w:t>
      </w:r>
    </w:p>
    <w:p w:rsidR="58D114AA" w:rsidP="155268D2" w:rsidRDefault="58D114AA" w14:paraId="34102FED" w14:textId="526899D1">
      <w:pPr>
        <w:pStyle w:val="Heading3"/>
        <w:keepNext w:val="1"/>
        <w:keepLines w:val="1"/>
        <w:spacing w:before="160" w:beforeAutospacing="off" w:after="8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155268D2" w:rsidR="42DFAADE">
        <w:rPr>
          <w:rFonts w:ascii="Arial" w:hAnsi="Arial" w:eastAsia="Arial" w:cs="Arial"/>
          <w:b w:val="0"/>
          <w:bCs w:val="0"/>
          <w:i w:val="0"/>
          <w:iCs w:val="0"/>
          <w:caps w:val="0"/>
          <w:smallCaps w:val="0"/>
          <w:noProof w:val="0"/>
          <w:color w:val="000000" w:themeColor="text1" w:themeTint="FF" w:themeShade="FF"/>
          <w:sz w:val="22"/>
          <w:szCs w:val="22"/>
          <w:lang w:val="en-GB"/>
        </w:rPr>
        <w:t xml:space="preserve">Arnhold, M., Quade, M., &amp; Kirch, W. (2014) ‘Mobile applications for diabetics: A systematic review and expert-based usability evaluation considering the special requirements of diabetes patients age 50 years or older’, </w:t>
      </w:r>
      <w:r w:rsidRPr="155268D2" w:rsidR="42DFAADE">
        <w:rPr>
          <w:rFonts w:ascii="Arial" w:hAnsi="Arial" w:eastAsia="Arial" w:cs="Arial"/>
          <w:b w:val="0"/>
          <w:bCs w:val="0"/>
          <w:i w:val="1"/>
          <w:iCs w:val="1"/>
          <w:caps w:val="0"/>
          <w:smallCaps w:val="0"/>
          <w:noProof w:val="0"/>
          <w:color w:val="000000" w:themeColor="text1" w:themeTint="FF" w:themeShade="FF"/>
          <w:sz w:val="22"/>
          <w:szCs w:val="22"/>
          <w:lang w:val="en-GB"/>
        </w:rPr>
        <w:t>Journal of Medical Internet Research</w:t>
      </w:r>
      <w:r w:rsidRPr="155268D2" w:rsidR="42DFAADE">
        <w:rPr>
          <w:rFonts w:ascii="Arial" w:hAnsi="Arial" w:eastAsia="Arial" w:cs="Arial"/>
          <w:b w:val="0"/>
          <w:bCs w:val="0"/>
          <w:i w:val="0"/>
          <w:iCs w:val="0"/>
          <w:caps w:val="0"/>
          <w:smallCaps w:val="0"/>
          <w:noProof w:val="0"/>
          <w:color w:val="000000" w:themeColor="text1" w:themeTint="FF" w:themeShade="FF"/>
          <w:sz w:val="22"/>
          <w:szCs w:val="22"/>
          <w:lang w:val="en-GB"/>
        </w:rPr>
        <w:t>, 16(4), e104.</w:t>
      </w:r>
    </w:p>
    <w:p w:rsidR="58D114AA" w:rsidP="155268D2" w:rsidRDefault="58D114AA" w14:paraId="3467701E" w14:textId="57A7B51E">
      <w:pPr>
        <w:spacing w:before="240" w:beforeAutospacing="off" w:after="24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155268D2" w:rsidR="42DFAADE">
        <w:rPr>
          <w:rFonts w:ascii="Arial" w:hAnsi="Arial" w:eastAsia="Arial" w:cs="Arial"/>
          <w:b w:val="0"/>
          <w:bCs w:val="0"/>
          <w:i w:val="0"/>
          <w:iCs w:val="0"/>
          <w:caps w:val="0"/>
          <w:smallCaps w:val="0"/>
          <w:noProof w:val="0"/>
          <w:color w:val="000000" w:themeColor="text1" w:themeTint="FF" w:themeShade="FF"/>
          <w:sz w:val="22"/>
          <w:szCs w:val="22"/>
          <w:lang w:val="en-GB"/>
        </w:rPr>
        <w:t xml:space="preserve">Bosi, E., Scarsella, A., &amp; Maranesi, E. (2019) ‘Mobile health apps for diabetes management: Evidence from clinical trials’, </w:t>
      </w:r>
      <w:r w:rsidRPr="155268D2" w:rsidR="42DFAADE">
        <w:rPr>
          <w:rFonts w:ascii="Arial" w:hAnsi="Arial" w:eastAsia="Arial" w:cs="Arial"/>
          <w:b w:val="0"/>
          <w:bCs w:val="0"/>
          <w:i w:val="1"/>
          <w:iCs w:val="1"/>
          <w:caps w:val="0"/>
          <w:smallCaps w:val="0"/>
          <w:noProof w:val="0"/>
          <w:color w:val="000000" w:themeColor="text1" w:themeTint="FF" w:themeShade="FF"/>
          <w:sz w:val="22"/>
          <w:szCs w:val="22"/>
          <w:lang w:val="en-GB"/>
        </w:rPr>
        <w:t>Journal of Diabetes Science and Technology</w:t>
      </w:r>
      <w:r w:rsidRPr="155268D2" w:rsidR="42DFAADE">
        <w:rPr>
          <w:rFonts w:ascii="Arial" w:hAnsi="Arial" w:eastAsia="Arial" w:cs="Arial"/>
          <w:b w:val="0"/>
          <w:bCs w:val="0"/>
          <w:i w:val="0"/>
          <w:iCs w:val="0"/>
          <w:caps w:val="0"/>
          <w:smallCaps w:val="0"/>
          <w:noProof w:val="0"/>
          <w:color w:val="000000" w:themeColor="text1" w:themeTint="FF" w:themeShade="FF"/>
          <w:sz w:val="22"/>
          <w:szCs w:val="22"/>
          <w:lang w:val="en-GB"/>
        </w:rPr>
        <w:t>, 13(3), pp. 523–531.</w:t>
      </w:r>
    </w:p>
    <w:p w:rsidR="58D114AA" w:rsidP="155268D2" w:rsidRDefault="58D114AA" w14:paraId="76655BC2" w14:textId="3BB6B690">
      <w:pPr>
        <w:spacing w:before="240" w:beforeAutospacing="off" w:after="24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155268D2" w:rsidR="42DFAADE">
        <w:rPr>
          <w:rFonts w:ascii="Arial" w:hAnsi="Arial" w:eastAsia="Arial" w:cs="Arial"/>
          <w:b w:val="0"/>
          <w:bCs w:val="0"/>
          <w:i w:val="0"/>
          <w:iCs w:val="0"/>
          <w:caps w:val="0"/>
          <w:smallCaps w:val="0"/>
          <w:noProof w:val="0"/>
          <w:color w:val="000000" w:themeColor="text1" w:themeTint="FF" w:themeShade="FF"/>
          <w:sz w:val="22"/>
          <w:szCs w:val="22"/>
          <w:lang w:val="en-GB"/>
        </w:rPr>
        <w:t xml:space="preserve">Cho, N.H., Shaw, J.E., Karuranga, S. et al. (2021) ‘IDF Diabetes Atlas: Global estimates of diabetes prevalence for 2021 and projections for 2045’, </w:t>
      </w:r>
      <w:r w:rsidRPr="155268D2" w:rsidR="42DFAADE">
        <w:rPr>
          <w:rFonts w:ascii="Arial" w:hAnsi="Arial" w:eastAsia="Arial" w:cs="Arial"/>
          <w:b w:val="0"/>
          <w:bCs w:val="0"/>
          <w:i w:val="1"/>
          <w:iCs w:val="1"/>
          <w:caps w:val="0"/>
          <w:smallCaps w:val="0"/>
          <w:noProof w:val="0"/>
          <w:color w:val="000000" w:themeColor="text1" w:themeTint="FF" w:themeShade="FF"/>
          <w:sz w:val="22"/>
          <w:szCs w:val="22"/>
          <w:lang w:val="en-GB"/>
        </w:rPr>
        <w:t>Diabetes Research and Clinical Practice</w:t>
      </w:r>
      <w:r w:rsidRPr="155268D2" w:rsidR="42DFAADE">
        <w:rPr>
          <w:rFonts w:ascii="Arial" w:hAnsi="Arial" w:eastAsia="Arial" w:cs="Arial"/>
          <w:b w:val="0"/>
          <w:bCs w:val="0"/>
          <w:i w:val="0"/>
          <w:iCs w:val="0"/>
          <w:caps w:val="0"/>
          <w:smallCaps w:val="0"/>
          <w:noProof w:val="0"/>
          <w:color w:val="000000" w:themeColor="text1" w:themeTint="FF" w:themeShade="FF"/>
          <w:sz w:val="22"/>
          <w:szCs w:val="22"/>
          <w:lang w:val="en-GB"/>
        </w:rPr>
        <w:t>, 183, 109119.</w:t>
      </w:r>
    </w:p>
    <w:p w:rsidR="58D114AA" w:rsidP="155268D2" w:rsidRDefault="58D114AA" w14:paraId="3B423C6F" w14:textId="146A6F6F">
      <w:pPr>
        <w:spacing w:before="240" w:beforeAutospacing="off" w:after="24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155268D2" w:rsidR="42DFAADE">
        <w:rPr>
          <w:rFonts w:ascii="Arial" w:hAnsi="Arial" w:eastAsia="Arial" w:cs="Arial"/>
          <w:b w:val="0"/>
          <w:bCs w:val="0"/>
          <w:i w:val="0"/>
          <w:iCs w:val="0"/>
          <w:caps w:val="0"/>
          <w:smallCaps w:val="0"/>
          <w:noProof w:val="0"/>
          <w:color w:val="000000" w:themeColor="text1" w:themeTint="FF" w:themeShade="FF"/>
          <w:sz w:val="22"/>
          <w:szCs w:val="22"/>
          <w:lang w:val="en-GB"/>
        </w:rPr>
        <w:t xml:space="preserve">Hood, M., Wilson, R., Corsica, J.A., &amp; Bradley, L.A. (2016) ‘The role of mobile apps in diabetes self-management: A systematic review’, </w:t>
      </w:r>
      <w:r w:rsidRPr="155268D2" w:rsidR="42DFAADE">
        <w:rPr>
          <w:rFonts w:ascii="Arial" w:hAnsi="Arial" w:eastAsia="Arial" w:cs="Arial"/>
          <w:b w:val="0"/>
          <w:bCs w:val="0"/>
          <w:i w:val="1"/>
          <w:iCs w:val="1"/>
          <w:caps w:val="0"/>
          <w:smallCaps w:val="0"/>
          <w:noProof w:val="0"/>
          <w:color w:val="000000" w:themeColor="text1" w:themeTint="FF" w:themeShade="FF"/>
          <w:sz w:val="22"/>
          <w:szCs w:val="22"/>
          <w:lang w:val="en-GB"/>
        </w:rPr>
        <w:t>Journal of Diabetes Science and Technology</w:t>
      </w:r>
      <w:r w:rsidRPr="155268D2" w:rsidR="42DFAADE">
        <w:rPr>
          <w:rFonts w:ascii="Arial" w:hAnsi="Arial" w:eastAsia="Arial" w:cs="Arial"/>
          <w:b w:val="0"/>
          <w:bCs w:val="0"/>
          <w:i w:val="0"/>
          <w:iCs w:val="0"/>
          <w:caps w:val="0"/>
          <w:smallCaps w:val="0"/>
          <w:noProof w:val="0"/>
          <w:color w:val="000000" w:themeColor="text1" w:themeTint="FF" w:themeShade="FF"/>
          <w:sz w:val="22"/>
          <w:szCs w:val="22"/>
          <w:lang w:val="en-GB"/>
        </w:rPr>
        <w:t>, 10(2), pp. 401–408.</w:t>
      </w:r>
    </w:p>
    <w:p w:rsidR="58D114AA" w:rsidP="155268D2" w:rsidRDefault="58D114AA" w14:paraId="063AA09A" w14:textId="6B9EC6F3">
      <w:pPr>
        <w:spacing w:before="240" w:beforeAutospacing="off" w:after="24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155268D2" w:rsidR="42DFAADE">
        <w:rPr>
          <w:rFonts w:ascii="Arial" w:hAnsi="Arial" w:eastAsia="Arial" w:cs="Arial"/>
          <w:b w:val="0"/>
          <w:bCs w:val="0"/>
          <w:i w:val="0"/>
          <w:iCs w:val="0"/>
          <w:caps w:val="0"/>
          <w:smallCaps w:val="0"/>
          <w:noProof w:val="0"/>
          <w:color w:val="000000" w:themeColor="text1" w:themeTint="FF" w:themeShade="FF"/>
          <w:sz w:val="22"/>
          <w:szCs w:val="22"/>
          <w:lang w:val="en-GB"/>
        </w:rPr>
        <w:t xml:space="preserve">Quinn, C.C., Clough, S.S., Minor, J.M. et al. (2011) ‘WellDoc mobile diabetes management randomized controlled trial: Change in clinical and behavioral outcomes’, </w:t>
      </w:r>
      <w:r w:rsidRPr="155268D2" w:rsidR="42DFAADE">
        <w:rPr>
          <w:rFonts w:ascii="Arial" w:hAnsi="Arial" w:eastAsia="Arial" w:cs="Arial"/>
          <w:b w:val="0"/>
          <w:bCs w:val="0"/>
          <w:i w:val="1"/>
          <w:iCs w:val="1"/>
          <w:caps w:val="0"/>
          <w:smallCaps w:val="0"/>
          <w:noProof w:val="0"/>
          <w:color w:val="000000" w:themeColor="text1" w:themeTint="FF" w:themeShade="FF"/>
          <w:sz w:val="22"/>
          <w:szCs w:val="22"/>
          <w:lang w:val="en-GB"/>
        </w:rPr>
        <w:t>Diabetes Care</w:t>
      </w:r>
      <w:r w:rsidRPr="155268D2" w:rsidR="42DFAADE">
        <w:rPr>
          <w:rFonts w:ascii="Arial" w:hAnsi="Arial" w:eastAsia="Arial" w:cs="Arial"/>
          <w:b w:val="0"/>
          <w:bCs w:val="0"/>
          <w:i w:val="0"/>
          <w:iCs w:val="0"/>
          <w:caps w:val="0"/>
          <w:smallCaps w:val="0"/>
          <w:noProof w:val="0"/>
          <w:color w:val="000000" w:themeColor="text1" w:themeTint="FF" w:themeShade="FF"/>
          <w:sz w:val="22"/>
          <w:szCs w:val="22"/>
          <w:lang w:val="en-GB"/>
        </w:rPr>
        <w:t>, 34(5), pp. 1934–1941.</w:t>
      </w:r>
    </w:p>
    <w:p w:rsidR="58D114AA" w:rsidP="155268D2" w:rsidRDefault="58D114AA" w14:paraId="4FE6B4E6" w14:textId="4E382530">
      <w:pPr>
        <w:spacing w:before="240" w:beforeAutospacing="off" w:after="24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155268D2" w:rsidR="42DFAADE">
        <w:rPr>
          <w:rFonts w:ascii="Arial" w:hAnsi="Arial" w:eastAsia="Arial" w:cs="Arial"/>
          <w:b w:val="0"/>
          <w:bCs w:val="0"/>
          <w:i w:val="0"/>
          <w:iCs w:val="0"/>
          <w:caps w:val="0"/>
          <w:smallCaps w:val="0"/>
          <w:noProof w:val="0"/>
          <w:color w:val="000000" w:themeColor="text1" w:themeTint="FF" w:themeShade="FF"/>
          <w:sz w:val="22"/>
          <w:szCs w:val="22"/>
          <w:lang w:val="en-GB"/>
        </w:rPr>
        <w:t xml:space="preserve">Zhou, W., Chen, J., &amp; Zhang, W. (2020) ‘Efficacy of mobile health applications in improving glycaemic control in diabetes: A meta-analysis of randomized controlled trials’, </w:t>
      </w:r>
      <w:r w:rsidRPr="155268D2" w:rsidR="42DFAADE">
        <w:rPr>
          <w:rFonts w:ascii="Arial" w:hAnsi="Arial" w:eastAsia="Arial" w:cs="Arial"/>
          <w:b w:val="0"/>
          <w:bCs w:val="0"/>
          <w:i w:val="1"/>
          <w:iCs w:val="1"/>
          <w:caps w:val="0"/>
          <w:smallCaps w:val="0"/>
          <w:noProof w:val="0"/>
          <w:color w:val="000000" w:themeColor="text1" w:themeTint="FF" w:themeShade="FF"/>
          <w:sz w:val="22"/>
          <w:szCs w:val="22"/>
          <w:lang w:val="en-GB"/>
        </w:rPr>
        <w:t>Diabetes Therapy</w:t>
      </w:r>
      <w:r w:rsidRPr="155268D2" w:rsidR="42DFAADE">
        <w:rPr>
          <w:rFonts w:ascii="Arial" w:hAnsi="Arial" w:eastAsia="Arial" w:cs="Arial"/>
          <w:b w:val="0"/>
          <w:bCs w:val="0"/>
          <w:i w:val="0"/>
          <w:iCs w:val="0"/>
          <w:caps w:val="0"/>
          <w:smallCaps w:val="0"/>
          <w:noProof w:val="0"/>
          <w:color w:val="000000" w:themeColor="text1" w:themeTint="FF" w:themeShade="FF"/>
          <w:sz w:val="22"/>
          <w:szCs w:val="22"/>
          <w:lang w:val="en-GB"/>
        </w:rPr>
        <w:t>, 11, pp. 235–249.</w:t>
      </w:r>
    </w:p>
    <w:p w:rsidR="58D114AA" w:rsidP="155268D2" w:rsidRDefault="58D114AA" w14:paraId="1A5956C4" w14:textId="7DF47A3B">
      <w:pPr>
        <w:spacing w:before="240" w:beforeAutospacing="off" w:after="24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155268D2" w:rsidR="42DFAADE">
        <w:rPr>
          <w:rFonts w:ascii="Arial" w:hAnsi="Arial" w:eastAsia="Arial" w:cs="Arial"/>
          <w:b w:val="1"/>
          <w:bCs w:val="1"/>
          <w:i w:val="0"/>
          <w:iCs w:val="0"/>
          <w:caps w:val="0"/>
          <w:smallCaps w:val="0"/>
          <w:noProof w:val="0"/>
          <w:color w:val="000000" w:themeColor="text1" w:themeTint="FF" w:themeShade="FF"/>
          <w:sz w:val="22"/>
          <w:szCs w:val="22"/>
          <w:lang w:val="en-GB"/>
        </w:rPr>
        <w:t>Image Sources section</w:t>
      </w:r>
    </w:p>
    <w:p w:rsidR="58D114AA" w:rsidP="155268D2" w:rsidRDefault="58D114AA" w14:paraId="15EEF556" w14:textId="52C4EADF">
      <w:pPr>
        <w:spacing w:before="240" w:beforeAutospacing="off" w:after="24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155268D2" w:rsidR="42DFAADE">
        <w:rPr>
          <w:rFonts w:ascii="Arial" w:hAnsi="Arial" w:eastAsia="Arial" w:cs="Arial"/>
          <w:b w:val="1"/>
          <w:bCs w:val="1"/>
          <w:i w:val="0"/>
          <w:iCs w:val="0"/>
          <w:caps w:val="0"/>
          <w:smallCaps w:val="0"/>
          <w:noProof w:val="0"/>
          <w:color w:val="000000" w:themeColor="text1" w:themeTint="FF" w:themeShade="FF"/>
          <w:sz w:val="22"/>
          <w:szCs w:val="22"/>
          <w:lang w:val="en-GB"/>
        </w:rPr>
        <w:t>Figure 1.</w:t>
      </w:r>
      <w:r w:rsidRPr="155268D2" w:rsidR="42DFAADE">
        <w:rPr>
          <w:rFonts w:ascii="Arial" w:hAnsi="Arial" w:eastAsia="Arial" w:cs="Arial"/>
          <w:b w:val="0"/>
          <w:bCs w:val="0"/>
          <w:i w:val="0"/>
          <w:iCs w:val="0"/>
          <w:caps w:val="0"/>
          <w:smallCaps w:val="0"/>
          <w:noProof w:val="0"/>
          <w:color w:val="000000" w:themeColor="text1" w:themeTint="FF" w:themeShade="FF"/>
          <w:sz w:val="22"/>
          <w:szCs w:val="22"/>
          <w:lang w:val="en-GB"/>
        </w:rPr>
        <w:t xml:space="preserve"> Glucose meter showing blood sugar reading. Available at: </w:t>
      </w:r>
      <w:hyperlink r:id="R5c4095ac6abb497a">
        <w:r w:rsidRPr="155268D2" w:rsidR="42DFAADE">
          <w:rPr>
            <w:rStyle w:val="Hyperlink"/>
            <w:rFonts w:ascii="Arial" w:hAnsi="Arial" w:eastAsia="Arial" w:cs="Arial"/>
            <w:b w:val="0"/>
            <w:bCs w:val="0"/>
            <w:i w:val="0"/>
            <w:iCs w:val="0"/>
            <w:caps w:val="0"/>
            <w:smallCaps w:val="0"/>
            <w:strike w:val="0"/>
            <w:dstrike w:val="0"/>
            <w:noProof w:val="0"/>
            <w:sz w:val="22"/>
            <w:szCs w:val="22"/>
            <w:lang w:val="en-GB"/>
          </w:rPr>
          <w:t>https://1.bp.blogspot.com/-UI29OuKDjxY/Ta_q4CHL-EI/AAAAAAAABEg/sNv7Lb-Tyc8/s1600/glucoreader.jpg</w:t>
        </w:r>
      </w:hyperlink>
      <w:r w:rsidRPr="155268D2" w:rsidR="42DFAAD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10 February 2026)</w:t>
      </w:r>
    </w:p>
    <w:p w:rsidR="58D114AA" w:rsidP="155268D2" w:rsidRDefault="58D114AA" w14:paraId="326E496D" w14:textId="6E39DBD1">
      <w:pPr>
        <w:spacing w:before="240" w:beforeAutospacing="off" w:after="24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155268D2" w:rsidR="42DFAADE">
        <w:rPr>
          <w:rFonts w:ascii="Arial" w:hAnsi="Arial" w:eastAsia="Arial" w:cs="Arial"/>
          <w:b w:val="1"/>
          <w:bCs w:val="1"/>
          <w:i w:val="0"/>
          <w:iCs w:val="0"/>
          <w:caps w:val="0"/>
          <w:smallCaps w:val="0"/>
          <w:noProof w:val="0"/>
          <w:color w:val="000000" w:themeColor="text1" w:themeTint="FF" w:themeShade="FF"/>
          <w:sz w:val="22"/>
          <w:szCs w:val="22"/>
          <w:lang w:val="en-GB"/>
        </w:rPr>
        <w:t>Figure 2.</w:t>
      </w:r>
      <w:r w:rsidRPr="155268D2" w:rsidR="42DFAADE">
        <w:rPr>
          <w:rFonts w:ascii="Arial" w:hAnsi="Arial" w:eastAsia="Arial" w:cs="Arial"/>
          <w:b w:val="0"/>
          <w:bCs w:val="0"/>
          <w:i w:val="0"/>
          <w:iCs w:val="0"/>
          <w:caps w:val="0"/>
          <w:smallCaps w:val="0"/>
          <w:noProof w:val="0"/>
          <w:color w:val="000000" w:themeColor="text1" w:themeTint="FF" w:themeShade="FF"/>
          <w:sz w:val="22"/>
          <w:szCs w:val="22"/>
          <w:lang w:val="en-GB"/>
        </w:rPr>
        <w:t xml:space="preserve"> Projected global diabetes prevalence. Available at: </w:t>
      </w:r>
      <w:hyperlink r:id="Rd5811420b93e4722">
        <w:r w:rsidRPr="155268D2" w:rsidR="42DFAADE">
          <w:rPr>
            <w:rStyle w:val="Hyperlink"/>
            <w:rFonts w:ascii="Arial" w:hAnsi="Arial" w:eastAsia="Arial" w:cs="Arial"/>
            <w:b w:val="0"/>
            <w:bCs w:val="0"/>
            <w:i w:val="0"/>
            <w:iCs w:val="0"/>
            <w:caps w:val="0"/>
            <w:smallCaps w:val="0"/>
            <w:strike w:val="0"/>
            <w:dstrike w:val="0"/>
            <w:noProof w:val="0"/>
            <w:sz w:val="22"/>
            <w:szCs w:val="22"/>
            <w:lang w:val="en-GB"/>
          </w:rPr>
          <w:t>https://image.slideserve.com/1204982/estimated-world-prevalence-of-diabetes-2025-l.jpg</w:t>
        </w:r>
      </w:hyperlink>
      <w:r w:rsidRPr="155268D2" w:rsidR="42DFAAD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13 February 2026)</w:t>
      </w:r>
    </w:p>
    <w:p w:rsidR="58D114AA" w:rsidP="155268D2" w:rsidRDefault="58D114AA" w14:paraId="4990558B" w14:textId="0FF6D172">
      <w:pPr>
        <w:spacing w:before="240" w:beforeAutospacing="off" w:after="24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155268D2" w:rsidR="42DFAADE">
        <w:rPr>
          <w:rFonts w:ascii="Arial" w:hAnsi="Arial" w:eastAsia="Arial" w:cs="Arial"/>
          <w:b w:val="1"/>
          <w:bCs w:val="1"/>
          <w:i w:val="0"/>
          <w:iCs w:val="0"/>
          <w:caps w:val="0"/>
          <w:smallCaps w:val="0"/>
          <w:noProof w:val="0"/>
          <w:color w:val="000000" w:themeColor="text1" w:themeTint="FF" w:themeShade="FF"/>
          <w:sz w:val="22"/>
          <w:szCs w:val="22"/>
          <w:lang w:val="en-GB"/>
        </w:rPr>
        <w:t>Figure 3.</w:t>
      </w:r>
      <w:r w:rsidRPr="155268D2" w:rsidR="42DFAADE">
        <w:rPr>
          <w:rFonts w:ascii="Arial" w:hAnsi="Arial" w:eastAsia="Arial" w:cs="Arial"/>
          <w:b w:val="0"/>
          <w:bCs w:val="0"/>
          <w:i w:val="0"/>
          <w:iCs w:val="0"/>
          <w:caps w:val="0"/>
          <w:smallCaps w:val="0"/>
          <w:noProof w:val="0"/>
          <w:color w:val="000000" w:themeColor="text1" w:themeTint="FF" w:themeShade="FF"/>
          <w:sz w:val="22"/>
          <w:szCs w:val="22"/>
          <w:lang w:val="en-GB"/>
        </w:rPr>
        <w:t xml:space="preserve"> Interaction diagram of an interactive mobile health platform. Available at: </w:t>
      </w:r>
      <w:hyperlink r:id="Rc5cd79f833554afb">
        <w:r w:rsidRPr="155268D2" w:rsidR="42DFAADE">
          <w:rPr>
            <w:rStyle w:val="Hyperlink"/>
            <w:rFonts w:ascii="Arial" w:hAnsi="Arial" w:eastAsia="Arial" w:cs="Arial"/>
            <w:b w:val="0"/>
            <w:bCs w:val="0"/>
            <w:i w:val="0"/>
            <w:iCs w:val="0"/>
            <w:caps w:val="0"/>
            <w:smallCaps w:val="0"/>
            <w:strike w:val="0"/>
            <w:dstrike w:val="0"/>
            <w:noProof w:val="0"/>
            <w:sz w:val="22"/>
            <w:szCs w:val="22"/>
            <w:lang w:val="en-GB"/>
          </w:rPr>
          <w:t>https://informatics.bmj.com/content/bmjhci/26/1/e100042/F2.large.jpg?width=800&amp;height=600&amp;carousel=1</w:t>
        </w:r>
      </w:hyperlink>
      <w:r w:rsidRPr="155268D2" w:rsidR="42DFAAD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17 February 2026)</w:t>
      </w:r>
    </w:p>
    <w:p w:rsidR="58D114AA" w:rsidP="155268D2" w:rsidRDefault="58D114AA" w14:paraId="61ECDA0D" w14:textId="3913241B">
      <w:pPr>
        <w:spacing w:before="240" w:beforeAutospacing="off" w:after="24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155268D2" w:rsidR="42DFAADE">
        <w:rPr>
          <w:rFonts w:ascii="Arial" w:hAnsi="Arial" w:eastAsia="Arial" w:cs="Arial"/>
          <w:b w:val="1"/>
          <w:bCs w:val="1"/>
          <w:i w:val="0"/>
          <w:iCs w:val="0"/>
          <w:caps w:val="0"/>
          <w:smallCaps w:val="0"/>
          <w:noProof w:val="0"/>
          <w:color w:val="000000" w:themeColor="text1" w:themeTint="FF" w:themeShade="FF"/>
          <w:sz w:val="22"/>
          <w:szCs w:val="22"/>
          <w:lang w:val="en-GB"/>
        </w:rPr>
        <w:t>Figure 4.</w:t>
      </w:r>
      <w:r w:rsidRPr="155268D2" w:rsidR="42DFAADE">
        <w:rPr>
          <w:rFonts w:ascii="Arial" w:hAnsi="Arial" w:eastAsia="Arial" w:cs="Arial"/>
          <w:b w:val="0"/>
          <w:bCs w:val="0"/>
          <w:i w:val="0"/>
          <w:iCs w:val="0"/>
          <w:caps w:val="0"/>
          <w:smallCaps w:val="0"/>
          <w:noProof w:val="0"/>
          <w:color w:val="000000" w:themeColor="text1" w:themeTint="FF" w:themeShade="FF"/>
          <w:sz w:val="22"/>
          <w:szCs w:val="22"/>
          <w:lang w:val="en-GB"/>
        </w:rPr>
        <w:t xml:space="preserve"> Typical HbA1c chart showing average blood glucose categories. Available at: </w:t>
      </w:r>
      <w:hyperlink r:id="R404c3ec9643e430f">
        <w:r w:rsidRPr="155268D2" w:rsidR="42DFAADE">
          <w:rPr>
            <w:rStyle w:val="Hyperlink"/>
            <w:rFonts w:ascii="Arial" w:hAnsi="Arial" w:eastAsia="Arial" w:cs="Arial"/>
            <w:b w:val="0"/>
            <w:bCs w:val="0"/>
            <w:i w:val="0"/>
            <w:iCs w:val="0"/>
            <w:caps w:val="0"/>
            <w:smallCaps w:val="0"/>
            <w:strike w:val="0"/>
            <w:dstrike w:val="0"/>
            <w:noProof w:val="0"/>
            <w:sz w:val="22"/>
            <w:szCs w:val="22"/>
            <w:lang w:val="en-GB"/>
          </w:rPr>
          <w:t>https://healthjade.com/wp-content/uploads/2018/08/HbA1c-chart.jpg</w:t>
        </w:r>
      </w:hyperlink>
      <w:r w:rsidRPr="155268D2" w:rsidR="42DFAAD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16 February 2026)</w:t>
      </w:r>
    </w:p>
    <w:p w:rsidR="58D114AA" w:rsidP="155268D2" w:rsidRDefault="58D114AA" w14:paraId="567C853D" w14:textId="4E297108">
      <w:pPr>
        <w:spacing w:before="240" w:beforeAutospacing="off" w:after="24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155268D2" w:rsidR="42DFAADE">
        <w:rPr>
          <w:rFonts w:ascii="Arial" w:hAnsi="Arial" w:eastAsia="Arial" w:cs="Arial"/>
          <w:b w:val="1"/>
          <w:bCs w:val="1"/>
          <w:i w:val="0"/>
          <w:iCs w:val="0"/>
          <w:caps w:val="0"/>
          <w:smallCaps w:val="0"/>
          <w:noProof w:val="0"/>
          <w:color w:val="000000" w:themeColor="text1" w:themeTint="FF" w:themeShade="FF"/>
          <w:sz w:val="22"/>
          <w:szCs w:val="22"/>
          <w:lang w:val="en-GB"/>
        </w:rPr>
        <w:t>Figure 5.</w:t>
      </w:r>
      <w:r w:rsidRPr="155268D2" w:rsidR="42DFAADE">
        <w:rPr>
          <w:rFonts w:ascii="Arial" w:hAnsi="Arial" w:eastAsia="Arial" w:cs="Arial"/>
          <w:b w:val="0"/>
          <w:bCs w:val="0"/>
          <w:i w:val="0"/>
          <w:iCs w:val="0"/>
          <w:caps w:val="0"/>
          <w:smallCaps w:val="0"/>
          <w:noProof w:val="0"/>
          <w:color w:val="000000" w:themeColor="text1" w:themeTint="FF" w:themeShade="FF"/>
          <w:sz w:val="22"/>
          <w:szCs w:val="22"/>
          <w:lang w:val="en-GB"/>
        </w:rPr>
        <w:t xml:space="preserve"> Factors influencing long-term engagement with mHealth apps. Available at: </w:t>
      </w:r>
      <w:hyperlink r:id="Rebfd757f9f3e4c69">
        <w:r w:rsidRPr="155268D2" w:rsidR="42DFAADE">
          <w:rPr>
            <w:rStyle w:val="Hyperlink"/>
            <w:rFonts w:ascii="Arial" w:hAnsi="Arial" w:eastAsia="Arial" w:cs="Arial"/>
            <w:b w:val="0"/>
            <w:bCs w:val="0"/>
            <w:i w:val="0"/>
            <w:iCs w:val="0"/>
            <w:caps w:val="0"/>
            <w:smallCaps w:val="0"/>
            <w:strike w:val="0"/>
            <w:dstrike w:val="0"/>
            <w:noProof w:val="0"/>
            <w:sz w:val="22"/>
            <w:szCs w:val="22"/>
            <w:lang w:val="en-GB"/>
          </w:rPr>
          <w:t>https://healthindustrytrends.com/wp-content/uploads/2025/06/creating-a-winning-mhealth-app-for-2025-a-comprehensive-guide-2-1024x640.png</w:t>
        </w:r>
      </w:hyperlink>
      <w:r w:rsidRPr="155268D2" w:rsidR="42DFAAD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19 February 2026)</w:t>
      </w:r>
    </w:p>
    <w:p w:rsidR="58D114AA" w:rsidP="155268D2" w:rsidRDefault="58D114AA" w14:paraId="38D15E27" w14:textId="7068168C">
      <w:pPr>
        <w:spacing w:before="240" w:beforeAutospacing="off" w:after="24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155268D2" w:rsidR="42DFAADE">
        <w:rPr>
          <w:rFonts w:ascii="Arial" w:hAnsi="Arial" w:eastAsia="Arial" w:cs="Arial"/>
          <w:b w:val="1"/>
          <w:bCs w:val="1"/>
          <w:i w:val="0"/>
          <w:iCs w:val="0"/>
          <w:caps w:val="0"/>
          <w:smallCaps w:val="0"/>
          <w:noProof w:val="0"/>
          <w:color w:val="000000" w:themeColor="text1" w:themeTint="FF" w:themeShade="FF"/>
          <w:sz w:val="22"/>
          <w:szCs w:val="22"/>
          <w:lang w:val="en-GB"/>
        </w:rPr>
        <w:t>Figure 6.</w:t>
      </w:r>
      <w:r w:rsidRPr="155268D2" w:rsidR="42DFAADE">
        <w:rPr>
          <w:rFonts w:ascii="Arial" w:hAnsi="Arial" w:eastAsia="Arial" w:cs="Arial"/>
          <w:b w:val="0"/>
          <w:bCs w:val="0"/>
          <w:i w:val="0"/>
          <w:iCs w:val="0"/>
          <w:caps w:val="0"/>
          <w:smallCaps w:val="0"/>
          <w:noProof w:val="0"/>
          <w:color w:val="000000" w:themeColor="text1" w:themeTint="FF" w:themeShade="FF"/>
          <w:sz w:val="22"/>
          <w:szCs w:val="22"/>
          <w:lang w:val="en-GB"/>
        </w:rPr>
        <w:t xml:space="preserve"> User panel features of diabetes management apps. Available at: </w:t>
      </w:r>
      <w:hyperlink r:id="R28e540d117994b32">
        <w:r w:rsidRPr="155268D2" w:rsidR="42DFAADE">
          <w:rPr>
            <w:rStyle w:val="Hyperlink"/>
            <w:rFonts w:ascii="Arial" w:hAnsi="Arial" w:eastAsia="Arial" w:cs="Arial"/>
            <w:b w:val="0"/>
            <w:bCs w:val="0"/>
            <w:i w:val="0"/>
            <w:iCs w:val="0"/>
            <w:caps w:val="0"/>
            <w:smallCaps w:val="0"/>
            <w:noProof w:val="0"/>
            <w:sz w:val="22"/>
            <w:szCs w:val="22"/>
            <w:lang w:val="en-GB"/>
          </w:rPr>
          <w:t>https://devtechnosys.com/insights/wp-content/uploads/2023/12/User-Panel-of-Features-of-Diabetes-Management-Apps-Like-MySugr.jpg</w:t>
        </w:r>
      </w:hyperlink>
      <w:r w:rsidRPr="155268D2" w:rsidR="42DFAAD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10 February 2026)</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2c26e9a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39d920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00956e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d65b8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85d2d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e0bbe9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845DF6"/>
    <w:rsid w:val="0099D587"/>
    <w:rsid w:val="014B4D62"/>
    <w:rsid w:val="0205AF1C"/>
    <w:rsid w:val="02277596"/>
    <w:rsid w:val="065B2467"/>
    <w:rsid w:val="0776EAA3"/>
    <w:rsid w:val="081414E2"/>
    <w:rsid w:val="08DD8458"/>
    <w:rsid w:val="09202BF2"/>
    <w:rsid w:val="09312425"/>
    <w:rsid w:val="0B146BF2"/>
    <w:rsid w:val="0C932556"/>
    <w:rsid w:val="0D19F414"/>
    <w:rsid w:val="10905CF1"/>
    <w:rsid w:val="12196BE9"/>
    <w:rsid w:val="125760B1"/>
    <w:rsid w:val="125F3B7C"/>
    <w:rsid w:val="1281E419"/>
    <w:rsid w:val="155268D2"/>
    <w:rsid w:val="16ABD5AA"/>
    <w:rsid w:val="188E5867"/>
    <w:rsid w:val="1923D563"/>
    <w:rsid w:val="1A3095E5"/>
    <w:rsid w:val="1B72E2D8"/>
    <w:rsid w:val="1B890193"/>
    <w:rsid w:val="1CAA2DB7"/>
    <w:rsid w:val="1DC168CC"/>
    <w:rsid w:val="1E3BA03E"/>
    <w:rsid w:val="1F8BDB71"/>
    <w:rsid w:val="2050DBD0"/>
    <w:rsid w:val="20D5D3F1"/>
    <w:rsid w:val="21559FC3"/>
    <w:rsid w:val="223CB945"/>
    <w:rsid w:val="22807E64"/>
    <w:rsid w:val="22F4CF91"/>
    <w:rsid w:val="232C68BE"/>
    <w:rsid w:val="245274E0"/>
    <w:rsid w:val="245492ED"/>
    <w:rsid w:val="25AA3A88"/>
    <w:rsid w:val="280CCD77"/>
    <w:rsid w:val="2BC97311"/>
    <w:rsid w:val="2BEAFFA3"/>
    <w:rsid w:val="2C0794CA"/>
    <w:rsid w:val="2E08EF97"/>
    <w:rsid w:val="2EC8E058"/>
    <w:rsid w:val="2F8BCA18"/>
    <w:rsid w:val="30793387"/>
    <w:rsid w:val="317644B6"/>
    <w:rsid w:val="31845DF6"/>
    <w:rsid w:val="31A8C30A"/>
    <w:rsid w:val="31B5289E"/>
    <w:rsid w:val="327B3E52"/>
    <w:rsid w:val="33C1BDF7"/>
    <w:rsid w:val="34ED922F"/>
    <w:rsid w:val="37EA2ECD"/>
    <w:rsid w:val="38B1F0CA"/>
    <w:rsid w:val="38F11BF7"/>
    <w:rsid w:val="39635160"/>
    <w:rsid w:val="39EE875B"/>
    <w:rsid w:val="3A39A6D1"/>
    <w:rsid w:val="3B6B6D37"/>
    <w:rsid w:val="3C09059A"/>
    <w:rsid w:val="3E68954B"/>
    <w:rsid w:val="3F1D7036"/>
    <w:rsid w:val="40C1349E"/>
    <w:rsid w:val="424302E2"/>
    <w:rsid w:val="42DFAADE"/>
    <w:rsid w:val="44157399"/>
    <w:rsid w:val="4568BD56"/>
    <w:rsid w:val="487FEF09"/>
    <w:rsid w:val="48DEC24D"/>
    <w:rsid w:val="496349B2"/>
    <w:rsid w:val="4DBADF2A"/>
    <w:rsid w:val="4DC35C04"/>
    <w:rsid w:val="52BB08A6"/>
    <w:rsid w:val="53081F04"/>
    <w:rsid w:val="53254F36"/>
    <w:rsid w:val="53E0FEAB"/>
    <w:rsid w:val="53F73099"/>
    <w:rsid w:val="5533C657"/>
    <w:rsid w:val="55879AE3"/>
    <w:rsid w:val="55BD2BD4"/>
    <w:rsid w:val="56D94F7E"/>
    <w:rsid w:val="5756BF9F"/>
    <w:rsid w:val="57A53587"/>
    <w:rsid w:val="5867E527"/>
    <w:rsid w:val="58969B27"/>
    <w:rsid w:val="58D114AA"/>
    <w:rsid w:val="592E95C9"/>
    <w:rsid w:val="597D9534"/>
    <w:rsid w:val="5A4C790D"/>
    <w:rsid w:val="5B459400"/>
    <w:rsid w:val="5B461ED5"/>
    <w:rsid w:val="5B71108C"/>
    <w:rsid w:val="5CA4344A"/>
    <w:rsid w:val="5CE28C4F"/>
    <w:rsid w:val="5D8C2A64"/>
    <w:rsid w:val="60264F55"/>
    <w:rsid w:val="60ABB4DC"/>
    <w:rsid w:val="60C96B0B"/>
    <w:rsid w:val="62600BEA"/>
    <w:rsid w:val="62743694"/>
    <w:rsid w:val="6343519C"/>
    <w:rsid w:val="64269DFD"/>
    <w:rsid w:val="6669B4ED"/>
    <w:rsid w:val="6762168A"/>
    <w:rsid w:val="67C903AC"/>
    <w:rsid w:val="6B026D0D"/>
    <w:rsid w:val="6B23DACA"/>
    <w:rsid w:val="6B8AD1BF"/>
    <w:rsid w:val="6C45372E"/>
    <w:rsid w:val="6D404DC5"/>
    <w:rsid w:val="6DD127E1"/>
    <w:rsid w:val="70A06670"/>
    <w:rsid w:val="70C31A97"/>
    <w:rsid w:val="70F3A2DA"/>
    <w:rsid w:val="71684B4B"/>
    <w:rsid w:val="723334DF"/>
    <w:rsid w:val="740B8B5D"/>
    <w:rsid w:val="74983BDD"/>
    <w:rsid w:val="74A7E604"/>
    <w:rsid w:val="750655CF"/>
    <w:rsid w:val="7618E3B6"/>
    <w:rsid w:val="79D8E6A1"/>
    <w:rsid w:val="7AE69ABF"/>
    <w:rsid w:val="7B633791"/>
    <w:rsid w:val="7E045945"/>
    <w:rsid w:val="7E0B390F"/>
    <w:rsid w:val="7FE0D9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1B0AE"/>
  <w15:chartTrackingRefBased/>
  <w15:docId w15:val="{BD1359EA-9D73-44C6-9464-6E7D1A0CFF5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58D114A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8D114AA"/>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58D114AA"/>
    <w:pPr>
      <w:spacing/>
      <w:ind w:left="720"/>
      <w:contextualSpacing/>
    </w:pPr>
  </w:style>
  <w:style w:type="character" w:styleId="Hyperlink">
    <w:uiPriority w:val="99"/>
    <w:name w:val="Hyperlink"/>
    <w:basedOn w:val="DefaultParagraphFont"/>
    <w:unhideWhenUsed/>
    <w:rsid w:val="58D114A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068148396" /><Relationship Type="http://schemas.openxmlformats.org/officeDocument/2006/relationships/image" Target="/media/image.jpg" Id="rId515728581" /><Relationship Type="http://schemas.openxmlformats.org/officeDocument/2006/relationships/image" Target="/media/image2.jpg" Id="rId1918626350" /><Relationship Type="http://schemas.openxmlformats.org/officeDocument/2006/relationships/image" Target="/media/image.gif" Id="rId830340222" /><Relationship Type="http://schemas.openxmlformats.org/officeDocument/2006/relationships/image" Target="/media/image3.jpg" Id="rId783026862" /><Relationship Type="http://schemas.openxmlformats.org/officeDocument/2006/relationships/image" Target="/media/image4.jpg" Id="rId1776500297" /><Relationship Type="http://schemas.openxmlformats.org/officeDocument/2006/relationships/hyperlink" Target="https://1.bp.blogspot.com/-D1C3p6rQT1o/V---4MgP5FI/AAAAAAAARJo/PBDgzhrqFBMW1rQZ9HDOV5FQT2mitCkUQCLcB/w1200-h630-p-k-no-nu/Fitbit-watch-family_2.png" TargetMode="External" Id="R7955c77d6ab94c6b" /><Relationship Type="http://schemas.openxmlformats.org/officeDocument/2006/relationships/numbering" Target="/word/numbering.xml" Id="Rc8a52805c57342bb" /><Relationship Type="http://schemas.openxmlformats.org/officeDocument/2006/relationships/hyperlink" Target="https://nobaproject.com/images/shared/images/000/000/528/original.jpg" TargetMode="External" Id="Rc2ae019fd22f428b" /><Relationship Type="http://schemas.openxmlformats.org/officeDocument/2006/relationships/hyperlink" Target="https://s3.amazonaws.com/libapps/accounts/57093/images/BMI-Chart.gif" TargetMode="External" Id="R3dec2eaf56d84278" /><Relationship Type="http://schemas.openxmlformats.org/officeDocument/2006/relationships/hyperlink" Target="https://www.frontiersin.org/files/Articles/329783/fphys-09-00743-HTML-r1/image_m/fphys-09-00743-g001.jpg" TargetMode="External" Id="R10bdc7b6a66f40d5" /><Relationship Type="http://schemas.openxmlformats.org/officeDocument/2006/relationships/hyperlink" Target="https://img.rawpixel.com/s3fs-private/rawpixel_images/website_content/k-117-chim-0120.jpg" TargetMode="External" Id="R8e922f8703f24125" /><Relationship Type="http://schemas.openxmlformats.org/officeDocument/2006/relationships/image" Target="/media/image2.png" Id="rId290443386" /><Relationship Type="http://schemas.openxmlformats.org/officeDocument/2006/relationships/image" Target="/media/image3.png" Id="rId157883435" /><Relationship Type="http://schemas.openxmlformats.org/officeDocument/2006/relationships/image" Target="/media/image4.png" Id="rId1359259083" /><Relationship Type="http://schemas.openxmlformats.org/officeDocument/2006/relationships/image" Target="/media/image5.png" Id="rId695542570" /><Relationship Type="http://schemas.openxmlformats.org/officeDocument/2006/relationships/image" Target="/media/image6.png" Id="rId619162956" /><Relationship Type="http://schemas.openxmlformats.org/officeDocument/2006/relationships/image" Target="/media/image7.png" Id="rId722238568" /><Relationship Type="http://schemas.openxmlformats.org/officeDocument/2006/relationships/hyperlink" Target="https://1.bp.blogspot.com/-UI29OuKDjxY/Ta_q4CHL-EI/AAAAAAAABEg/sNv7Lb-Tyc8/s1600/glucoreader.jpg" TargetMode="External" Id="R5c4095ac6abb497a" /><Relationship Type="http://schemas.openxmlformats.org/officeDocument/2006/relationships/hyperlink" Target="https://image.slideserve.com/1204982/estimated-world-prevalence-of-diabetes-2025-l.jpg" TargetMode="External" Id="Rd5811420b93e4722" /><Relationship Type="http://schemas.openxmlformats.org/officeDocument/2006/relationships/hyperlink" Target="https://informatics.bmj.com/content/bmjhci/26/1/e100042/F2.large.jpg?width=800&amp;height=600&amp;carousel=1" TargetMode="External" Id="Rc5cd79f833554afb" /><Relationship Type="http://schemas.openxmlformats.org/officeDocument/2006/relationships/hyperlink" Target="https://healthjade.com/wp-content/uploads/2018/08/HbA1c-chart.jpg" TargetMode="External" Id="R404c3ec9643e430f" /><Relationship Type="http://schemas.openxmlformats.org/officeDocument/2006/relationships/hyperlink" Target="https://healthindustrytrends.com/wp-content/uploads/2025/06/creating-a-winning-mhealth-app-for-2025-a-comprehensive-guide-2-1024x640.png" TargetMode="External" Id="Rebfd757f9f3e4c69" /><Relationship Type="http://schemas.openxmlformats.org/officeDocument/2006/relationships/hyperlink" Target="https://devtechnosys.com/insights/wp-content/uploads/2023/12/User-Panel-of-Features-of-Diabetes-Management-Apps-Like-MySugr.jpg" TargetMode="External" Id="R28e540d117994b3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Nazia Ali (2208450)</dc:creator>
  <keywords/>
  <dc:description/>
  <lastModifiedBy>Nazia Ali (2208450)</lastModifiedBy>
  <revision>4</revision>
  <dcterms:created xsi:type="dcterms:W3CDTF">2026-02-12T19:28:28.4990004Z</dcterms:created>
  <dcterms:modified xsi:type="dcterms:W3CDTF">2026-02-24T04:40:49.2390097Z</dcterms:modified>
</coreProperties>
</file>