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4587F" w14:textId="0FA79775" w:rsidR="00E057B8" w:rsidRDefault="00533D27" w:rsidP="00533D27">
      <w:pPr>
        <w:jc w:val="center"/>
        <w:rPr>
          <w:rFonts w:ascii="Times New Roman" w:eastAsia="Times New Roman" w:hAnsi="Times New Roman" w:cs="Times New Roman"/>
          <w:b/>
          <w:bCs/>
          <w:sz w:val="32"/>
          <w:szCs w:val="32"/>
          <w:lang w:val="en-GB"/>
        </w:rPr>
      </w:pPr>
      <w:r>
        <w:rPr>
          <w:rFonts w:ascii="Times New Roman"/>
          <w:noProof/>
          <w:sz w:val="20"/>
        </w:rPr>
        <w:drawing>
          <wp:anchor distT="0" distB="0" distL="114300" distR="114300" simplePos="0" relativeHeight="251660288" behindDoc="0" locked="0" layoutInCell="1" allowOverlap="1" wp14:anchorId="0218A6AF" wp14:editId="6CC2FE6D">
            <wp:simplePos x="0" y="0"/>
            <wp:positionH relativeFrom="margin">
              <wp:align>left</wp:align>
            </wp:positionH>
            <wp:positionV relativeFrom="paragraph">
              <wp:posOffset>0</wp:posOffset>
            </wp:positionV>
            <wp:extent cx="1805940" cy="678180"/>
            <wp:effectExtent l="0" t="0" r="3810" b="7620"/>
            <wp:wrapTopAndBottom/>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5940" cy="678180"/>
                    </a:xfrm>
                    <a:prstGeom prst="rect">
                      <a:avLst/>
                    </a:prstGeom>
                  </pic:spPr>
                </pic:pic>
              </a:graphicData>
            </a:graphic>
            <wp14:sizeRelH relativeFrom="page">
              <wp14:pctWidth>0</wp14:pctWidth>
            </wp14:sizeRelH>
            <wp14:sizeRelV relativeFrom="page">
              <wp14:pctHeight>0</wp14:pctHeight>
            </wp14:sizeRelV>
          </wp:anchor>
        </w:drawing>
      </w:r>
    </w:p>
    <w:p w14:paraId="40763AAE" w14:textId="3056D8B5" w:rsidR="003630B4" w:rsidRPr="00623A7F"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Module Code: BMHP5014</w:t>
      </w:r>
    </w:p>
    <w:p w14:paraId="12B5F7B6" w14:textId="77777777" w:rsidR="003630B4" w:rsidRPr="00623A7F"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 xml:space="preserve">Module Title: Changemakers: Creativity and Value Creation </w:t>
      </w:r>
    </w:p>
    <w:p w14:paraId="69ECB411" w14:textId="77777777" w:rsidR="003630B4" w:rsidRPr="00623A7F" w:rsidRDefault="003630B4" w:rsidP="00533D27">
      <w:pPr>
        <w:spacing w:before="240"/>
        <w:jc w:val="center"/>
        <w:rPr>
          <w:rFonts w:ascii="Times New Roman" w:eastAsia="Times New Roman" w:hAnsi="Times New Roman" w:cs="Times New Roman"/>
          <w:b/>
          <w:bCs/>
          <w:sz w:val="32"/>
          <w:szCs w:val="32"/>
          <w:lang w:val="en-GB"/>
        </w:rPr>
      </w:pPr>
    </w:p>
    <w:p w14:paraId="224E3A91" w14:textId="77777777" w:rsidR="00B44C1E"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 xml:space="preserve">Assignment Title: Component 2: Written Assignment </w:t>
      </w:r>
    </w:p>
    <w:p w14:paraId="38C4DDCC" w14:textId="0D7BB7EC" w:rsidR="003630B4"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Poster and Pitch</w:t>
      </w:r>
    </w:p>
    <w:p w14:paraId="6A6F17C2" w14:textId="6D425FA1" w:rsidR="00BA1A69" w:rsidRPr="00623A7F" w:rsidRDefault="00BA1A69" w:rsidP="00ED74AE">
      <w:pPr>
        <w:spacing w:before="240"/>
        <w:jc w:val="center"/>
        <w:rPr>
          <w:rFonts w:ascii="Times New Roman" w:eastAsia="Times New Roman" w:hAnsi="Times New Roman" w:cs="Times New Roman"/>
          <w:b/>
          <w:bCs/>
          <w:sz w:val="32"/>
          <w:szCs w:val="32"/>
          <w:lang w:val="en-GB"/>
        </w:rPr>
      </w:pPr>
      <w:r>
        <w:rPr>
          <w:rFonts w:ascii="Times New Roman" w:eastAsia="Times New Roman" w:hAnsi="Times New Roman" w:cs="Times New Roman"/>
          <w:b/>
          <w:bCs/>
          <w:sz w:val="32"/>
          <w:szCs w:val="32"/>
          <w:lang w:val="en-GB"/>
        </w:rPr>
        <w:t xml:space="preserve">Module Lecturer: </w:t>
      </w:r>
      <w:r w:rsidR="00ED74AE" w:rsidRPr="00ED74AE">
        <w:rPr>
          <w:rFonts w:ascii="Times New Roman" w:eastAsia="Times New Roman" w:hAnsi="Times New Roman" w:cs="Times New Roman"/>
          <w:b/>
          <w:bCs/>
          <w:sz w:val="32"/>
          <w:szCs w:val="32"/>
        </w:rPr>
        <w:t>Brian Mashumba</w:t>
      </w:r>
    </w:p>
    <w:p w14:paraId="737DAAFB" w14:textId="77777777" w:rsidR="003630B4" w:rsidRPr="00623A7F" w:rsidRDefault="003630B4" w:rsidP="00533D27">
      <w:pPr>
        <w:spacing w:before="240"/>
        <w:jc w:val="center"/>
        <w:rPr>
          <w:rFonts w:ascii="Times New Roman" w:eastAsia="Times New Roman" w:hAnsi="Times New Roman" w:cs="Times New Roman"/>
          <w:b/>
          <w:bCs/>
          <w:sz w:val="32"/>
          <w:szCs w:val="32"/>
          <w:lang w:val="en-GB"/>
        </w:rPr>
      </w:pPr>
    </w:p>
    <w:p w14:paraId="37155127" w14:textId="4FE34B0D" w:rsidR="003630B4" w:rsidRPr="00623A7F"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 xml:space="preserve">Student Name: </w:t>
      </w:r>
      <w:r w:rsidR="00B44C1E">
        <w:rPr>
          <w:rFonts w:ascii="Times New Roman" w:eastAsia="Times New Roman" w:hAnsi="Times New Roman" w:cs="Times New Roman"/>
          <w:b/>
          <w:bCs/>
          <w:sz w:val="32"/>
          <w:szCs w:val="32"/>
          <w:lang w:val="en-GB"/>
        </w:rPr>
        <w:t xml:space="preserve">Bilonda </w:t>
      </w:r>
      <w:r w:rsidRPr="00623A7F">
        <w:rPr>
          <w:rFonts w:ascii="Times New Roman" w:eastAsia="Times New Roman" w:hAnsi="Times New Roman" w:cs="Times New Roman"/>
          <w:b/>
          <w:bCs/>
          <w:sz w:val="32"/>
          <w:szCs w:val="32"/>
          <w:lang w:val="en-GB"/>
        </w:rPr>
        <w:t>Ros</w:t>
      </w:r>
      <w:r w:rsidR="00B44C1E">
        <w:rPr>
          <w:rFonts w:ascii="Times New Roman" w:eastAsia="Times New Roman" w:hAnsi="Times New Roman" w:cs="Times New Roman"/>
          <w:b/>
          <w:bCs/>
          <w:sz w:val="32"/>
          <w:szCs w:val="32"/>
          <w:lang w:val="en-GB"/>
        </w:rPr>
        <w:t xml:space="preserve">y </w:t>
      </w:r>
      <w:r w:rsidRPr="00623A7F">
        <w:rPr>
          <w:rFonts w:ascii="Times New Roman" w:eastAsia="Times New Roman" w:hAnsi="Times New Roman" w:cs="Times New Roman"/>
          <w:b/>
          <w:bCs/>
          <w:sz w:val="32"/>
          <w:szCs w:val="32"/>
          <w:lang w:val="en-GB"/>
        </w:rPr>
        <w:t>Kanyiki</w:t>
      </w:r>
    </w:p>
    <w:p w14:paraId="47D70349" w14:textId="36385C06" w:rsidR="003630B4" w:rsidRPr="00623A7F" w:rsidRDefault="00000000" w:rsidP="00533D27">
      <w:pPr>
        <w:spacing w:before="240"/>
        <w:jc w:val="center"/>
        <w:rPr>
          <w:rFonts w:ascii="Times New Roman" w:eastAsia="Times New Roman" w:hAnsi="Times New Roman" w:cs="Times New Roman"/>
          <w:b/>
          <w:bCs/>
          <w:sz w:val="32"/>
          <w:szCs w:val="32"/>
          <w:lang w:val="en-GB"/>
        </w:rPr>
      </w:pPr>
      <w:r w:rsidRPr="00623A7F">
        <w:rPr>
          <w:rFonts w:ascii="Times New Roman" w:eastAsia="Times New Roman" w:hAnsi="Times New Roman" w:cs="Times New Roman"/>
          <w:b/>
          <w:bCs/>
          <w:sz w:val="32"/>
          <w:szCs w:val="32"/>
          <w:lang w:val="en-GB"/>
        </w:rPr>
        <w:t xml:space="preserve">Student ID: </w:t>
      </w:r>
      <w:r w:rsidR="00B44C1E">
        <w:rPr>
          <w:rFonts w:ascii="Times New Roman" w:eastAsia="Times New Roman" w:hAnsi="Times New Roman" w:cs="Times New Roman"/>
          <w:b/>
          <w:bCs/>
          <w:sz w:val="32"/>
          <w:szCs w:val="32"/>
          <w:lang w:val="en-GB"/>
        </w:rPr>
        <w:t>2427696</w:t>
      </w:r>
    </w:p>
    <w:p w14:paraId="1EA5D140" w14:textId="77777777" w:rsidR="003630B4" w:rsidRPr="00623A7F" w:rsidRDefault="00000000">
      <w:pPr>
        <w:jc w:val="both"/>
        <w:rPr>
          <w:rFonts w:ascii="Times New Roman" w:eastAsia="Times New Roman" w:hAnsi="Times New Roman" w:cs="Times New Roman"/>
          <w:sz w:val="32"/>
          <w:szCs w:val="32"/>
          <w:lang w:val="en-GB"/>
        </w:rPr>
      </w:pPr>
      <w:r w:rsidRPr="00623A7F">
        <w:rPr>
          <w:lang w:val="en-GB"/>
        </w:rPr>
        <w:br w:type="page"/>
      </w:r>
    </w:p>
    <w:p w14:paraId="2FF47B9E" w14:textId="292B259F" w:rsidR="003630B4" w:rsidRPr="00FE430A" w:rsidRDefault="00FE430A" w:rsidP="00FE430A">
      <w:pPr>
        <w:jc w:val="center"/>
        <w:rPr>
          <w:rFonts w:asciiTheme="minorBidi" w:eastAsia="Times New Roman" w:hAnsiTheme="minorBidi" w:cstheme="minorBidi"/>
          <w:b/>
          <w:bCs/>
          <w:sz w:val="28"/>
          <w:szCs w:val="28"/>
          <w:lang w:val="en-GB"/>
        </w:rPr>
      </w:pPr>
      <w:r>
        <w:rPr>
          <w:noProof/>
        </w:rPr>
        <w:lastRenderedPageBreak/>
        <w:drawing>
          <wp:anchor distT="0" distB="0" distL="114300" distR="114300" simplePos="0" relativeHeight="251658240" behindDoc="0" locked="0" layoutInCell="1" allowOverlap="1" wp14:anchorId="0CBF7B90" wp14:editId="47249355">
            <wp:simplePos x="0" y="0"/>
            <wp:positionH relativeFrom="column">
              <wp:posOffset>186690</wp:posOffset>
            </wp:positionH>
            <wp:positionV relativeFrom="paragraph">
              <wp:posOffset>681990</wp:posOffset>
            </wp:positionV>
            <wp:extent cx="5623560" cy="3741830"/>
            <wp:effectExtent l="19050" t="19050" r="15240" b="11430"/>
            <wp:wrapTopAndBottom/>
            <wp:docPr id="302051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51411" name=""/>
                    <pic:cNvPicPr/>
                  </pic:nvPicPr>
                  <pic:blipFill>
                    <a:blip r:embed="rId8">
                      <a:extLst>
                        <a:ext uri="{28A0092B-C50C-407E-A947-70E740481C1C}">
                          <a14:useLocalDpi xmlns:a14="http://schemas.microsoft.com/office/drawing/2010/main" val="0"/>
                        </a:ext>
                      </a:extLst>
                    </a:blip>
                    <a:stretch>
                      <a:fillRect/>
                    </a:stretch>
                  </pic:blipFill>
                  <pic:spPr>
                    <a:xfrm>
                      <a:off x="0" y="0"/>
                      <a:ext cx="5623560" cy="37418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8137E8">
        <w:rPr>
          <w:rFonts w:asciiTheme="minorBidi" w:eastAsia="Times New Roman" w:hAnsiTheme="minorBidi" w:cstheme="minorBidi"/>
          <w:b/>
          <w:bCs/>
          <w:sz w:val="28"/>
          <w:szCs w:val="28"/>
          <w:lang w:val="en-GB"/>
        </w:rPr>
        <w:t>Title: SmartCare Dispenser - Empowering Safe Medication Adherence in UK Communities</w:t>
      </w:r>
    </w:p>
    <w:p w14:paraId="401C1C27" w14:textId="0B1E6C3D" w:rsidR="003630B4" w:rsidRPr="008137E8" w:rsidRDefault="00000000" w:rsidP="00FE430A">
      <w:pPr>
        <w:pStyle w:val="Heading1"/>
        <w:rPr>
          <w:lang w:val="en-GB"/>
        </w:rPr>
      </w:pPr>
      <w:r w:rsidRPr="008137E8">
        <w:rPr>
          <w:lang w:val="en-GB"/>
        </w:rPr>
        <w:t>Introduction</w:t>
      </w:r>
    </w:p>
    <w:p w14:paraId="1170CFED"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In this poster, an innovative solution is introduced that aims to tackle a widespread concern: </w:t>
      </w:r>
      <w:r w:rsidRPr="008137E8">
        <w:rPr>
          <w:rFonts w:asciiTheme="minorBidi" w:eastAsia="Times New Roman" w:hAnsiTheme="minorBidi" w:cstheme="minorBidi"/>
          <w:b/>
          <w:bCs/>
          <w:lang w:val="en-GB"/>
        </w:rPr>
        <w:t>medication non-adherence</w:t>
      </w:r>
      <w:r w:rsidRPr="008137E8">
        <w:rPr>
          <w:rFonts w:asciiTheme="minorBidi" w:eastAsia="Times New Roman" w:hAnsiTheme="minorBidi" w:cstheme="minorBidi"/>
          <w:lang w:val="en-GB"/>
        </w:rPr>
        <w:t xml:space="preserve">, likely observed in the UK. The </w:t>
      </w:r>
      <w:r w:rsidRPr="008137E8">
        <w:rPr>
          <w:rFonts w:asciiTheme="minorBidi" w:eastAsia="Times New Roman" w:hAnsiTheme="minorBidi" w:cstheme="minorBidi"/>
          <w:b/>
          <w:bCs/>
          <w:lang w:val="en-GB"/>
        </w:rPr>
        <w:t>“SmartCare Medication Dispenser”</w:t>
      </w:r>
      <w:r w:rsidRPr="008137E8">
        <w:rPr>
          <w:rFonts w:asciiTheme="minorBidi" w:eastAsia="Times New Roman" w:hAnsiTheme="minorBidi" w:cstheme="minorBidi"/>
          <w:lang w:val="en-GB"/>
        </w:rPr>
        <w:t xml:space="preserve"> has been designed to target older adults and vulnerable patient groups diagnosed with chronic long-term illnesses. Based on the report in a virtual conference, nearly 237 million medication administration errors are observed annually in England (</w:t>
      </w:r>
      <w:proofErr w:type="spellStart"/>
      <w:r w:rsidRPr="008137E8">
        <w:rPr>
          <w:rFonts w:asciiTheme="minorBidi" w:eastAsia="Times New Roman" w:hAnsiTheme="minorBidi" w:cstheme="minorBidi"/>
          <w:lang w:val="en-GB"/>
        </w:rPr>
        <w:t>Cdn.hc</w:t>
      </w:r>
      <w:proofErr w:type="spellEnd"/>
      <w:r w:rsidRPr="008137E8">
        <w:rPr>
          <w:rFonts w:asciiTheme="minorBidi" w:eastAsia="Times New Roman" w:hAnsiTheme="minorBidi" w:cstheme="minorBidi"/>
          <w:lang w:val="en-GB"/>
        </w:rPr>
        <w:t>, 2025). Moreover, missed doses increase hospital readmissions, while incorrect medication increases deaths (approx. 700) (</w:t>
      </w:r>
      <w:proofErr w:type="spellStart"/>
      <w:r w:rsidRPr="008137E8">
        <w:rPr>
          <w:rFonts w:asciiTheme="minorBidi" w:eastAsia="Times New Roman" w:hAnsiTheme="minorBidi" w:cstheme="minorBidi"/>
          <w:lang w:val="en-GB"/>
        </w:rPr>
        <w:t>Cdn.hc</w:t>
      </w:r>
      <w:proofErr w:type="spellEnd"/>
      <w:r w:rsidRPr="008137E8">
        <w:rPr>
          <w:rFonts w:asciiTheme="minorBidi" w:eastAsia="Times New Roman" w:hAnsiTheme="minorBidi" w:cstheme="minorBidi"/>
          <w:lang w:val="en-GB"/>
        </w:rPr>
        <w:t xml:space="preserve">, 2025). Additionally, increased NHS costs with poor health outcomes further elevate healthcare dilemmas. </w:t>
      </w:r>
    </w:p>
    <w:p w14:paraId="2FE573B7"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Understandably, the smart innovation proposed will connect the NHS and carers with elderly people and patients with chronic illnesses via a secure mobile app. The innovation aims to enhance independence, lower stress, and enhance the community care. Hence, the SmartCare </w:t>
      </w:r>
      <w:r w:rsidRPr="008137E8">
        <w:rPr>
          <w:rFonts w:asciiTheme="minorBidi" w:eastAsia="Times New Roman" w:hAnsiTheme="minorBidi" w:cstheme="minorBidi"/>
          <w:lang w:val="en-GB"/>
        </w:rPr>
        <w:lastRenderedPageBreak/>
        <w:t>Medication Dispenser is pivotal to strengthening patient safety and addressing resource constraints in the NHS.</w:t>
      </w:r>
    </w:p>
    <w:p w14:paraId="10950B4D" w14:textId="77777777" w:rsidR="003630B4" w:rsidRPr="008137E8" w:rsidRDefault="00000000" w:rsidP="008137E8">
      <w:pPr>
        <w:pStyle w:val="Heading1"/>
        <w:rPr>
          <w:lang w:val="en-GB"/>
        </w:rPr>
      </w:pPr>
      <w:r w:rsidRPr="008137E8">
        <w:rPr>
          <w:lang w:val="en-GB"/>
        </w:rPr>
        <w:t>Background</w:t>
      </w:r>
    </w:p>
    <w:p w14:paraId="40DF37F4"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Medication non-adherence has been identified as a critical issue in the UK. When considering health statistics, the </w:t>
      </w:r>
      <w:r w:rsidRPr="008137E8">
        <w:rPr>
          <w:rFonts w:asciiTheme="minorBidi" w:eastAsia="Times New Roman" w:hAnsiTheme="minorBidi" w:cstheme="minorBidi"/>
          <w:b/>
          <w:bCs/>
          <w:lang w:val="en-GB"/>
        </w:rPr>
        <w:t>“NHS Business Service Authority”</w:t>
      </w:r>
      <w:r w:rsidRPr="008137E8">
        <w:rPr>
          <w:rFonts w:asciiTheme="minorBidi" w:eastAsia="Times New Roman" w:hAnsiTheme="minorBidi" w:cstheme="minorBidi"/>
          <w:lang w:val="en-GB"/>
        </w:rPr>
        <w:t xml:space="preserve"> (NBSA) informs that approximately 67 million (78%) </w:t>
      </w:r>
      <w:r w:rsidRPr="008137E8">
        <w:rPr>
          <w:rFonts w:asciiTheme="minorBidi" w:eastAsia="Times New Roman" w:hAnsiTheme="minorBidi" w:cstheme="minorBidi"/>
          <w:b/>
          <w:bCs/>
          <w:lang w:val="en-GB"/>
        </w:rPr>
        <w:t>“dependency-forming”</w:t>
      </w:r>
      <w:r w:rsidRPr="008137E8">
        <w:rPr>
          <w:rFonts w:asciiTheme="minorBidi" w:eastAsia="Times New Roman" w:hAnsiTheme="minorBidi" w:cstheme="minorBidi"/>
          <w:lang w:val="en-GB"/>
        </w:rPr>
        <w:t xml:space="preserve"> medicines have been prescribed to patients/service users in England (</w:t>
      </w:r>
      <w:proofErr w:type="spellStart"/>
      <w:r w:rsidRPr="008137E8">
        <w:rPr>
          <w:rFonts w:asciiTheme="minorBidi" w:eastAsia="Times New Roman" w:hAnsiTheme="minorBidi" w:cstheme="minorBidi"/>
          <w:lang w:val="en-GB"/>
        </w:rPr>
        <w:t>Nhsbsa</w:t>
      </w:r>
      <w:proofErr w:type="spellEnd"/>
      <w:r w:rsidRPr="008137E8">
        <w:rPr>
          <w:rFonts w:asciiTheme="minorBidi" w:eastAsia="Times New Roman" w:hAnsiTheme="minorBidi" w:cstheme="minorBidi"/>
          <w:lang w:val="en-GB"/>
        </w:rPr>
        <w:t xml:space="preserve">, 2026). Herein, the prescribing rate is 57% higher within deprived communities than affluent societies. The information reflects that both medication scalability and prevalent risks are prominent. In terms of policy awareness, </w:t>
      </w:r>
      <w:r w:rsidRPr="008137E8">
        <w:rPr>
          <w:rFonts w:asciiTheme="minorBidi" w:eastAsia="Times New Roman" w:hAnsiTheme="minorBidi" w:cstheme="minorBidi"/>
          <w:b/>
          <w:bCs/>
          <w:lang w:val="en-GB"/>
        </w:rPr>
        <w:t>NICE guidelines</w:t>
      </w:r>
      <w:r w:rsidRPr="008137E8">
        <w:rPr>
          <w:rFonts w:asciiTheme="minorBidi" w:eastAsia="Times New Roman" w:hAnsiTheme="minorBidi" w:cstheme="minorBidi"/>
          <w:lang w:val="en-GB"/>
        </w:rPr>
        <w:t xml:space="preserve"> for </w:t>
      </w:r>
      <w:r w:rsidRPr="008137E8">
        <w:rPr>
          <w:rFonts w:asciiTheme="minorBidi" w:eastAsia="Times New Roman" w:hAnsiTheme="minorBidi" w:cstheme="minorBidi"/>
          <w:b/>
          <w:bCs/>
          <w:lang w:val="en-GB"/>
        </w:rPr>
        <w:t>medication adherence</w:t>
      </w:r>
      <w:r w:rsidRPr="008137E8">
        <w:rPr>
          <w:rFonts w:asciiTheme="minorBidi" w:eastAsia="Times New Roman" w:hAnsiTheme="minorBidi" w:cstheme="minorBidi"/>
          <w:lang w:val="en-GB"/>
        </w:rPr>
        <w:t xml:space="preserve"> (such as </w:t>
      </w:r>
      <w:r w:rsidRPr="008137E8">
        <w:rPr>
          <w:rFonts w:asciiTheme="minorBidi" w:eastAsia="Times New Roman" w:hAnsiTheme="minorBidi" w:cstheme="minorBidi"/>
          <w:b/>
          <w:bCs/>
          <w:lang w:val="en-GB"/>
        </w:rPr>
        <w:t>CG76</w:t>
      </w:r>
      <w:r w:rsidRPr="008137E8">
        <w:rPr>
          <w:rFonts w:asciiTheme="minorBidi" w:eastAsia="Times New Roman" w:hAnsiTheme="minorBidi" w:cstheme="minorBidi"/>
          <w:lang w:val="en-GB"/>
        </w:rPr>
        <w:t xml:space="preserve">) reflect patient involvement in decisions and leveraging technological interventions, for example, medication reminders, mHealth apps and telehealth improve adherence (NICE, 2021). </w:t>
      </w:r>
    </w:p>
    <w:p w14:paraId="4E726135"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Correspondingly, </w:t>
      </w:r>
      <w:r w:rsidRPr="008137E8">
        <w:rPr>
          <w:rFonts w:asciiTheme="minorBidi" w:eastAsia="Times New Roman" w:hAnsiTheme="minorBidi" w:cstheme="minorBidi"/>
          <w:b/>
          <w:bCs/>
          <w:lang w:val="en-GB"/>
        </w:rPr>
        <w:t>Public Health England</w:t>
      </w:r>
      <w:r w:rsidRPr="008137E8">
        <w:rPr>
          <w:rFonts w:asciiTheme="minorBidi" w:eastAsia="Times New Roman" w:hAnsiTheme="minorBidi" w:cstheme="minorBidi"/>
          <w:lang w:val="en-GB"/>
        </w:rPr>
        <w:t xml:space="preserve"> (PHE) highlights a typical burden of failed adherence to prescribed medications, which increases fatal consequences. In 2022, </w:t>
      </w:r>
      <w:proofErr w:type="spellStart"/>
      <w:r w:rsidRPr="008137E8">
        <w:rPr>
          <w:rFonts w:asciiTheme="minorBidi" w:eastAsia="Times New Roman" w:hAnsiTheme="minorBidi" w:cstheme="minorBidi"/>
          <w:lang w:val="en-GB"/>
        </w:rPr>
        <w:t>Employersforcarers</w:t>
      </w:r>
      <w:proofErr w:type="spellEnd"/>
      <w:r w:rsidRPr="008137E8">
        <w:rPr>
          <w:rFonts w:asciiTheme="minorBidi" w:eastAsia="Times New Roman" w:hAnsiTheme="minorBidi" w:cstheme="minorBidi"/>
          <w:lang w:val="en-GB"/>
        </w:rPr>
        <w:t xml:space="preserve"> (2020), informed that while unpaid carers manage additional expenses estimated to be £130 billion every year, dilemmas are still prevalent, with intense burnout and stress when handling complex schedules of medication management. Hence, missed doses are inevitable. Overall, it can be stated that medication adherence goes beyond a clinical issue and is perceived as a </w:t>
      </w:r>
      <w:r w:rsidRPr="008137E8">
        <w:rPr>
          <w:rFonts w:asciiTheme="minorBidi" w:eastAsia="Times New Roman" w:hAnsiTheme="minorBidi" w:cstheme="minorBidi"/>
          <w:b/>
          <w:bCs/>
          <w:lang w:val="en-GB"/>
        </w:rPr>
        <w:t>“system-wide challenge”</w:t>
      </w:r>
      <w:r w:rsidRPr="008137E8">
        <w:rPr>
          <w:rFonts w:asciiTheme="minorBidi" w:eastAsia="Times New Roman" w:hAnsiTheme="minorBidi" w:cstheme="minorBidi"/>
          <w:lang w:val="en-GB"/>
        </w:rPr>
        <w:t xml:space="preserve">, directly impacting patient safety, sustainable NHS services and healthcare staff well-being. </w:t>
      </w:r>
    </w:p>
    <w:p w14:paraId="150818BB" w14:textId="77777777" w:rsidR="003630B4" w:rsidRPr="008137E8" w:rsidRDefault="00000000" w:rsidP="008137E8">
      <w:pPr>
        <w:pStyle w:val="Heading1"/>
        <w:rPr>
          <w:lang w:val="en-GB"/>
        </w:rPr>
      </w:pPr>
      <w:r w:rsidRPr="008137E8">
        <w:rPr>
          <w:lang w:val="en-GB"/>
        </w:rPr>
        <w:t>Innovation Description</w:t>
      </w:r>
    </w:p>
    <w:p w14:paraId="72A975AD"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The introduction of the </w:t>
      </w:r>
      <w:r w:rsidRPr="008137E8">
        <w:rPr>
          <w:rFonts w:asciiTheme="minorBidi" w:eastAsia="Times New Roman" w:hAnsiTheme="minorBidi" w:cstheme="minorBidi"/>
          <w:b/>
          <w:bCs/>
          <w:lang w:val="en-GB"/>
        </w:rPr>
        <w:t>“SmartCare Medication Dispenser”</w:t>
      </w:r>
      <w:r w:rsidRPr="008137E8">
        <w:rPr>
          <w:rFonts w:asciiTheme="minorBidi" w:eastAsia="Times New Roman" w:hAnsiTheme="minorBidi" w:cstheme="minorBidi"/>
          <w:lang w:val="en-GB"/>
        </w:rPr>
        <w:t xml:space="preserve"> is a viable solution that can tackle the medication non-adherence challenges identified in the UK. The proposed innovation will serve as a </w:t>
      </w:r>
      <w:proofErr w:type="gramStart"/>
      <w:r w:rsidRPr="008137E8">
        <w:rPr>
          <w:rFonts w:asciiTheme="minorBidi" w:eastAsia="Times New Roman" w:hAnsiTheme="minorBidi" w:cstheme="minorBidi"/>
          <w:lang w:val="en-GB"/>
        </w:rPr>
        <w:t>digitally-enabled</w:t>
      </w:r>
      <w:proofErr w:type="gramEnd"/>
      <w:r w:rsidRPr="008137E8">
        <w:rPr>
          <w:rFonts w:asciiTheme="minorBidi" w:eastAsia="Times New Roman" w:hAnsiTheme="minorBidi" w:cstheme="minorBidi"/>
          <w:lang w:val="en-GB"/>
        </w:rPr>
        <w:t xml:space="preserve"> product, typically designed for transforming patients' medication management by themselves at home. Compared to traditional medicine boxes, the tool will combine automation, connectivity &amp; monitoring aspects that ensure patient safety and on-time medication intake. Further, the dispenser will automatically provide the actual dose at the individual’s scheduled time through indications. Notably, the innovation will connect through an mHealth app to enable carers, families and other NHS professionals for tracking the progress in real-time. </w:t>
      </w:r>
    </w:p>
    <w:p w14:paraId="6A147371"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lastRenderedPageBreak/>
        <w:t xml:space="preserve">The innovation is pivotal in terms of its integration within the NHS digital infrastructure, thus supporting pharmacists and physicians in remote monitoring of patient progress. This also helps in intervening early in cases of missed doses and emergencies. Since the hospital readmission rate is higher from missed or incorrect doses, increases NHS service costs and leads to poor health outcomes, the proposed innovation is imperative to reduce errors and ensure patient safety. In short, the dispenser is crucial to promote independence, safety and the overall quality of life. </w:t>
      </w:r>
    </w:p>
    <w:p w14:paraId="2D9DB129"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From the above focus, it can be stated that the problem is two dimensional. First, the innovation helps in tackling excessive stress on carers from complex medication management. Secondly, the tool is fundamental to alleviate pressure on NHS resources by reducing hospital readmissions. Overall, Smart are Medication Dispenser creates value by aligning with UK policies regarding health innovation and ensuring patient safety as well as carers well-being.</w:t>
      </w:r>
    </w:p>
    <w:p w14:paraId="15A23615" w14:textId="77777777" w:rsidR="003630B4" w:rsidRPr="008137E8" w:rsidRDefault="00000000" w:rsidP="008137E8">
      <w:pPr>
        <w:pStyle w:val="Heading1"/>
        <w:rPr>
          <w:lang w:val="en-GB"/>
        </w:rPr>
      </w:pPr>
      <w:r w:rsidRPr="008137E8">
        <w:rPr>
          <w:lang w:val="en-GB"/>
        </w:rPr>
        <w:t>Impact on Health and Social Care</w:t>
      </w:r>
    </w:p>
    <w:p w14:paraId="0B018259"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The proposed innovation has a strong impact on UK health and social care systems, in terms of addressing medication non-adherence. According to Adeyemi </w:t>
      </w:r>
      <w:r w:rsidRPr="008137E8">
        <w:rPr>
          <w:rFonts w:asciiTheme="minorBidi" w:eastAsia="Times New Roman" w:hAnsiTheme="minorBidi" w:cstheme="minorBidi"/>
          <w:i/>
          <w:iCs/>
          <w:lang w:val="en-GB"/>
        </w:rPr>
        <w:t>et al.,</w:t>
      </w:r>
      <w:r w:rsidRPr="008137E8">
        <w:rPr>
          <w:rFonts w:asciiTheme="minorBidi" w:eastAsia="Times New Roman" w:hAnsiTheme="minorBidi" w:cstheme="minorBidi"/>
          <w:lang w:val="en-GB"/>
        </w:rPr>
        <w:t xml:space="preserve"> (2025), </w:t>
      </w:r>
      <w:r w:rsidRPr="008137E8">
        <w:rPr>
          <w:rFonts w:asciiTheme="minorBidi" w:eastAsia="Times New Roman" w:hAnsiTheme="minorBidi" w:cstheme="minorBidi"/>
          <w:b/>
          <w:bCs/>
          <w:lang w:val="en-GB"/>
        </w:rPr>
        <w:t>older people</w:t>
      </w:r>
      <w:r w:rsidRPr="008137E8">
        <w:rPr>
          <w:rFonts w:asciiTheme="minorBidi" w:eastAsia="Times New Roman" w:hAnsiTheme="minorBidi" w:cstheme="minorBidi"/>
          <w:lang w:val="en-GB"/>
        </w:rPr>
        <w:t xml:space="preserve"> (50.1% approx.) in the UK, especially those having multiple prescriptions, are facing immense dilemmas in managing multiple medicines at a time. Therefore, this group can be advantaged from self-medication management through the dispenser. </w:t>
      </w:r>
    </w:p>
    <w:p w14:paraId="53F24515"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Secondly, </w:t>
      </w:r>
      <w:r w:rsidRPr="008137E8">
        <w:rPr>
          <w:rFonts w:asciiTheme="minorBidi" w:eastAsia="Times New Roman" w:hAnsiTheme="minorBidi" w:cstheme="minorBidi"/>
          <w:b/>
          <w:bCs/>
          <w:lang w:val="en-GB"/>
        </w:rPr>
        <w:t>people with disabled conditions</w:t>
      </w:r>
      <w:r w:rsidRPr="008137E8">
        <w:rPr>
          <w:rFonts w:asciiTheme="minorBidi" w:eastAsia="Times New Roman" w:hAnsiTheme="minorBidi" w:cstheme="minorBidi"/>
          <w:lang w:val="en-GB"/>
        </w:rPr>
        <w:t xml:space="preserve"> can gain safety as well as reassurance under automated reminders &amp; monitored dispenses. For instance, NHS professionals took initiatives in medication review for individuals with learning disability and autism, where regular PCC and holistic care become vital (Nhs.uk, 2024). This increases work stress and burnout among professionals. In this situation, SmartCare innovation can be helpful to automate monitoring and ensure patient safety as well as carers well-being.</w:t>
      </w:r>
    </w:p>
    <w:p w14:paraId="10510BAD"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The next priority is given to the “</w:t>
      </w:r>
      <w:r w:rsidRPr="008137E8">
        <w:rPr>
          <w:rFonts w:asciiTheme="minorBidi" w:eastAsia="Times New Roman" w:hAnsiTheme="minorBidi" w:cstheme="minorBidi"/>
          <w:b/>
          <w:bCs/>
          <w:lang w:val="en-GB"/>
        </w:rPr>
        <w:t>Black, Asian, and Minority Ethnic”</w:t>
      </w:r>
      <w:r w:rsidRPr="008137E8">
        <w:rPr>
          <w:rFonts w:asciiTheme="minorBidi" w:eastAsia="Times New Roman" w:hAnsiTheme="minorBidi" w:cstheme="minorBidi"/>
          <w:lang w:val="en-GB"/>
        </w:rPr>
        <w:t xml:space="preserve"> (BAME) group, who form 18-20% of the total population in England &amp; Wales (GOV.UK, 2024). Evidence specified that this group is disproportionately affected by major health inequalities. Herein, equitable access through the innovation can reduce potential barriers with care consistency.</w:t>
      </w:r>
    </w:p>
    <w:p w14:paraId="1039A58C"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lastRenderedPageBreak/>
        <w:t xml:space="preserve">Critically, SmartCare Medication Dispenser can promote common goods to several beneficiaries through NHS cost reduction, reducing burden on carers and NHS professionals and preventing avoidable admission. </w:t>
      </w:r>
    </w:p>
    <w:p w14:paraId="0E909A18" w14:textId="77777777" w:rsidR="003630B4" w:rsidRPr="008137E8" w:rsidRDefault="00000000" w:rsidP="008137E8">
      <w:pPr>
        <w:pStyle w:val="Heading1"/>
        <w:rPr>
          <w:lang w:val="en-GB"/>
        </w:rPr>
      </w:pPr>
      <w:r w:rsidRPr="008137E8">
        <w:rPr>
          <w:lang w:val="en-GB"/>
        </w:rPr>
        <w:t>Public and Stakeholder Involvement</w:t>
      </w:r>
    </w:p>
    <w:p w14:paraId="5C7440F7"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When prioritising an innovation for a complex sector like health and social care, identifying public and key stakeholders are important. Drawing attending to the </w:t>
      </w:r>
      <w:r w:rsidRPr="008137E8">
        <w:rPr>
          <w:rFonts w:asciiTheme="minorBidi" w:eastAsia="Times New Roman" w:hAnsiTheme="minorBidi" w:cstheme="minorBidi"/>
          <w:b/>
          <w:bCs/>
          <w:lang w:val="en-GB"/>
        </w:rPr>
        <w:t>Stakeholder Theory</w:t>
      </w:r>
      <w:r w:rsidRPr="008137E8">
        <w:rPr>
          <w:rFonts w:asciiTheme="minorBidi" w:eastAsia="Times New Roman" w:hAnsiTheme="minorBidi" w:cstheme="minorBidi"/>
          <w:lang w:val="en-GB"/>
        </w:rPr>
        <w:t xml:space="preserve">, Franco-Trigo </w:t>
      </w:r>
      <w:r w:rsidRPr="008137E8">
        <w:rPr>
          <w:rFonts w:asciiTheme="minorBidi" w:eastAsia="Times New Roman" w:hAnsiTheme="minorBidi" w:cstheme="minorBidi"/>
          <w:i/>
          <w:iCs/>
          <w:lang w:val="en-GB"/>
        </w:rPr>
        <w:t>et al.,</w:t>
      </w:r>
      <w:r w:rsidRPr="008137E8">
        <w:rPr>
          <w:rFonts w:asciiTheme="minorBidi" w:eastAsia="Times New Roman" w:hAnsiTheme="minorBidi" w:cstheme="minorBidi"/>
          <w:lang w:val="en-GB"/>
        </w:rPr>
        <w:t xml:space="preserve"> (2020) explained that recognising the interests of all stakeholders typically involved within the project/business allow the organisation to understand their influence on the innovation. Understandably, for SmartCare Medication Dispenser, the </w:t>
      </w:r>
      <w:r w:rsidRPr="008137E8">
        <w:rPr>
          <w:rFonts w:asciiTheme="minorBidi" w:eastAsia="Times New Roman" w:hAnsiTheme="minorBidi" w:cstheme="minorBidi"/>
          <w:b/>
          <w:bCs/>
          <w:lang w:val="en-GB"/>
        </w:rPr>
        <w:t>public entities</w:t>
      </w:r>
      <w:r w:rsidRPr="008137E8">
        <w:rPr>
          <w:rFonts w:asciiTheme="minorBidi" w:eastAsia="Times New Roman" w:hAnsiTheme="minorBidi" w:cstheme="minorBidi"/>
          <w:lang w:val="en-GB"/>
        </w:rPr>
        <w:t xml:space="preserve"> will be involved includes </w:t>
      </w:r>
      <w:r w:rsidRPr="008137E8">
        <w:rPr>
          <w:rFonts w:asciiTheme="minorBidi" w:eastAsia="Times New Roman" w:hAnsiTheme="minorBidi" w:cstheme="minorBidi"/>
          <w:b/>
          <w:bCs/>
          <w:lang w:val="en-GB"/>
        </w:rPr>
        <w:t>community consultations, and clinical pilot trials</w:t>
      </w:r>
      <w:r w:rsidRPr="008137E8">
        <w:rPr>
          <w:rFonts w:asciiTheme="minorBidi" w:eastAsia="Times New Roman" w:hAnsiTheme="minorBidi" w:cstheme="minorBidi"/>
          <w:lang w:val="en-GB"/>
        </w:rPr>
        <w:t>. This will ensure the co-production in line with service users/patients, NHS care professionals and diverse UK communities for example, elderly adults aged 60 and above, disabled group and BME.</w:t>
      </w:r>
    </w:p>
    <w:p w14:paraId="72ED310C" w14:textId="2F0DC326"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Correspondingly, the </w:t>
      </w:r>
      <w:r w:rsidR="00734BF9" w:rsidRPr="008137E8">
        <w:rPr>
          <w:rFonts w:asciiTheme="minorBidi" w:eastAsia="Times New Roman" w:hAnsiTheme="minorBidi" w:cstheme="minorBidi"/>
          <w:b/>
          <w:bCs/>
          <w:lang w:val="en-GB"/>
        </w:rPr>
        <w:t>stakeholder’s</w:t>
      </w:r>
      <w:r w:rsidRPr="008137E8">
        <w:rPr>
          <w:rFonts w:asciiTheme="minorBidi" w:eastAsia="Times New Roman" w:hAnsiTheme="minorBidi" w:cstheme="minorBidi"/>
          <w:b/>
          <w:bCs/>
          <w:lang w:val="en-GB"/>
        </w:rPr>
        <w:t xml:space="preserve"> involvement</w:t>
      </w:r>
      <w:r w:rsidRPr="008137E8">
        <w:rPr>
          <w:rFonts w:asciiTheme="minorBidi" w:eastAsia="Times New Roman" w:hAnsiTheme="minorBidi" w:cstheme="minorBidi"/>
          <w:lang w:val="en-GB"/>
        </w:rPr>
        <w:t xml:space="preserve"> will further include </w:t>
      </w:r>
      <w:r w:rsidRPr="008137E8">
        <w:rPr>
          <w:rFonts w:asciiTheme="minorBidi" w:eastAsia="Times New Roman" w:hAnsiTheme="minorBidi" w:cstheme="minorBidi"/>
          <w:b/>
          <w:bCs/>
          <w:lang w:val="en-GB"/>
        </w:rPr>
        <w:t>NHS staff, pharmacists, and regulatory bodies</w:t>
      </w:r>
      <w:r w:rsidRPr="008137E8">
        <w:rPr>
          <w:rFonts w:asciiTheme="minorBidi" w:eastAsia="Times New Roman" w:hAnsiTheme="minorBidi" w:cstheme="minorBidi"/>
          <w:lang w:val="en-GB"/>
        </w:rPr>
        <w:t xml:space="preserve"> to refine the innovation utility in line with national policies and guidelines. Additionally, advocacy efforts from agencies like Care UK, and Age UK will be paramount to support awareness and implementation. </w:t>
      </w:r>
    </w:p>
    <w:p w14:paraId="107F9A17" w14:textId="77777777" w:rsidR="003630B4" w:rsidRPr="008137E8" w:rsidRDefault="00000000" w:rsidP="008137E8">
      <w:pPr>
        <w:pStyle w:val="Heading1"/>
        <w:rPr>
          <w:lang w:val="en-GB"/>
        </w:rPr>
      </w:pPr>
      <w:r w:rsidRPr="008137E8">
        <w:rPr>
          <w:lang w:val="en-GB"/>
        </w:rPr>
        <w:t>Policies, Services and Professional Links</w:t>
      </w:r>
    </w:p>
    <w:p w14:paraId="0A471A3C"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The introduction of SmartCare Medication Dispenser is directly linked to policies, guidelines, services and voluntary engagement organisations in the UK. Focusing on the </w:t>
      </w:r>
      <w:r w:rsidRPr="008137E8">
        <w:rPr>
          <w:rFonts w:asciiTheme="minorBidi" w:eastAsia="Times New Roman" w:hAnsiTheme="minorBidi" w:cstheme="minorBidi"/>
          <w:b/>
          <w:bCs/>
          <w:lang w:val="en-GB"/>
        </w:rPr>
        <w:t>Care Act, 2014</w:t>
      </w:r>
      <w:r w:rsidRPr="008137E8">
        <w:rPr>
          <w:rFonts w:asciiTheme="minorBidi" w:eastAsia="Times New Roman" w:hAnsiTheme="minorBidi" w:cstheme="minorBidi"/>
          <w:lang w:val="en-GB"/>
        </w:rPr>
        <w:t xml:space="preserve">, it has been mentioned that UK local authorities should ensure well-being &amp; independence (Care Act, 2020). In line with this legislation, the innovation will be paramount to support elderly adults and other vulnerable groups through risk reduction in medication non-adherence. Correspondingly, the </w:t>
      </w:r>
      <w:r w:rsidRPr="008137E8">
        <w:rPr>
          <w:rFonts w:asciiTheme="minorBidi" w:eastAsia="Times New Roman" w:hAnsiTheme="minorBidi" w:cstheme="minorBidi"/>
          <w:b/>
          <w:bCs/>
          <w:lang w:val="en-GB"/>
        </w:rPr>
        <w:t>Equality Act, 2010</w:t>
      </w:r>
      <w:r w:rsidRPr="008137E8">
        <w:rPr>
          <w:rFonts w:asciiTheme="minorBidi" w:eastAsia="Times New Roman" w:hAnsiTheme="minorBidi" w:cstheme="minorBidi"/>
          <w:lang w:val="en-GB"/>
        </w:rPr>
        <w:t xml:space="preserve">, is linked to support equitable access where the medication dispenser innovation can be a viable solution to tackle health inequalities especially among deprived and BME communities (GOV.UK, 2023). </w:t>
      </w:r>
    </w:p>
    <w:p w14:paraId="64C613E9" w14:textId="77777777"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When considering services, </w:t>
      </w:r>
      <w:r w:rsidRPr="008137E8">
        <w:rPr>
          <w:rFonts w:asciiTheme="minorBidi" w:eastAsia="Times New Roman" w:hAnsiTheme="minorBidi" w:cstheme="minorBidi"/>
          <w:b/>
          <w:bCs/>
          <w:lang w:val="en-GB"/>
        </w:rPr>
        <w:t>GP and carers involvement</w:t>
      </w:r>
      <w:r w:rsidRPr="008137E8">
        <w:rPr>
          <w:rFonts w:asciiTheme="minorBidi" w:eastAsia="Times New Roman" w:hAnsiTheme="minorBidi" w:cstheme="minorBidi"/>
          <w:lang w:val="en-GB"/>
        </w:rPr>
        <w:t xml:space="preserve"> and </w:t>
      </w:r>
      <w:r w:rsidRPr="008137E8">
        <w:rPr>
          <w:rFonts w:asciiTheme="minorBidi" w:eastAsia="Times New Roman" w:hAnsiTheme="minorBidi" w:cstheme="minorBidi"/>
          <w:b/>
          <w:bCs/>
          <w:lang w:val="en-GB"/>
        </w:rPr>
        <w:t>NHS services</w:t>
      </w:r>
      <w:r w:rsidRPr="008137E8">
        <w:rPr>
          <w:rFonts w:asciiTheme="minorBidi" w:eastAsia="Times New Roman" w:hAnsiTheme="minorBidi" w:cstheme="minorBidi"/>
          <w:lang w:val="en-GB"/>
        </w:rPr>
        <w:t xml:space="preserve"> are crucial to drive a seamless approach to monitoring &amp; intervention. As discussed previously involving professionals, especially GPs and carers are crucial in providing holistic care and medication adherence by older people and vulnerable groups. Therefore, SmartCare will act as an </w:t>
      </w:r>
      <w:r w:rsidRPr="008137E8">
        <w:rPr>
          <w:rFonts w:asciiTheme="minorBidi" w:eastAsia="Times New Roman" w:hAnsiTheme="minorBidi" w:cstheme="minorBidi"/>
          <w:lang w:val="en-GB"/>
        </w:rPr>
        <w:lastRenderedPageBreak/>
        <w:t xml:space="preserve">intermediary to facilitate this process. Additionally, adherence to </w:t>
      </w:r>
      <w:r w:rsidRPr="008137E8">
        <w:rPr>
          <w:rFonts w:asciiTheme="minorBidi" w:eastAsia="Times New Roman" w:hAnsiTheme="minorBidi" w:cstheme="minorBidi"/>
          <w:b/>
          <w:bCs/>
          <w:lang w:val="en-GB"/>
        </w:rPr>
        <w:t>professional links</w:t>
      </w:r>
      <w:r w:rsidRPr="008137E8">
        <w:rPr>
          <w:rFonts w:asciiTheme="minorBidi" w:eastAsia="Times New Roman" w:hAnsiTheme="minorBidi" w:cstheme="minorBidi"/>
          <w:lang w:val="en-GB"/>
        </w:rPr>
        <w:t xml:space="preserve"> like Age UK and other voluntary organisations will not only strengthen advocacy towards the innovation awareness and adoption but also dispense data, effective in care coordination and reducing hospital readmissions.</w:t>
      </w:r>
    </w:p>
    <w:p w14:paraId="1DF6C09E" w14:textId="77777777" w:rsidR="003630B4" w:rsidRPr="008137E8" w:rsidRDefault="00000000" w:rsidP="008137E8">
      <w:pPr>
        <w:pStyle w:val="Heading1"/>
        <w:rPr>
          <w:lang w:val="en-GB"/>
        </w:rPr>
      </w:pPr>
      <w:r w:rsidRPr="008137E8">
        <w:rPr>
          <w:lang w:val="en-GB"/>
        </w:rPr>
        <w:t>Conclusion</w:t>
      </w:r>
    </w:p>
    <w:p w14:paraId="1E482140" w14:textId="71C8FD68"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SmartCare Medication Dispenser is a strategic healthcare innovation, which hold </w:t>
      </w:r>
      <w:r w:rsidR="00734BF9" w:rsidRPr="008137E8">
        <w:rPr>
          <w:rFonts w:asciiTheme="minorBidi" w:eastAsia="Times New Roman" w:hAnsiTheme="minorBidi" w:cstheme="minorBidi"/>
          <w:lang w:val="en-GB"/>
        </w:rPr>
        <w:t>immediacy</w:t>
      </w:r>
      <w:r w:rsidRPr="008137E8">
        <w:rPr>
          <w:rFonts w:asciiTheme="minorBidi" w:eastAsia="Times New Roman" w:hAnsiTheme="minorBidi" w:cstheme="minorBidi"/>
          <w:lang w:val="en-GB"/>
        </w:rPr>
        <w:t xml:space="preserve"> in adoption to tackle medication non-adherence in the UK. According to the information </w:t>
      </w:r>
      <w:r w:rsidR="00734BF9" w:rsidRPr="008137E8">
        <w:rPr>
          <w:rFonts w:asciiTheme="minorBidi" w:eastAsia="Times New Roman" w:hAnsiTheme="minorBidi" w:cstheme="minorBidi"/>
          <w:lang w:val="en-GB"/>
        </w:rPr>
        <w:t>discoursed</w:t>
      </w:r>
      <w:r w:rsidRPr="008137E8">
        <w:rPr>
          <w:rFonts w:asciiTheme="minorBidi" w:eastAsia="Times New Roman" w:hAnsiTheme="minorBidi" w:cstheme="minorBidi"/>
          <w:lang w:val="en-GB"/>
        </w:rPr>
        <w:t xml:space="preserve"> through evidence on potential medication management challenges, automated dispense, on-time reminders and tracking health progress of service users can ensure a safe and consistent use of medicines. The positivity of the innovation lies in its hospital readmission reduction rate, NHS cost minimisation and empowering vulnerable communities.</w:t>
      </w:r>
    </w:p>
    <w:p w14:paraId="50306266" w14:textId="2CFD87D3" w:rsidR="003630B4" w:rsidRPr="008137E8" w:rsidRDefault="00000000">
      <w:pPr>
        <w:spacing w:before="200"/>
        <w:jc w:val="both"/>
        <w:rPr>
          <w:rFonts w:asciiTheme="minorBidi" w:eastAsia="Times New Roman" w:hAnsiTheme="minorBidi" w:cstheme="minorBidi"/>
          <w:lang w:val="en-GB"/>
        </w:rPr>
      </w:pPr>
      <w:r w:rsidRPr="008137E8">
        <w:rPr>
          <w:rFonts w:asciiTheme="minorBidi" w:eastAsia="Times New Roman" w:hAnsiTheme="minorBidi" w:cstheme="minorBidi"/>
          <w:lang w:val="en-GB"/>
        </w:rPr>
        <w:t xml:space="preserve">The realistic adoption of the innovation initiative has been identified through GP practices, adherence to UK legislations supporting digital health initiatives, and NHS involvement. </w:t>
      </w:r>
      <w:r w:rsidR="00734BF9" w:rsidRPr="008137E8">
        <w:rPr>
          <w:rFonts w:asciiTheme="minorBidi" w:eastAsia="Times New Roman" w:hAnsiTheme="minorBidi" w:cstheme="minorBidi"/>
          <w:lang w:val="en-GB"/>
        </w:rPr>
        <w:t>Overall,</w:t>
      </w:r>
      <w:r w:rsidRPr="008137E8">
        <w:rPr>
          <w:rFonts w:asciiTheme="minorBidi" w:eastAsia="Times New Roman" w:hAnsiTheme="minorBidi" w:cstheme="minorBidi"/>
          <w:lang w:val="en-GB"/>
        </w:rPr>
        <w:t xml:space="preserve"> the in</w:t>
      </w:r>
      <w:r w:rsidR="00734BF9" w:rsidRPr="008137E8">
        <w:rPr>
          <w:rFonts w:asciiTheme="minorBidi" w:eastAsia="Times New Roman" w:hAnsiTheme="minorBidi" w:cstheme="minorBidi"/>
          <w:lang w:val="en-GB"/>
        </w:rPr>
        <w:t>n</w:t>
      </w:r>
      <w:r w:rsidRPr="008137E8">
        <w:rPr>
          <w:rFonts w:asciiTheme="minorBidi" w:eastAsia="Times New Roman" w:hAnsiTheme="minorBidi" w:cstheme="minorBidi"/>
          <w:lang w:val="en-GB"/>
        </w:rPr>
        <w:t>ovation sets priorities which ensure patient safety &amp; service efficiency.</w:t>
      </w:r>
    </w:p>
    <w:p w14:paraId="1CEF8F56" w14:textId="2D5A9A81" w:rsidR="008137E8" w:rsidRDefault="008137E8">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CA45270" w14:textId="77777777" w:rsidR="008137E8" w:rsidRPr="00103262" w:rsidRDefault="008137E8" w:rsidP="008137E8">
      <w:pPr>
        <w:pStyle w:val="Heading1"/>
        <w:rPr>
          <w:lang w:val="en-US"/>
        </w:rPr>
      </w:pPr>
      <w:r w:rsidRPr="00103262">
        <w:rPr>
          <w:lang w:val="en-US"/>
        </w:rPr>
        <w:lastRenderedPageBreak/>
        <w:t>References</w:t>
      </w:r>
    </w:p>
    <w:p w14:paraId="59B83F8C" w14:textId="77777777" w:rsidR="00024797" w:rsidRPr="00116A7A" w:rsidRDefault="00024797" w:rsidP="008137E8">
      <w:pPr>
        <w:spacing w:before="240"/>
        <w:jc w:val="both"/>
      </w:pPr>
      <w:r w:rsidRPr="00116A7A">
        <w:t xml:space="preserve">Adeyemi, A.H., Wiredu, B., </w:t>
      </w:r>
      <w:proofErr w:type="spellStart"/>
      <w:r w:rsidRPr="00116A7A">
        <w:t>Okobi</w:t>
      </w:r>
      <w:proofErr w:type="spellEnd"/>
      <w:r w:rsidRPr="00116A7A">
        <w:t xml:space="preserve">, O.E., </w:t>
      </w:r>
      <w:proofErr w:type="spellStart"/>
      <w:r w:rsidRPr="00116A7A">
        <w:t>Nebuwa</w:t>
      </w:r>
      <w:proofErr w:type="spellEnd"/>
      <w:r w:rsidRPr="00116A7A">
        <w:t xml:space="preserve">, P., Ezeani, E.I. and Alozie, A.S. (2025) </w:t>
      </w:r>
      <w:r>
        <w:t>‘</w:t>
      </w:r>
      <w:r w:rsidRPr="00116A7A">
        <w:t xml:space="preserve">Challenges and Strategies in Medication Management for Patients </w:t>
      </w:r>
      <w:proofErr w:type="gramStart"/>
      <w:r w:rsidRPr="00116A7A">
        <w:t>With</w:t>
      </w:r>
      <w:proofErr w:type="gramEnd"/>
      <w:r w:rsidRPr="00116A7A">
        <w:t xml:space="preserve"> Multiple Comorbidities.</w:t>
      </w:r>
      <w:r>
        <w:t>’</w:t>
      </w:r>
      <w:r w:rsidRPr="00116A7A">
        <w:t xml:space="preserve"> </w:t>
      </w:r>
      <w:r w:rsidRPr="00116A7A">
        <w:rPr>
          <w:i/>
          <w:iCs/>
        </w:rPr>
        <w:t>Cureus</w:t>
      </w:r>
      <w:r w:rsidRPr="00116A7A">
        <w:t xml:space="preserve">. </w:t>
      </w:r>
      <w:r>
        <w:t>DOI</w:t>
      </w:r>
      <w:r w:rsidRPr="00116A7A">
        <w:t>:10.7759/cureus.85992.</w:t>
      </w:r>
    </w:p>
    <w:p w14:paraId="0C6AC4F7" w14:textId="77777777" w:rsidR="00024797" w:rsidRPr="002329DF" w:rsidRDefault="00024797" w:rsidP="008137E8">
      <w:pPr>
        <w:spacing w:before="240"/>
        <w:jc w:val="both"/>
      </w:pPr>
      <w:r w:rsidRPr="002329DF">
        <w:t>Care Act (20</w:t>
      </w:r>
      <w:r>
        <w:t>20</w:t>
      </w:r>
      <w:r w:rsidRPr="002329DF">
        <w:t xml:space="preserve">) </w:t>
      </w:r>
      <w:r w:rsidRPr="002329DF">
        <w:rPr>
          <w:i/>
          <w:iCs/>
        </w:rPr>
        <w:t>Care Act 2014</w:t>
      </w:r>
      <w:r w:rsidRPr="002329DF">
        <w:t xml:space="preserve">. [online] Legislation.gov.uk. Available at: </w:t>
      </w:r>
      <w:hyperlink r:id="rId9" w:history="1">
        <w:r w:rsidRPr="002329DF">
          <w:rPr>
            <w:rStyle w:val="Hyperlink"/>
          </w:rPr>
          <w:t>https://www.legislation.gov.uk/ukpga/2014/23/contents</w:t>
        </w:r>
      </w:hyperlink>
      <w:r>
        <w:t xml:space="preserve"> </w:t>
      </w:r>
      <w:r w:rsidRPr="002329DF">
        <w:t>[Accessed 14 July 2026]</w:t>
      </w:r>
    </w:p>
    <w:p w14:paraId="7712E8CE" w14:textId="77777777" w:rsidR="00024797" w:rsidRPr="0040493C" w:rsidRDefault="00024797" w:rsidP="008137E8">
      <w:pPr>
        <w:spacing w:before="240"/>
        <w:jc w:val="both"/>
        <w:rPr>
          <w:lang w:val="en-IN"/>
        </w:rPr>
      </w:pPr>
      <w:proofErr w:type="spellStart"/>
      <w:r w:rsidRPr="0040493C">
        <w:rPr>
          <w:lang w:val="en-IN"/>
        </w:rPr>
        <w:t>Cdn.hc</w:t>
      </w:r>
      <w:proofErr w:type="spellEnd"/>
      <w:r w:rsidRPr="0040493C">
        <w:rPr>
          <w:lang w:val="en-IN"/>
        </w:rPr>
        <w:t xml:space="preserve"> (2025) </w:t>
      </w:r>
      <w:r w:rsidRPr="0040493C">
        <w:rPr>
          <w:i/>
          <w:iCs/>
          <w:lang w:val="en-IN"/>
        </w:rPr>
        <w:t>Managing &amp; Reducing Medication Errors High Risk Medicines &amp; Patient Groups</w:t>
      </w:r>
      <w:r w:rsidRPr="0040493C">
        <w:rPr>
          <w:lang w:val="en-IN"/>
        </w:rPr>
        <w:t xml:space="preserve">. [online] Available at: </w:t>
      </w:r>
      <w:hyperlink r:id="rId10" w:history="1">
        <w:r w:rsidRPr="0040493C">
          <w:rPr>
            <w:rStyle w:val="Hyperlink"/>
            <w:lang w:val="en-IN"/>
          </w:rPr>
          <w:t>https://cdn.hc-uk.org.uk/cache/healthcare-conferences-uk/2025-conferences/03-mar/medication-errors/medication-errors-mar-2025.pdf</w:t>
        </w:r>
      </w:hyperlink>
      <w:r>
        <w:t xml:space="preserve"> </w:t>
      </w:r>
      <w:r w:rsidRPr="0040493C">
        <w:rPr>
          <w:lang w:val="en-IN"/>
        </w:rPr>
        <w:t>[Accessed 14 July 2026].</w:t>
      </w:r>
    </w:p>
    <w:p w14:paraId="2B7A2611" w14:textId="77777777" w:rsidR="00024797" w:rsidRPr="008137E8" w:rsidRDefault="00024797" w:rsidP="008137E8">
      <w:pPr>
        <w:spacing w:before="240"/>
        <w:jc w:val="both"/>
      </w:pPr>
      <w:r>
        <w:t>CQC</w:t>
      </w:r>
      <w:r w:rsidRPr="00C629DD">
        <w:t xml:space="preserve"> (2024) </w:t>
      </w:r>
      <w:r w:rsidRPr="00C629DD">
        <w:rPr>
          <w:i/>
          <w:iCs/>
        </w:rPr>
        <w:t>The Fundamental Standards - Care Quality Commission</w:t>
      </w:r>
      <w:r w:rsidRPr="00C629DD">
        <w:t xml:space="preserve">. [online] Www.cqc.org.uk. Available at: </w:t>
      </w:r>
      <w:hyperlink r:id="rId11" w:history="1">
        <w:r w:rsidRPr="00C629DD">
          <w:rPr>
            <w:rStyle w:val="Hyperlink"/>
          </w:rPr>
          <w:t>https://www.cqc.org.uk/about-us/fundamental-standards</w:t>
        </w:r>
      </w:hyperlink>
      <w:r>
        <w:t xml:space="preserve"> </w:t>
      </w:r>
      <w:r w:rsidRPr="00C629DD">
        <w:t>[Accessed 14 July 2026].</w:t>
      </w:r>
    </w:p>
    <w:p w14:paraId="08131E24" w14:textId="77777777" w:rsidR="00024797" w:rsidRPr="00274675" w:rsidRDefault="00024797" w:rsidP="008137E8">
      <w:pPr>
        <w:spacing w:before="240"/>
        <w:jc w:val="both"/>
      </w:pPr>
      <w:proofErr w:type="spellStart"/>
      <w:r w:rsidRPr="00274675">
        <w:t>Employersforcarers</w:t>
      </w:r>
      <w:proofErr w:type="spellEnd"/>
      <w:r w:rsidRPr="00274675">
        <w:t xml:space="preserve"> (20</w:t>
      </w:r>
      <w:r>
        <w:t>20</w:t>
      </w:r>
      <w:r w:rsidRPr="00274675">
        <w:t xml:space="preserve">) </w:t>
      </w:r>
      <w:r w:rsidRPr="00274675">
        <w:rPr>
          <w:i/>
          <w:iCs/>
        </w:rPr>
        <w:t xml:space="preserve">Unpaid carers save the UK £132 billion a year - the cost of a second NHS | </w:t>
      </w:r>
      <w:proofErr w:type="spellStart"/>
      <w:r w:rsidRPr="00274675">
        <w:rPr>
          <w:i/>
          <w:iCs/>
        </w:rPr>
        <w:t>EfC</w:t>
      </w:r>
      <w:proofErr w:type="spellEnd"/>
      <w:r w:rsidRPr="00274675">
        <w:t xml:space="preserve">. [online] </w:t>
      </w:r>
      <w:proofErr w:type="spellStart"/>
      <w:r w:rsidRPr="00274675">
        <w:t>EfC</w:t>
      </w:r>
      <w:proofErr w:type="spellEnd"/>
      <w:r w:rsidRPr="00274675">
        <w:t xml:space="preserve">. Available at: </w:t>
      </w:r>
      <w:hyperlink r:id="rId12" w:history="1">
        <w:r w:rsidRPr="00274675">
          <w:rPr>
            <w:rStyle w:val="Hyperlink"/>
          </w:rPr>
          <w:t>https://www.employersforcarers.org/news/unpaid-carers-save-the-uk-132-billion-a-year-the-cost-of-a-second-nhs/</w:t>
        </w:r>
      </w:hyperlink>
      <w:r>
        <w:t xml:space="preserve"> </w:t>
      </w:r>
      <w:r w:rsidRPr="00274675">
        <w:t>[Accessed 14 July 2026]</w:t>
      </w:r>
    </w:p>
    <w:p w14:paraId="6077F4E3" w14:textId="77777777" w:rsidR="00024797" w:rsidRPr="002374FE" w:rsidRDefault="00024797" w:rsidP="008137E8">
      <w:pPr>
        <w:spacing w:before="240"/>
        <w:jc w:val="both"/>
      </w:pPr>
      <w:r w:rsidRPr="002374FE">
        <w:t>Franco-Trigo, L., Fernández-</w:t>
      </w:r>
      <w:proofErr w:type="spellStart"/>
      <w:r w:rsidRPr="002374FE">
        <w:t>Llimós</w:t>
      </w:r>
      <w:proofErr w:type="spellEnd"/>
      <w:r w:rsidRPr="002374FE">
        <w:t xml:space="preserve">, F., Martínez-Martínez, F., </w:t>
      </w:r>
      <w:proofErr w:type="spellStart"/>
      <w:r w:rsidRPr="002374FE">
        <w:t>Benrimoj</w:t>
      </w:r>
      <w:proofErr w:type="spellEnd"/>
      <w:r w:rsidRPr="002374FE">
        <w:t xml:space="preserve">, S.I. and Sabater-Hernández, D. (2020) </w:t>
      </w:r>
      <w:r>
        <w:t>‘</w:t>
      </w:r>
      <w:r w:rsidRPr="002374FE">
        <w:t>Stakeholder analysis in health innovation planning processes: A systematic scoping review.</w:t>
      </w:r>
      <w:r>
        <w:t>’</w:t>
      </w:r>
      <w:r w:rsidRPr="002374FE">
        <w:t xml:space="preserve"> </w:t>
      </w:r>
      <w:r w:rsidRPr="002374FE">
        <w:rPr>
          <w:i/>
          <w:iCs/>
        </w:rPr>
        <w:t>Health Policy</w:t>
      </w:r>
      <w:r w:rsidRPr="002374FE">
        <w:t xml:space="preserve">, [online] 124(10). </w:t>
      </w:r>
      <w:r>
        <w:t>DOI</w:t>
      </w:r>
      <w:r w:rsidRPr="002374FE">
        <w:t>:</w:t>
      </w:r>
      <w:r>
        <w:t xml:space="preserve"> </w:t>
      </w:r>
      <w:r w:rsidRPr="002374FE">
        <w:t>10.1016/j.healthpol.2020.06.012.</w:t>
      </w:r>
    </w:p>
    <w:p w14:paraId="74FA8FF0" w14:textId="77777777" w:rsidR="00024797" w:rsidRPr="00EC6365" w:rsidRDefault="00024797" w:rsidP="008137E8">
      <w:pPr>
        <w:spacing w:before="240"/>
        <w:jc w:val="both"/>
      </w:pPr>
      <w:r w:rsidRPr="00EC6365">
        <w:t>GDPR (20</w:t>
      </w:r>
      <w:r>
        <w:t>20</w:t>
      </w:r>
      <w:r w:rsidRPr="00EC6365">
        <w:t xml:space="preserve">) </w:t>
      </w:r>
      <w:r w:rsidRPr="00EC6365">
        <w:rPr>
          <w:i/>
          <w:iCs/>
        </w:rPr>
        <w:t>General Data Protection Regulation (GDPR)</w:t>
      </w:r>
      <w:r w:rsidRPr="00EC6365">
        <w:t xml:space="preserve">. [online] GDPR. Available at: </w:t>
      </w:r>
      <w:hyperlink r:id="rId13" w:history="1">
        <w:r w:rsidRPr="00EC6365">
          <w:rPr>
            <w:rStyle w:val="Hyperlink"/>
          </w:rPr>
          <w:t>https://gdpr-info.eu/</w:t>
        </w:r>
      </w:hyperlink>
      <w:r>
        <w:t xml:space="preserve"> </w:t>
      </w:r>
      <w:r w:rsidRPr="00EC6365">
        <w:t>[Accessed 14 July 2026]</w:t>
      </w:r>
    </w:p>
    <w:p w14:paraId="4B70E478" w14:textId="77777777" w:rsidR="00024797" w:rsidRPr="008171ED" w:rsidRDefault="00024797" w:rsidP="008137E8">
      <w:pPr>
        <w:spacing w:before="240"/>
        <w:jc w:val="both"/>
      </w:pPr>
      <w:r w:rsidRPr="008171ED">
        <w:t>GOV.UK (20</w:t>
      </w:r>
      <w:r>
        <w:t>2</w:t>
      </w:r>
      <w:r w:rsidRPr="008171ED">
        <w:t xml:space="preserve">3) </w:t>
      </w:r>
      <w:r w:rsidRPr="008171ED">
        <w:rPr>
          <w:i/>
          <w:iCs/>
        </w:rPr>
        <w:t>Equality Act 2010</w:t>
      </w:r>
      <w:r w:rsidRPr="008171ED">
        <w:t xml:space="preserve">. [online] GOV.UK. Available at: </w:t>
      </w:r>
      <w:hyperlink r:id="rId14" w:history="1">
        <w:r w:rsidRPr="008171ED">
          <w:rPr>
            <w:rStyle w:val="Hyperlink"/>
          </w:rPr>
          <w:t>https://www.gov.uk/guidance/equality-act-2010-guidance</w:t>
        </w:r>
      </w:hyperlink>
      <w:r>
        <w:t xml:space="preserve"> </w:t>
      </w:r>
      <w:r w:rsidRPr="008171ED">
        <w:t>[Accessed 14 July 2026]</w:t>
      </w:r>
    </w:p>
    <w:p w14:paraId="44F9BA37" w14:textId="77777777" w:rsidR="00024797" w:rsidRPr="009D6ADE" w:rsidRDefault="00024797" w:rsidP="008137E8">
      <w:pPr>
        <w:spacing w:before="240"/>
        <w:jc w:val="both"/>
      </w:pPr>
      <w:r w:rsidRPr="009D6ADE">
        <w:t xml:space="preserve">GOV.UK (2024) </w:t>
      </w:r>
      <w:r w:rsidRPr="009D6ADE">
        <w:rPr>
          <w:i/>
          <w:iCs/>
        </w:rPr>
        <w:t>Writing about ethnicity</w:t>
      </w:r>
      <w:r w:rsidRPr="009D6ADE">
        <w:t xml:space="preserve">. [online] Www.ethnicity-facts-figures.service.gov.uk. Available at: </w:t>
      </w:r>
      <w:hyperlink r:id="rId15" w:history="1">
        <w:r w:rsidRPr="009D6ADE">
          <w:rPr>
            <w:rStyle w:val="Hyperlink"/>
          </w:rPr>
          <w:t>https://www.ethnicity-facts-figures.service.gov.uk/style-guide/writing-about-ethnicity/</w:t>
        </w:r>
      </w:hyperlink>
      <w:r>
        <w:t xml:space="preserve"> </w:t>
      </w:r>
      <w:r w:rsidRPr="009D6ADE">
        <w:t>[Accessed 14 July 2026].</w:t>
      </w:r>
    </w:p>
    <w:p w14:paraId="3B69BC07" w14:textId="77777777" w:rsidR="00024797" w:rsidRPr="001369D7" w:rsidRDefault="00024797" w:rsidP="008137E8">
      <w:pPr>
        <w:spacing w:before="240"/>
        <w:jc w:val="both"/>
      </w:pPr>
      <w:r>
        <w:t>N</w:t>
      </w:r>
      <w:r w:rsidRPr="001369D7">
        <w:t xml:space="preserve">hs.uk (2024) </w:t>
      </w:r>
      <w:r w:rsidRPr="001369D7">
        <w:rPr>
          <w:i/>
          <w:iCs/>
        </w:rPr>
        <w:t xml:space="preserve">NHS England » Stopping over Medication of People with a Learning Disability and Autistic People (STOMP) and Supporting Treatment and Appropriate Medication in </w:t>
      </w:r>
      <w:proofErr w:type="spellStart"/>
      <w:r w:rsidRPr="001369D7">
        <w:rPr>
          <w:i/>
          <w:iCs/>
        </w:rPr>
        <w:t>Paediatrics</w:t>
      </w:r>
      <w:proofErr w:type="spellEnd"/>
      <w:r w:rsidRPr="001369D7">
        <w:rPr>
          <w:i/>
          <w:iCs/>
        </w:rPr>
        <w:t xml:space="preserve"> </w:t>
      </w:r>
      <w:r w:rsidRPr="001369D7">
        <w:rPr>
          <w:i/>
          <w:iCs/>
        </w:rPr>
        <w:lastRenderedPageBreak/>
        <w:t>(STAMP)</w:t>
      </w:r>
      <w:r w:rsidRPr="001369D7">
        <w:t xml:space="preserve">. [online] Www.england.nhs.uk. Available at: </w:t>
      </w:r>
      <w:hyperlink r:id="rId16" w:history="1">
        <w:r w:rsidRPr="001369D7">
          <w:rPr>
            <w:rStyle w:val="Hyperlink"/>
          </w:rPr>
          <w:t>https://www.england.nhs.uk/learning-disabilities/improving-health/stomp-stamp/</w:t>
        </w:r>
      </w:hyperlink>
      <w:r>
        <w:t xml:space="preserve"> </w:t>
      </w:r>
      <w:r w:rsidRPr="001369D7">
        <w:t>[Accessed 14 July 2026].</w:t>
      </w:r>
    </w:p>
    <w:p w14:paraId="625F2F88" w14:textId="77777777" w:rsidR="00024797" w:rsidRPr="00320C3B" w:rsidRDefault="00024797" w:rsidP="008137E8">
      <w:pPr>
        <w:spacing w:before="240"/>
        <w:jc w:val="both"/>
      </w:pPr>
      <w:proofErr w:type="spellStart"/>
      <w:r w:rsidRPr="00320C3B">
        <w:t>Nhsbsa</w:t>
      </w:r>
      <w:proofErr w:type="spellEnd"/>
      <w:r w:rsidRPr="00320C3B">
        <w:t xml:space="preserve"> (2026) </w:t>
      </w:r>
      <w:r w:rsidRPr="00320C3B">
        <w:rPr>
          <w:i/>
          <w:iCs/>
        </w:rPr>
        <w:t>Latest NHSBSA report shows decline in cost of dependency-forming medicines prescribed in England</w:t>
      </w:r>
      <w:r w:rsidRPr="00320C3B">
        <w:t xml:space="preserve">. [online] NHS Business Service Authority (NHSBSA). Available at: </w:t>
      </w:r>
      <w:hyperlink r:id="rId17" w:history="1">
        <w:r w:rsidRPr="00320C3B">
          <w:rPr>
            <w:rStyle w:val="Hyperlink"/>
          </w:rPr>
          <w:t>https://media.nhsbsa.nhs.uk/press-releases/23f68978-c5a7-484c-bf59-47166746cf62/latest-nhsbsa-report-shows-decline-in-cost-of-dependency-forming-medicines-prescribed-in-england</w:t>
        </w:r>
      </w:hyperlink>
      <w:r>
        <w:t xml:space="preserve"> </w:t>
      </w:r>
      <w:r w:rsidRPr="00320C3B">
        <w:t>[Accessed 14 July 2026]</w:t>
      </w:r>
    </w:p>
    <w:p w14:paraId="78AF702F" w14:textId="77777777" w:rsidR="00024797" w:rsidRPr="00FC6BF6" w:rsidRDefault="00024797" w:rsidP="008137E8">
      <w:pPr>
        <w:spacing w:before="240"/>
        <w:jc w:val="both"/>
      </w:pPr>
      <w:r w:rsidRPr="00FC6BF6">
        <w:t>NICE (20</w:t>
      </w:r>
      <w:r>
        <w:t>21</w:t>
      </w:r>
      <w:r w:rsidRPr="00FC6BF6">
        <w:t xml:space="preserve">) </w:t>
      </w:r>
      <w:r w:rsidRPr="00FC6BF6">
        <w:rPr>
          <w:i/>
          <w:iCs/>
        </w:rPr>
        <w:t>Medicines adherence: Involving patients in decisions about prescribed medicines and supporting adherence | Guidance | NICE</w:t>
      </w:r>
      <w:r w:rsidRPr="00FC6BF6">
        <w:t xml:space="preserve">. [online] Nice.org.uk. Available at: </w:t>
      </w:r>
      <w:hyperlink r:id="rId18" w:history="1">
        <w:r w:rsidRPr="00FC6BF6">
          <w:rPr>
            <w:rStyle w:val="Hyperlink"/>
          </w:rPr>
          <w:t>https://www.nice.org.uk/Guidance/CG76</w:t>
        </w:r>
      </w:hyperlink>
      <w:r>
        <w:t xml:space="preserve"> </w:t>
      </w:r>
      <w:r w:rsidRPr="00FC6BF6">
        <w:t>[Accessed 14 July 2026].</w:t>
      </w:r>
    </w:p>
    <w:p w14:paraId="6B3BCE33" w14:textId="77777777" w:rsidR="003630B4" w:rsidRPr="00623A7F" w:rsidRDefault="003630B4">
      <w:pPr>
        <w:spacing w:before="200"/>
        <w:jc w:val="both"/>
        <w:rPr>
          <w:rFonts w:ascii="Times New Roman" w:eastAsia="Times New Roman" w:hAnsi="Times New Roman" w:cs="Times New Roman"/>
          <w:b/>
          <w:bCs/>
          <w:sz w:val="24"/>
          <w:szCs w:val="24"/>
          <w:lang w:val="en-GB"/>
        </w:rPr>
      </w:pPr>
    </w:p>
    <w:p w14:paraId="706270FD" w14:textId="77777777" w:rsidR="003630B4" w:rsidRPr="00623A7F" w:rsidRDefault="003630B4">
      <w:pPr>
        <w:spacing w:before="200"/>
        <w:jc w:val="both"/>
        <w:rPr>
          <w:rFonts w:ascii="Times New Roman" w:eastAsia="Times New Roman" w:hAnsi="Times New Roman" w:cs="Times New Roman"/>
          <w:sz w:val="24"/>
          <w:szCs w:val="24"/>
          <w:lang w:val="en-GB"/>
        </w:rPr>
      </w:pPr>
    </w:p>
    <w:p w14:paraId="0B957A7F" w14:textId="77777777" w:rsidR="003630B4" w:rsidRPr="00623A7F" w:rsidRDefault="003630B4">
      <w:pPr>
        <w:spacing w:before="200"/>
        <w:jc w:val="both"/>
        <w:rPr>
          <w:rFonts w:ascii="Times New Roman" w:eastAsia="Times New Roman" w:hAnsi="Times New Roman" w:cs="Times New Roman"/>
          <w:sz w:val="24"/>
          <w:szCs w:val="24"/>
          <w:lang w:val="en-GB"/>
        </w:rPr>
      </w:pPr>
    </w:p>
    <w:p w14:paraId="008912DD" w14:textId="77777777" w:rsidR="003630B4" w:rsidRPr="00623A7F" w:rsidRDefault="003630B4">
      <w:pPr>
        <w:spacing w:before="200"/>
        <w:jc w:val="both"/>
        <w:rPr>
          <w:rFonts w:ascii="Times New Roman" w:eastAsia="Times New Roman" w:hAnsi="Times New Roman" w:cs="Times New Roman"/>
          <w:sz w:val="24"/>
          <w:szCs w:val="24"/>
          <w:lang w:val="en-GB"/>
        </w:rPr>
      </w:pPr>
    </w:p>
    <w:p w14:paraId="25A548A8" w14:textId="77777777" w:rsidR="003630B4" w:rsidRPr="00623A7F" w:rsidRDefault="003630B4">
      <w:pPr>
        <w:spacing w:before="200"/>
        <w:jc w:val="both"/>
        <w:rPr>
          <w:rFonts w:ascii="Times New Roman" w:eastAsia="Times New Roman" w:hAnsi="Times New Roman" w:cs="Times New Roman"/>
          <w:sz w:val="24"/>
          <w:szCs w:val="24"/>
          <w:lang w:val="en-GB"/>
        </w:rPr>
      </w:pPr>
    </w:p>
    <w:sectPr w:rsidR="003630B4" w:rsidRPr="00623A7F" w:rsidSect="00E50884">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91098" w14:textId="77777777" w:rsidR="00F14809" w:rsidRDefault="00F14809" w:rsidP="00F70CA3">
      <w:pPr>
        <w:spacing w:line="240" w:lineRule="auto"/>
      </w:pPr>
      <w:r>
        <w:separator/>
      </w:r>
    </w:p>
  </w:endnote>
  <w:endnote w:type="continuationSeparator" w:id="0">
    <w:p w14:paraId="276F3C2F" w14:textId="77777777" w:rsidR="00F14809" w:rsidRDefault="00F14809" w:rsidP="00F70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7685A900-CB39-DD4A-99D1-B9F32B0CE518}"/>
    <w:embedBold r:id="rId2" w:fontKey="{DA9EF608-52E2-7749-A4D9-236D641EA368}"/>
    <w:embedItalic r:id="rId3" w:fontKey="{03E2883A-1B66-F742-8416-DBBBB9DCC280}"/>
  </w:font>
  <w:font w:name="Arial">
    <w:panose1 w:val="020B0604020202020204"/>
    <w:charset w:val="00"/>
    <w:family w:val="swiss"/>
    <w:pitch w:val="variable"/>
    <w:sig w:usb0="E0002AFF" w:usb1="C0007843" w:usb2="00000009" w:usb3="00000000" w:csb0="000001FF" w:csb1="00000000"/>
    <w:embedRegular r:id="rId4" w:fontKey="{83F05E03-6165-9D48-A9C3-1737E766F776}"/>
    <w:embedBold r:id="rId5" w:fontKey="{A3A54C59-92E9-2845-984A-77E5AFABC751}"/>
    <w:embedItalic r:id="rId6" w:fontKey="{01A85383-9E00-A04A-BBED-86DA35FE9851}"/>
  </w:font>
  <w:font w:name="Calibri">
    <w:panose1 w:val="020F0502020204030204"/>
    <w:charset w:val="00"/>
    <w:family w:val="swiss"/>
    <w:pitch w:val="variable"/>
    <w:sig w:usb0="E0002AFF" w:usb1="C000ACFF" w:usb2="00000009" w:usb3="00000000" w:csb0="000001FF" w:csb1="00000000"/>
    <w:embedRegular r:id="rId7" w:fontKey="{EC04F2B0-BEE5-B64B-9B92-B9EB2A70DF3F}"/>
  </w:font>
  <w:font w:name="Cambria">
    <w:panose1 w:val="02040503050406030204"/>
    <w:charset w:val="00"/>
    <w:family w:val="roman"/>
    <w:pitch w:val="variable"/>
    <w:sig w:usb0="E00006FF" w:usb1="420024FF" w:usb2="02000000" w:usb3="00000000" w:csb0="0000019F" w:csb1="00000000"/>
    <w:embedRegular r:id="rId8" w:fontKey="{AA8CFA38-3023-C847-BA2C-A2256C73AD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177914"/>
      <w:docPartObj>
        <w:docPartGallery w:val="Page Numbers (Bottom of Page)"/>
        <w:docPartUnique/>
      </w:docPartObj>
    </w:sdtPr>
    <w:sdtContent>
      <w:p w14:paraId="2535D762" w14:textId="1C07C018" w:rsidR="00E50884" w:rsidRDefault="00E5088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C8FA9B" w14:textId="77777777" w:rsidR="00E50884" w:rsidRDefault="00E508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6DD8C" w14:textId="77777777" w:rsidR="00F14809" w:rsidRDefault="00F14809" w:rsidP="00F70CA3">
      <w:pPr>
        <w:spacing w:line="240" w:lineRule="auto"/>
      </w:pPr>
      <w:r>
        <w:separator/>
      </w:r>
    </w:p>
  </w:footnote>
  <w:footnote w:type="continuationSeparator" w:id="0">
    <w:p w14:paraId="5A7BD27C" w14:textId="77777777" w:rsidR="00F14809" w:rsidRDefault="00F14809" w:rsidP="00F70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E401D"/>
    <w:multiLevelType w:val="multilevel"/>
    <w:tmpl w:val="BDA28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667D0C"/>
    <w:multiLevelType w:val="multilevel"/>
    <w:tmpl w:val="081C5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A24213"/>
    <w:multiLevelType w:val="multilevel"/>
    <w:tmpl w:val="248A4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36509D"/>
    <w:multiLevelType w:val="multilevel"/>
    <w:tmpl w:val="BC6CF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762C24"/>
    <w:multiLevelType w:val="multilevel"/>
    <w:tmpl w:val="3AB80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8854C9F"/>
    <w:multiLevelType w:val="multilevel"/>
    <w:tmpl w:val="7024A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652922">
    <w:abstractNumId w:val="1"/>
  </w:num>
  <w:num w:numId="2" w16cid:durableId="641545375">
    <w:abstractNumId w:val="0"/>
  </w:num>
  <w:num w:numId="3" w16cid:durableId="1982540705">
    <w:abstractNumId w:val="4"/>
  </w:num>
  <w:num w:numId="4" w16cid:durableId="1908101257">
    <w:abstractNumId w:val="3"/>
  </w:num>
  <w:num w:numId="5" w16cid:durableId="2022127216">
    <w:abstractNumId w:val="2"/>
  </w:num>
  <w:num w:numId="6" w16cid:durableId="997155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30B4"/>
    <w:rsid w:val="00024797"/>
    <w:rsid w:val="00063E7B"/>
    <w:rsid w:val="00344BD5"/>
    <w:rsid w:val="003630B4"/>
    <w:rsid w:val="00533D27"/>
    <w:rsid w:val="00623A7F"/>
    <w:rsid w:val="00734BF9"/>
    <w:rsid w:val="008137E8"/>
    <w:rsid w:val="00841314"/>
    <w:rsid w:val="00B44C1E"/>
    <w:rsid w:val="00B64273"/>
    <w:rsid w:val="00BA1A69"/>
    <w:rsid w:val="00E057B8"/>
    <w:rsid w:val="00E50884"/>
    <w:rsid w:val="00ED74AE"/>
    <w:rsid w:val="00F14809"/>
    <w:rsid w:val="00F70CA3"/>
    <w:rsid w:val="00FE430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91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7E8"/>
    <w:pPr>
      <w:spacing w:line="360" w:lineRule="auto"/>
    </w:pPr>
  </w:style>
  <w:style w:type="paragraph" w:styleId="Heading1">
    <w:name w:val="heading 1"/>
    <w:basedOn w:val="Normal"/>
    <w:next w:val="Normal"/>
    <w:uiPriority w:val="9"/>
    <w:qFormat/>
    <w:rsid w:val="008137E8"/>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137E8"/>
    <w:rPr>
      <w:color w:val="0000FF" w:themeColor="hyperlink"/>
      <w:u w:val="single"/>
    </w:rPr>
  </w:style>
  <w:style w:type="paragraph" w:styleId="Header">
    <w:name w:val="header"/>
    <w:basedOn w:val="Normal"/>
    <w:link w:val="HeaderChar"/>
    <w:uiPriority w:val="99"/>
    <w:unhideWhenUsed/>
    <w:rsid w:val="00F70CA3"/>
    <w:pPr>
      <w:tabs>
        <w:tab w:val="center" w:pos="4513"/>
        <w:tab w:val="right" w:pos="9026"/>
      </w:tabs>
      <w:spacing w:line="240" w:lineRule="auto"/>
    </w:pPr>
  </w:style>
  <w:style w:type="character" w:customStyle="1" w:styleId="HeaderChar">
    <w:name w:val="Header Char"/>
    <w:basedOn w:val="DefaultParagraphFont"/>
    <w:link w:val="Header"/>
    <w:uiPriority w:val="99"/>
    <w:rsid w:val="00F70CA3"/>
  </w:style>
  <w:style w:type="paragraph" w:styleId="Footer">
    <w:name w:val="footer"/>
    <w:basedOn w:val="Normal"/>
    <w:link w:val="FooterChar"/>
    <w:uiPriority w:val="99"/>
    <w:unhideWhenUsed/>
    <w:rsid w:val="00F70CA3"/>
    <w:pPr>
      <w:tabs>
        <w:tab w:val="center" w:pos="4513"/>
        <w:tab w:val="right" w:pos="9026"/>
      </w:tabs>
      <w:spacing w:line="240" w:lineRule="auto"/>
    </w:pPr>
  </w:style>
  <w:style w:type="character" w:customStyle="1" w:styleId="FooterChar">
    <w:name w:val="Footer Char"/>
    <w:basedOn w:val="DefaultParagraphFont"/>
    <w:link w:val="Footer"/>
    <w:uiPriority w:val="99"/>
    <w:rsid w:val="00F70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dpr-info.eu/" TargetMode="External"/><Relationship Id="rId18" Type="http://schemas.openxmlformats.org/officeDocument/2006/relationships/hyperlink" Target="https://www.nice.org.uk/Guidance/CG7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mployersforcarers.org/news/unpaid-carers-save-the-uk-132-billion-a-year-the-cost-of-a-second-nhs/" TargetMode="External"/><Relationship Id="rId17" Type="http://schemas.openxmlformats.org/officeDocument/2006/relationships/hyperlink" Target="https://media.nhsbsa.nhs.uk/press-releases/23f68978-c5a7-484c-bf59-47166746cf62/latest-nhsbsa-report-shows-decline-in-cost-of-dependency-forming-medicines-prescribed-in-england" TargetMode="External"/><Relationship Id="rId2" Type="http://schemas.openxmlformats.org/officeDocument/2006/relationships/styles" Target="styles.xml"/><Relationship Id="rId16" Type="http://schemas.openxmlformats.org/officeDocument/2006/relationships/hyperlink" Target="https://www.england.nhs.uk/learning-disabilities/improving-health/stomp-stam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about-us/fundamental-standards" TargetMode="External"/><Relationship Id="rId5" Type="http://schemas.openxmlformats.org/officeDocument/2006/relationships/footnotes" Target="footnotes.xml"/><Relationship Id="rId15" Type="http://schemas.openxmlformats.org/officeDocument/2006/relationships/hyperlink" Target="https://www.ethnicity-facts-figures.service.gov.uk/style-guide/writing-about-ethnicity/" TargetMode="External"/><Relationship Id="rId10" Type="http://schemas.openxmlformats.org/officeDocument/2006/relationships/hyperlink" Target="https://cdn.hc-uk.org.uk/cache/healthcare-conferences-uk/2025-conferences/03-mar/medication-errors/medication-errors-mar-2025.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gov.uk/guidance/equality-act-2010-guidanc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1982</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2026-07-14T10:50:00Z</dcterms:created>
  <dcterms:modified xsi:type="dcterms:W3CDTF">2026-08-04T23:23:00Z</dcterms:modified>
</cp:coreProperties>
</file>