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AC180" w14:textId="5DE504AB" w:rsidR="00512120" w:rsidRPr="00512120" w:rsidRDefault="00512120" w:rsidP="00512120">
      <w:pPr>
        <w:rPr>
          <w:sz w:val="28"/>
          <w:szCs w:val="28"/>
        </w:rPr>
      </w:pPr>
      <w:r w:rsidRPr="00512120">
        <w:rPr>
          <w:sz w:val="28"/>
          <w:szCs w:val="28"/>
        </w:rPr>
        <w:t>Bibliography</w:t>
      </w:r>
    </w:p>
    <w:p w14:paraId="60FD83FE" w14:textId="545E78BD" w:rsidR="00512120" w:rsidRPr="00512120" w:rsidRDefault="00512120" w:rsidP="00512120">
      <w:r w:rsidRPr="00512120">
        <w:t xml:space="preserve">Baim, C. (2020). </w:t>
      </w:r>
      <w:r w:rsidRPr="00512120">
        <w:rPr>
          <w:i/>
          <w:iCs/>
        </w:rPr>
        <w:t xml:space="preserve">Staging the </w:t>
      </w:r>
      <w:proofErr w:type="gramStart"/>
      <w:r w:rsidRPr="00512120">
        <w:rPr>
          <w:i/>
          <w:iCs/>
        </w:rPr>
        <w:t>personal :</w:t>
      </w:r>
      <w:proofErr w:type="gramEnd"/>
      <w:r w:rsidRPr="00512120">
        <w:rPr>
          <w:i/>
          <w:iCs/>
        </w:rPr>
        <w:t xml:space="preserve"> a guide to safe and ethical practice</w:t>
      </w:r>
      <w:r w:rsidRPr="00512120">
        <w:t>. Cham, Switzerland: Palgrave Macmillan.</w:t>
      </w:r>
    </w:p>
    <w:p w14:paraId="78BD83BB" w14:textId="77777777" w:rsidR="00512120" w:rsidRPr="00512120" w:rsidRDefault="00512120" w:rsidP="00512120">
      <w:r w:rsidRPr="00512120">
        <w:t xml:space="preserve">Foucault, M. (2002). </w:t>
      </w:r>
      <w:r w:rsidRPr="00512120">
        <w:rPr>
          <w:i/>
          <w:iCs/>
        </w:rPr>
        <w:t>Power</w:t>
      </w:r>
      <w:r w:rsidRPr="00512120">
        <w:t>. London: Penguin.</w:t>
      </w:r>
    </w:p>
    <w:p w14:paraId="1973A2AF" w14:textId="77777777" w:rsidR="00512120" w:rsidRPr="00512120" w:rsidRDefault="00512120" w:rsidP="00512120">
      <w:r w:rsidRPr="00512120">
        <w:t xml:space="preserve">Hughes, J. and Nicholson, H. (2016). </w:t>
      </w:r>
      <w:r w:rsidRPr="00512120">
        <w:rPr>
          <w:i/>
          <w:iCs/>
        </w:rPr>
        <w:t>Critical Perspectives on Applied Theatre</w:t>
      </w:r>
      <w:r w:rsidRPr="00512120">
        <w:t xml:space="preserve">. Cambridge </w:t>
      </w:r>
      <w:proofErr w:type="spellStart"/>
      <w:r w:rsidRPr="00512120">
        <w:t>Cambridge</w:t>
      </w:r>
      <w:proofErr w:type="spellEnd"/>
      <w:r w:rsidRPr="00512120">
        <w:t xml:space="preserve"> University Press.</w:t>
      </w:r>
    </w:p>
    <w:p w14:paraId="0434CFE5" w14:textId="77777777" w:rsidR="00512120" w:rsidRPr="00512120" w:rsidRDefault="00512120" w:rsidP="00512120">
      <w:r w:rsidRPr="00512120">
        <w:t xml:space="preserve">Kara, H. and Lemon, N. (2021). </w:t>
      </w:r>
      <w:r w:rsidRPr="00512120">
        <w:rPr>
          <w:i/>
          <w:iCs/>
        </w:rPr>
        <w:t>Creative Research Methods in Education</w:t>
      </w:r>
      <w:r w:rsidRPr="00512120">
        <w:t>. Policy Press.</w:t>
      </w:r>
    </w:p>
    <w:p w14:paraId="79184022" w14:textId="77777777" w:rsidR="00512120" w:rsidRPr="00512120" w:rsidRDefault="00512120" w:rsidP="00512120">
      <w:r w:rsidRPr="00512120">
        <w:t xml:space="preserve">Moon, J.A. (2004). </w:t>
      </w:r>
      <w:r w:rsidRPr="00512120">
        <w:rPr>
          <w:i/>
          <w:iCs/>
        </w:rPr>
        <w:t>Handbook of Reflective and Experiential Learning</w:t>
      </w:r>
      <w:r w:rsidRPr="00512120">
        <w:t>. Routledge Falmer.</w:t>
      </w:r>
    </w:p>
    <w:p w14:paraId="32613E2E" w14:textId="77777777" w:rsidR="00512120" w:rsidRPr="00512120" w:rsidRDefault="00512120" w:rsidP="00512120">
      <w:r w:rsidRPr="00512120">
        <w:t xml:space="preserve">Nicholson, H. (2014). </w:t>
      </w:r>
      <w:r w:rsidRPr="00512120">
        <w:rPr>
          <w:i/>
          <w:iCs/>
        </w:rPr>
        <w:t xml:space="preserve">Applied </w:t>
      </w:r>
      <w:proofErr w:type="gramStart"/>
      <w:r w:rsidRPr="00512120">
        <w:rPr>
          <w:i/>
          <w:iCs/>
        </w:rPr>
        <w:t>Drama :</w:t>
      </w:r>
      <w:proofErr w:type="gramEnd"/>
      <w:r w:rsidRPr="00512120">
        <w:rPr>
          <w:i/>
          <w:iCs/>
        </w:rPr>
        <w:t xml:space="preserve"> the Gift of Theatre</w:t>
      </w:r>
      <w:r w:rsidRPr="00512120">
        <w:t>. Basingstoke, Hampshire: Palgrave Macmillan.</w:t>
      </w:r>
    </w:p>
    <w:p w14:paraId="579B3EDB" w14:textId="77777777" w:rsidR="00512120" w:rsidRPr="00512120" w:rsidRDefault="00512120" w:rsidP="00512120">
      <w:r w:rsidRPr="00512120">
        <w:t xml:space="preserve">O’Connor, P. and Anderson, M. (2015). </w:t>
      </w:r>
      <w:r w:rsidRPr="00512120">
        <w:rPr>
          <w:i/>
          <w:iCs/>
        </w:rPr>
        <w:t>Applied Theatre: Research</w:t>
      </w:r>
      <w:r w:rsidRPr="00512120">
        <w:t>. Bloomsbury Publishing.</w:t>
      </w:r>
    </w:p>
    <w:p w14:paraId="79C730B8" w14:textId="77777777" w:rsidR="00512120" w:rsidRPr="00512120" w:rsidRDefault="00512120" w:rsidP="00512120">
      <w:r w:rsidRPr="00512120">
        <w:t xml:space="preserve">Prendergast, M. and Saxton, J. (2013). </w:t>
      </w:r>
      <w:r w:rsidRPr="00512120">
        <w:rPr>
          <w:i/>
          <w:iCs/>
        </w:rPr>
        <w:t xml:space="preserve">Applied </w:t>
      </w:r>
      <w:proofErr w:type="gramStart"/>
      <w:r w:rsidRPr="00512120">
        <w:rPr>
          <w:i/>
          <w:iCs/>
        </w:rPr>
        <w:t>drama :</w:t>
      </w:r>
      <w:proofErr w:type="gramEnd"/>
      <w:r w:rsidRPr="00512120">
        <w:rPr>
          <w:i/>
          <w:iCs/>
        </w:rPr>
        <w:t xml:space="preserve"> a facilitator’s handbook for working in community</w:t>
      </w:r>
      <w:r w:rsidRPr="00512120">
        <w:t xml:space="preserve">. Bristol, Uk: </w:t>
      </w:r>
      <w:proofErr w:type="gramStart"/>
      <w:r w:rsidRPr="00512120">
        <w:t>Intellect ;</w:t>
      </w:r>
      <w:proofErr w:type="gramEnd"/>
      <w:r w:rsidRPr="00512120">
        <w:t xml:space="preserve"> Chicago, Il.</w:t>
      </w:r>
    </w:p>
    <w:p w14:paraId="69A508E3" w14:textId="77777777" w:rsidR="00512120" w:rsidRPr="00512120" w:rsidRDefault="00512120" w:rsidP="00512120">
      <w:proofErr w:type="spellStart"/>
      <w:r w:rsidRPr="00512120">
        <w:t>Prentki</w:t>
      </w:r>
      <w:proofErr w:type="spellEnd"/>
      <w:r w:rsidRPr="00512120">
        <w:t xml:space="preserve">, T. and Abraham, N. (2021). </w:t>
      </w:r>
      <w:r w:rsidRPr="00512120">
        <w:rPr>
          <w:i/>
          <w:iCs/>
        </w:rPr>
        <w:t>The Applied Theatre Reader</w:t>
      </w:r>
      <w:r w:rsidRPr="00512120">
        <w:t>. 2nd ed. New York: Routledge.</w:t>
      </w:r>
    </w:p>
    <w:p w14:paraId="7B52EB04" w14:textId="77777777" w:rsidR="00512120" w:rsidRPr="00512120" w:rsidRDefault="00512120" w:rsidP="00512120">
      <w:proofErr w:type="spellStart"/>
      <w:r w:rsidRPr="00512120">
        <w:t>Prentki</w:t>
      </w:r>
      <w:proofErr w:type="spellEnd"/>
      <w:r w:rsidRPr="00512120">
        <w:t xml:space="preserve">, T. and Preston, S. (2009). </w:t>
      </w:r>
      <w:r w:rsidRPr="00512120">
        <w:rPr>
          <w:i/>
          <w:iCs/>
        </w:rPr>
        <w:t>The Applied Theatre Reader</w:t>
      </w:r>
      <w:r w:rsidRPr="00512120">
        <w:t>. 1st ed. New York: Routledge.</w:t>
      </w:r>
    </w:p>
    <w:p w14:paraId="370EF0A4" w14:textId="77777777" w:rsidR="00512120" w:rsidRPr="00512120" w:rsidRDefault="00512120" w:rsidP="00512120">
      <w:r w:rsidRPr="00512120">
        <w:t xml:space="preserve">Preston, S. (2016). </w:t>
      </w:r>
      <w:r w:rsidRPr="00512120">
        <w:rPr>
          <w:i/>
          <w:iCs/>
        </w:rPr>
        <w:t xml:space="preserve">Applied </w:t>
      </w:r>
      <w:proofErr w:type="gramStart"/>
      <w:r w:rsidRPr="00512120">
        <w:rPr>
          <w:i/>
          <w:iCs/>
        </w:rPr>
        <w:t>theatre :</w:t>
      </w:r>
      <w:proofErr w:type="gramEnd"/>
      <w:r w:rsidRPr="00512120">
        <w:rPr>
          <w:i/>
          <w:iCs/>
        </w:rPr>
        <w:t xml:space="preserve"> facilitation : pedagogies, practices, resilience</w:t>
      </w:r>
      <w:r w:rsidRPr="00512120">
        <w:t xml:space="preserve">. London: Bloomsbury Methuen Drama, An Imprint </w:t>
      </w:r>
      <w:proofErr w:type="gramStart"/>
      <w:r w:rsidRPr="00512120">
        <w:t>Of</w:t>
      </w:r>
      <w:proofErr w:type="gramEnd"/>
      <w:r w:rsidRPr="00512120">
        <w:t xml:space="preserve"> Bloomsbury Publishing Plc.</w:t>
      </w:r>
    </w:p>
    <w:p w14:paraId="5332848A" w14:textId="77777777" w:rsidR="00512120" w:rsidRPr="00512120" w:rsidRDefault="00512120" w:rsidP="00512120">
      <w:r w:rsidRPr="00512120">
        <w:t xml:space="preserve">Sadeghi-Yekta, K. and Prendergast, M. (2022). </w:t>
      </w:r>
      <w:r w:rsidRPr="00512120">
        <w:rPr>
          <w:i/>
          <w:iCs/>
        </w:rPr>
        <w:t>Ethics</w:t>
      </w:r>
      <w:r w:rsidRPr="00512120">
        <w:t xml:space="preserve">. </w:t>
      </w:r>
      <w:proofErr w:type="gramStart"/>
      <w:r w:rsidRPr="00512120">
        <w:t>London ;</w:t>
      </w:r>
      <w:proofErr w:type="gramEnd"/>
      <w:r w:rsidRPr="00512120">
        <w:t xml:space="preserve"> New York: Methuen Drama.</w:t>
      </w:r>
    </w:p>
    <w:p w14:paraId="54138E7A" w14:textId="77777777" w:rsidR="00512120" w:rsidRPr="00512120" w:rsidRDefault="00512120" w:rsidP="00512120">
      <w:r w:rsidRPr="00512120">
        <w:t xml:space="preserve">Seidler, C. (2024). Using an Artist Representation Tally as a Tool of Reflective Practice. </w:t>
      </w:r>
      <w:r w:rsidRPr="00512120">
        <w:rPr>
          <w:i/>
          <w:iCs/>
        </w:rPr>
        <w:t>Art Education</w:t>
      </w:r>
      <w:r w:rsidRPr="00512120">
        <w:t xml:space="preserve">, 77(6), pp.30–35. </w:t>
      </w:r>
      <w:proofErr w:type="spellStart"/>
      <w:proofErr w:type="gramStart"/>
      <w:r w:rsidRPr="00512120">
        <w:t>doi:https</w:t>
      </w:r>
      <w:proofErr w:type="spellEnd"/>
      <w:r w:rsidRPr="00512120">
        <w:t>://doi.org/10.1080/00043125.2024.2382658</w:t>
      </w:r>
      <w:proofErr w:type="gramEnd"/>
      <w:r w:rsidRPr="00512120">
        <w:t>.</w:t>
      </w:r>
    </w:p>
    <w:p w14:paraId="0D4DD130" w14:textId="77777777" w:rsidR="00512120" w:rsidRPr="00512120" w:rsidRDefault="00512120" w:rsidP="00512120">
      <w:proofErr w:type="spellStart"/>
      <w:r w:rsidRPr="00512120">
        <w:t>Snir</w:t>
      </w:r>
      <w:proofErr w:type="spellEnd"/>
      <w:r w:rsidRPr="00512120">
        <w:t xml:space="preserve">, S. and Gavron, T. (2023). Dialogic-reflection for the development of critical thinking in international art-based psychosocial research. </w:t>
      </w:r>
      <w:r w:rsidRPr="00512120">
        <w:rPr>
          <w:i/>
          <w:iCs/>
        </w:rPr>
        <w:t>International Journal of Art Therapy</w:t>
      </w:r>
      <w:r w:rsidRPr="00512120">
        <w:t xml:space="preserve">, 28(4), pp.178–186. </w:t>
      </w:r>
      <w:proofErr w:type="spellStart"/>
      <w:proofErr w:type="gramStart"/>
      <w:r w:rsidRPr="00512120">
        <w:t>doi:https</w:t>
      </w:r>
      <w:proofErr w:type="spellEnd"/>
      <w:r w:rsidRPr="00512120">
        <w:t>://doi.org/10.1080/17454832.2023.2217889</w:t>
      </w:r>
      <w:proofErr w:type="gramEnd"/>
      <w:r w:rsidRPr="00512120">
        <w:t>.</w:t>
      </w:r>
    </w:p>
    <w:p w14:paraId="7D5EE35E" w14:textId="77777777" w:rsidR="00512120" w:rsidRPr="00512120" w:rsidRDefault="00512120" w:rsidP="00512120">
      <w:r w:rsidRPr="00512120">
        <w:t xml:space="preserve">Stewart, I. and Joines, V. (2012). </w:t>
      </w:r>
      <w:r w:rsidRPr="00512120">
        <w:rPr>
          <w:i/>
          <w:iCs/>
        </w:rPr>
        <w:t>TA Today: A New Introduction to Transactional Analysis</w:t>
      </w:r>
      <w:r w:rsidRPr="00512120">
        <w:t xml:space="preserve">. 2nd ed. Melton Mowbray: </w:t>
      </w:r>
      <w:proofErr w:type="spellStart"/>
      <w:r w:rsidRPr="00512120">
        <w:t>Lifespace</w:t>
      </w:r>
      <w:proofErr w:type="spellEnd"/>
      <w:r w:rsidRPr="00512120">
        <w:t xml:space="preserve"> Publishing.</w:t>
      </w:r>
    </w:p>
    <w:p w14:paraId="3C45918C" w14:textId="77777777" w:rsidR="00512120" w:rsidRPr="00512120" w:rsidRDefault="00512120" w:rsidP="00512120">
      <w:r w:rsidRPr="00512120">
        <w:t xml:space="preserve">van der Kolk, B. (2014). </w:t>
      </w:r>
      <w:r w:rsidRPr="00512120">
        <w:rPr>
          <w:i/>
          <w:iCs/>
        </w:rPr>
        <w:t>The Body Keeps the Score: Brain, Mind, and Body in the Healing of Trauma</w:t>
      </w:r>
      <w:r w:rsidRPr="00512120">
        <w:t>. New York: Penguin Books.</w:t>
      </w:r>
    </w:p>
    <w:p w14:paraId="53ED8033" w14:textId="77777777" w:rsidR="00512120" w:rsidRPr="00512120" w:rsidRDefault="00512120" w:rsidP="00512120">
      <w:r w:rsidRPr="00512120">
        <w:t xml:space="preserve">Vettraino, E. and Linds, W. (2015). </w:t>
      </w:r>
      <w:r w:rsidRPr="00512120">
        <w:rPr>
          <w:i/>
          <w:iCs/>
        </w:rPr>
        <w:t xml:space="preserve">Playing in a House of </w:t>
      </w:r>
      <w:proofErr w:type="gramStart"/>
      <w:r w:rsidRPr="00512120">
        <w:rPr>
          <w:i/>
          <w:iCs/>
        </w:rPr>
        <w:t>Mirrors :</w:t>
      </w:r>
      <w:proofErr w:type="gramEnd"/>
      <w:r w:rsidRPr="00512120">
        <w:rPr>
          <w:i/>
          <w:iCs/>
        </w:rPr>
        <w:t xml:space="preserve"> Applied Theatre as Reflective Practice</w:t>
      </w:r>
      <w:r w:rsidRPr="00512120">
        <w:t xml:space="preserve">. Rotterdam: </w:t>
      </w:r>
      <w:proofErr w:type="spellStart"/>
      <w:r w:rsidRPr="00512120">
        <w:t>Sensepublishers</w:t>
      </w:r>
      <w:proofErr w:type="spellEnd"/>
      <w:r w:rsidRPr="00512120">
        <w:t>.</w:t>
      </w:r>
    </w:p>
    <w:p w14:paraId="595C0449" w14:textId="77777777" w:rsidR="00512120" w:rsidRPr="00512120" w:rsidRDefault="00512120" w:rsidP="00512120">
      <w:r w:rsidRPr="00512120">
        <w:lastRenderedPageBreak/>
        <w:t xml:space="preserve">Welsh Government (2015). </w:t>
      </w:r>
      <w:r w:rsidRPr="00512120">
        <w:rPr>
          <w:i/>
          <w:iCs/>
        </w:rPr>
        <w:t>Well-being of Future Generations (Wales) Act 2015: the essentials [HTML]</w:t>
      </w:r>
      <w:r w:rsidRPr="00512120">
        <w:t>. [online] GOV.WALES. Available at: https://www.gov.wales/well-being-future-generations-act-essentials-html.</w:t>
      </w:r>
    </w:p>
    <w:p w14:paraId="04E67FD0" w14:textId="77777777" w:rsidR="005B1B10" w:rsidRDefault="005B1B10"/>
    <w:sectPr w:rsidR="005B1B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120"/>
    <w:rsid w:val="003563A1"/>
    <w:rsid w:val="00512120"/>
    <w:rsid w:val="005B1B10"/>
    <w:rsid w:val="00D40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73E3A"/>
  <w15:chartTrackingRefBased/>
  <w15:docId w15:val="{150B47A7-EDAB-4480-8BEC-267C40C22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21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21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21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21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21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21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21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21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21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21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21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21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21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21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21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21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21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21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21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21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21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21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21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21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21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21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21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21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21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22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5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0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Williams (2205102)</dc:creator>
  <cp:keywords/>
  <dc:description/>
  <cp:lastModifiedBy>Aimee Williams (2205102)</cp:lastModifiedBy>
  <cp:revision>1</cp:revision>
  <dcterms:created xsi:type="dcterms:W3CDTF">2025-03-08T15:53:00Z</dcterms:created>
  <dcterms:modified xsi:type="dcterms:W3CDTF">2025-03-08T17:05:00Z</dcterms:modified>
</cp:coreProperties>
</file>