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8A28FA" w14:textId="434A2987" w:rsidR="00E069BB" w:rsidRDefault="00E069BB" w:rsidP="00004327">
      <w:pPr>
        <w:spacing w:after="160" w:line="360" w:lineRule="auto"/>
        <w:rPr>
          <w:b/>
          <w:bCs/>
          <w:sz w:val="32"/>
          <w:szCs w:val="28"/>
        </w:rPr>
      </w:pPr>
      <w:r w:rsidRPr="00E069BB">
        <w:rPr>
          <w:b/>
          <w:bCs/>
          <w:noProof/>
          <w:sz w:val="32"/>
          <w:szCs w:val="28"/>
        </w:rPr>
        <w:drawing>
          <wp:inline distT="0" distB="0" distL="0" distR="0" wp14:anchorId="0F27EF3F" wp14:editId="0A120E25">
            <wp:extent cx="2200582" cy="1114581"/>
            <wp:effectExtent l="0" t="0" r="0" b="9525"/>
            <wp:docPr id="607346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346500" name=""/>
                    <pic:cNvPicPr/>
                  </pic:nvPicPr>
                  <pic:blipFill>
                    <a:blip r:embed="rId8"/>
                    <a:stretch>
                      <a:fillRect/>
                    </a:stretch>
                  </pic:blipFill>
                  <pic:spPr>
                    <a:xfrm>
                      <a:off x="0" y="0"/>
                      <a:ext cx="2200582" cy="1114581"/>
                    </a:xfrm>
                    <a:prstGeom prst="rect">
                      <a:avLst/>
                    </a:prstGeom>
                  </pic:spPr>
                </pic:pic>
              </a:graphicData>
            </a:graphic>
          </wp:inline>
        </w:drawing>
      </w:r>
    </w:p>
    <w:p w14:paraId="0853AED9" w14:textId="77777777" w:rsidR="00E069BB" w:rsidRDefault="00E069BB" w:rsidP="00004327">
      <w:pPr>
        <w:spacing w:after="160" w:line="360" w:lineRule="auto"/>
        <w:jc w:val="center"/>
        <w:rPr>
          <w:b/>
          <w:bCs/>
          <w:sz w:val="32"/>
          <w:szCs w:val="28"/>
        </w:rPr>
      </w:pPr>
    </w:p>
    <w:p w14:paraId="52591162" w14:textId="77777777" w:rsidR="00E069BB" w:rsidRDefault="00E069BB" w:rsidP="00004327">
      <w:pPr>
        <w:spacing w:after="160" w:line="360" w:lineRule="auto"/>
        <w:jc w:val="center"/>
        <w:rPr>
          <w:b/>
          <w:bCs/>
          <w:sz w:val="32"/>
          <w:szCs w:val="28"/>
        </w:rPr>
      </w:pPr>
    </w:p>
    <w:p w14:paraId="21AB0D57" w14:textId="77777777" w:rsidR="00E069BB" w:rsidRDefault="00E069BB" w:rsidP="00004327">
      <w:pPr>
        <w:spacing w:after="160" w:line="360" w:lineRule="auto"/>
        <w:jc w:val="center"/>
        <w:rPr>
          <w:b/>
          <w:bCs/>
          <w:sz w:val="32"/>
          <w:szCs w:val="28"/>
        </w:rPr>
      </w:pPr>
    </w:p>
    <w:p w14:paraId="254A4A04" w14:textId="3DFCADF9" w:rsidR="00E069BB" w:rsidRPr="00E069BB" w:rsidRDefault="00E069BB" w:rsidP="00004327">
      <w:pPr>
        <w:spacing w:after="160" w:line="360" w:lineRule="auto"/>
        <w:jc w:val="center"/>
        <w:rPr>
          <w:b/>
          <w:bCs/>
          <w:sz w:val="32"/>
          <w:szCs w:val="28"/>
        </w:rPr>
      </w:pPr>
      <w:r w:rsidRPr="00E069BB">
        <w:rPr>
          <w:b/>
          <w:bCs/>
          <w:sz w:val="32"/>
          <w:szCs w:val="28"/>
        </w:rPr>
        <w:t>Module: Community Engagement</w:t>
      </w:r>
    </w:p>
    <w:p w14:paraId="01760A46" w14:textId="77777777" w:rsidR="00E069BB" w:rsidRPr="00E069BB" w:rsidRDefault="00E069BB" w:rsidP="00004327">
      <w:pPr>
        <w:spacing w:after="160" w:line="360" w:lineRule="auto"/>
        <w:jc w:val="center"/>
        <w:rPr>
          <w:b/>
          <w:bCs/>
          <w:sz w:val="32"/>
          <w:szCs w:val="28"/>
        </w:rPr>
      </w:pPr>
      <w:r w:rsidRPr="00E069BB">
        <w:rPr>
          <w:b/>
          <w:bCs/>
          <w:sz w:val="32"/>
          <w:szCs w:val="28"/>
        </w:rPr>
        <w:t>Module code: LCBB4011</w:t>
      </w:r>
    </w:p>
    <w:p w14:paraId="27758445" w14:textId="1816B346" w:rsidR="00E069BB" w:rsidRDefault="00E069BB" w:rsidP="00004327">
      <w:pPr>
        <w:spacing w:after="160" w:line="360" w:lineRule="auto"/>
        <w:jc w:val="center"/>
        <w:rPr>
          <w:b/>
          <w:bCs/>
          <w:sz w:val="32"/>
          <w:szCs w:val="28"/>
        </w:rPr>
      </w:pPr>
      <w:r w:rsidRPr="00E069BB">
        <w:rPr>
          <w:b/>
          <w:bCs/>
          <w:sz w:val="32"/>
          <w:szCs w:val="28"/>
        </w:rPr>
        <w:t>Assignment Title: Coursework – Portfolio</w:t>
      </w:r>
    </w:p>
    <w:p w14:paraId="7CC45812" w14:textId="2D9E9930" w:rsidR="009034FB" w:rsidRPr="00E069BB" w:rsidRDefault="00C8794A" w:rsidP="00004327">
      <w:pPr>
        <w:spacing w:after="160" w:line="360" w:lineRule="auto"/>
        <w:jc w:val="center"/>
        <w:rPr>
          <w:b/>
          <w:bCs/>
          <w:sz w:val="32"/>
          <w:szCs w:val="28"/>
        </w:rPr>
      </w:pPr>
      <w:r>
        <w:rPr>
          <w:b/>
          <w:bCs/>
          <w:sz w:val="32"/>
          <w:szCs w:val="28"/>
        </w:rPr>
        <w:t xml:space="preserve">Lecturer: Dr Molly Jack Charles </w:t>
      </w:r>
      <w:proofErr w:type="spellStart"/>
      <w:r>
        <w:rPr>
          <w:b/>
          <w:bCs/>
          <w:sz w:val="32"/>
          <w:szCs w:val="28"/>
        </w:rPr>
        <w:t>Oham</w:t>
      </w:r>
      <w:proofErr w:type="spellEnd"/>
    </w:p>
    <w:p w14:paraId="25B242E4" w14:textId="29D3BECF" w:rsidR="00E069BB" w:rsidRPr="00E069BB" w:rsidRDefault="00E069BB" w:rsidP="00004327">
      <w:pPr>
        <w:spacing w:after="160" w:line="360" w:lineRule="auto"/>
        <w:jc w:val="center"/>
        <w:rPr>
          <w:b/>
          <w:bCs/>
          <w:sz w:val="32"/>
          <w:szCs w:val="28"/>
        </w:rPr>
      </w:pPr>
      <w:r w:rsidRPr="00E069BB">
        <w:rPr>
          <w:b/>
          <w:bCs/>
          <w:sz w:val="32"/>
          <w:szCs w:val="28"/>
        </w:rPr>
        <w:t>Student Name:</w:t>
      </w:r>
      <w:r w:rsidR="00D26E10">
        <w:rPr>
          <w:b/>
          <w:bCs/>
          <w:sz w:val="32"/>
          <w:szCs w:val="28"/>
        </w:rPr>
        <w:t xml:space="preserve"> Roxana </w:t>
      </w:r>
      <w:proofErr w:type="spellStart"/>
      <w:r w:rsidR="00D26E10">
        <w:rPr>
          <w:b/>
          <w:bCs/>
          <w:sz w:val="32"/>
          <w:szCs w:val="28"/>
        </w:rPr>
        <w:t>Olaru</w:t>
      </w:r>
      <w:proofErr w:type="spellEnd"/>
    </w:p>
    <w:p w14:paraId="02165F50" w14:textId="55E6C6F9" w:rsidR="00E069BB" w:rsidRPr="00E069BB" w:rsidRDefault="00E069BB" w:rsidP="00004327">
      <w:pPr>
        <w:spacing w:after="160" w:line="360" w:lineRule="auto"/>
        <w:jc w:val="center"/>
        <w:rPr>
          <w:b/>
          <w:bCs/>
          <w:sz w:val="32"/>
          <w:szCs w:val="28"/>
        </w:rPr>
      </w:pPr>
      <w:r w:rsidRPr="00E069BB">
        <w:rPr>
          <w:b/>
          <w:bCs/>
          <w:sz w:val="32"/>
          <w:szCs w:val="28"/>
        </w:rPr>
        <w:t>Student ID:</w:t>
      </w:r>
      <w:r w:rsidR="009034FB">
        <w:rPr>
          <w:b/>
          <w:bCs/>
          <w:sz w:val="32"/>
          <w:szCs w:val="28"/>
        </w:rPr>
        <w:t xml:space="preserve"> 2213775</w:t>
      </w:r>
    </w:p>
    <w:p w14:paraId="61F0441E" w14:textId="6E6A60F4" w:rsidR="00E069BB" w:rsidRPr="00E069BB" w:rsidRDefault="00E069BB" w:rsidP="00004327">
      <w:pPr>
        <w:spacing w:after="160" w:line="360" w:lineRule="auto"/>
        <w:jc w:val="left"/>
      </w:pPr>
      <w:r>
        <w:br w:type="page"/>
      </w:r>
    </w:p>
    <w:sdt>
      <w:sdtPr>
        <w:rPr>
          <w:rFonts w:ascii="Times New Roman" w:eastAsia="Arial" w:hAnsi="Times New Roman" w:cs="Arial"/>
          <w:color w:val="auto"/>
          <w:sz w:val="24"/>
          <w:szCs w:val="22"/>
          <w:lang w:val="en-GB" w:eastAsia="en-GB"/>
        </w:rPr>
        <w:id w:val="12422474"/>
        <w:docPartObj>
          <w:docPartGallery w:val="Table of Contents"/>
          <w:docPartUnique/>
        </w:docPartObj>
      </w:sdtPr>
      <w:sdtEndPr>
        <w:rPr>
          <w:b/>
          <w:bCs/>
          <w:noProof/>
        </w:rPr>
      </w:sdtEndPr>
      <w:sdtContent>
        <w:p w14:paraId="65D32AC2" w14:textId="316810F0" w:rsidR="00EF1E16" w:rsidRDefault="00EF1E16">
          <w:pPr>
            <w:pStyle w:val="TOCHeading"/>
          </w:pPr>
          <w:r>
            <w:t>Table of Contents</w:t>
          </w:r>
        </w:p>
        <w:p w14:paraId="5D49AD6A" w14:textId="08297F6A" w:rsidR="00EF1E16" w:rsidRDefault="00EF1E16">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75760216" w:history="1">
            <w:r w:rsidRPr="00497D67">
              <w:rPr>
                <w:rStyle w:val="Hyperlink"/>
                <w:noProof/>
              </w:rPr>
              <w:t>Element 1: Community Outreach</w:t>
            </w:r>
            <w:r>
              <w:rPr>
                <w:noProof/>
                <w:webHidden/>
              </w:rPr>
              <w:tab/>
            </w:r>
            <w:r>
              <w:rPr>
                <w:noProof/>
                <w:webHidden/>
              </w:rPr>
              <w:fldChar w:fldCharType="begin"/>
            </w:r>
            <w:r>
              <w:rPr>
                <w:noProof/>
                <w:webHidden/>
              </w:rPr>
              <w:instrText xml:space="preserve"> PAGEREF _Toc175760216 \h </w:instrText>
            </w:r>
            <w:r>
              <w:rPr>
                <w:noProof/>
                <w:webHidden/>
              </w:rPr>
            </w:r>
            <w:r>
              <w:rPr>
                <w:noProof/>
                <w:webHidden/>
              </w:rPr>
              <w:fldChar w:fldCharType="separate"/>
            </w:r>
            <w:r>
              <w:rPr>
                <w:noProof/>
                <w:webHidden/>
              </w:rPr>
              <w:t>3</w:t>
            </w:r>
            <w:r>
              <w:rPr>
                <w:noProof/>
                <w:webHidden/>
              </w:rPr>
              <w:fldChar w:fldCharType="end"/>
            </w:r>
          </w:hyperlink>
        </w:p>
        <w:p w14:paraId="6E8E95A5" w14:textId="3A8B79AB" w:rsidR="00EF1E16" w:rsidRDefault="00403A39">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760217" w:history="1">
            <w:r w:rsidR="00EF1E16" w:rsidRPr="00497D67">
              <w:rPr>
                <w:rStyle w:val="Hyperlink"/>
                <w:noProof/>
              </w:rPr>
              <w:t>Element 2: Stakeholder Mapping Exercise</w:t>
            </w:r>
            <w:r w:rsidR="00EF1E16">
              <w:rPr>
                <w:noProof/>
                <w:webHidden/>
              </w:rPr>
              <w:tab/>
            </w:r>
            <w:r w:rsidR="00EF1E16">
              <w:rPr>
                <w:noProof/>
                <w:webHidden/>
              </w:rPr>
              <w:fldChar w:fldCharType="begin"/>
            </w:r>
            <w:r w:rsidR="00EF1E16">
              <w:rPr>
                <w:noProof/>
                <w:webHidden/>
              </w:rPr>
              <w:instrText xml:space="preserve"> PAGEREF _Toc175760217 \h </w:instrText>
            </w:r>
            <w:r w:rsidR="00EF1E16">
              <w:rPr>
                <w:noProof/>
                <w:webHidden/>
              </w:rPr>
            </w:r>
            <w:r w:rsidR="00EF1E16">
              <w:rPr>
                <w:noProof/>
                <w:webHidden/>
              </w:rPr>
              <w:fldChar w:fldCharType="separate"/>
            </w:r>
            <w:r w:rsidR="00EF1E16">
              <w:rPr>
                <w:noProof/>
                <w:webHidden/>
              </w:rPr>
              <w:t>5</w:t>
            </w:r>
            <w:r w:rsidR="00EF1E16">
              <w:rPr>
                <w:noProof/>
                <w:webHidden/>
              </w:rPr>
              <w:fldChar w:fldCharType="end"/>
            </w:r>
          </w:hyperlink>
        </w:p>
        <w:p w14:paraId="6F0FC87C" w14:textId="06D18D8D" w:rsidR="00EF1E16" w:rsidRDefault="00403A39">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760218" w:history="1">
            <w:r w:rsidR="00EF1E16" w:rsidRPr="00497D67">
              <w:rPr>
                <w:rStyle w:val="Hyperlink"/>
                <w:rFonts w:eastAsia="Times New Roman"/>
                <w:noProof/>
                <w:lang w:val="en-IN" w:eastAsia="en-IN"/>
              </w:rPr>
              <w:t>Element 3. Community Engagement Plan</w:t>
            </w:r>
            <w:r w:rsidR="00EF1E16">
              <w:rPr>
                <w:noProof/>
                <w:webHidden/>
              </w:rPr>
              <w:tab/>
            </w:r>
            <w:r w:rsidR="00EF1E16">
              <w:rPr>
                <w:noProof/>
                <w:webHidden/>
              </w:rPr>
              <w:fldChar w:fldCharType="begin"/>
            </w:r>
            <w:r w:rsidR="00EF1E16">
              <w:rPr>
                <w:noProof/>
                <w:webHidden/>
              </w:rPr>
              <w:instrText xml:space="preserve"> PAGEREF _Toc175760218 \h </w:instrText>
            </w:r>
            <w:r w:rsidR="00EF1E16">
              <w:rPr>
                <w:noProof/>
                <w:webHidden/>
              </w:rPr>
            </w:r>
            <w:r w:rsidR="00EF1E16">
              <w:rPr>
                <w:noProof/>
                <w:webHidden/>
              </w:rPr>
              <w:fldChar w:fldCharType="separate"/>
            </w:r>
            <w:r w:rsidR="00EF1E16">
              <w:rPr>
                <w:noProof/>
                <w:webHidden/>
              </w:rPr>
              <w:t>8</w:t>
            </w:r>
            <w:r w:rsidR="00EF1E16">
              <w:rPr>
                <w:noProof/>
                <w:webHidden/>
              </w:rPr>
              <w:fldChar w:fldCharType="end"/>
            </w:r>
          </w:hyperlink>
        </w:p>
        <w:p w14:paraId="4B8B2C77" w14:textId="5AF53A08" w:rsidR="00EF1E16" w:rsidRDefault="00403A39">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760219" w:history="1">
            <w:r w:rsidR="00EF1E16" w:rsidRPr="00497D67">
              <w:rPr>
                <w:rStyle w:val="Hyperlink"/>
                <w:rFonts w:eastAsia="Times New Roman"/>
                <w:noProof/>
                <w:lang w:val="en-IN" w:eastAsia="en-IN"/>
              </w:rPr>
              <w:t>Element 4. Practical Discussion</w:t>
            </w:r>
            <w:r w:rsidR="00EF1E16">
              <w:rPr>
                <w:noProof/>
                <w:webHidden/>
              </w:rPr>
              <w:tab/>
            </w:r>
            <w:r w:rsidR="00EF1E16">
              <w:rPr>
                <w:noProof/>
                <w:webHidden/>
              </w:rPr>
              <w:fldChar w:fldCharType="begin"/>
            </w:r>
            <w:r w:rsidR="00EF1E16">
              <w:rPr>
                <w:noProof/>
                <w:webHidden/>
              </w:rPr>
              <w:instrText xml:space="preserve"> PAGEREF _Toc175760219 \h </w:instrText>
            </w:r>
            <w:r w:rsidR="00EF1E16">
              <w:rPr>
                <w:noProof/>
                <w:webHidden/>
              </w:rPr>
            </w:r>
            <w:r w:rsidR="00EF1E16">
              <w:rPr>
                <w:noProof/>
                <w:webHidden/>
              </w:rPr>
              <w:fldChar w:fldCharType="separate"/>
            </w:r>
            <w:r w:rsidR="00EF1E16">
              <w:rPr>
                <w:noProof/>
                <w:webHidden/>
              </w:rPr>
              <w:t>15</w:t>
            </w:r>
            <w:r w:rsidR="00EF1E16">
              <w:rPr>
                <w:noProof/>
                <w:webHidden/>
              </w:rPr>
              <w:fldChar w:fldCharType="end"/>
            </w:r>
          </w:hyperlink>
        </w:p>
        <w:p w14:paraId="3535AEF7" w14:textId="7E15A5D7" w:rsidR="00EF1E16" w:rsidRDefault="00403A39">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760220" w:history="1">
            <w:r w:rsidR="00EF1E16" w:rsidRPr="00497D67">
              <w:rPr>
                <w:rStyle w:val="Hyperlink"/>
                <w:noProof/>
              </w:rPr>
              <w:t>References</w:t>
            </w:r>
            <w:r w:rsidR="00EF1E16">
              <w:rPr>
                <w:noProof/>
                <w:webHidden/>
              </w:rPr>
              <w:tab/>
            </w:r>
            <w:r w:rsidR="00EF1E16">
              <w:rPr>
                <w:noProof/>
                <w:webHidden/>
              </w:rPr>
              <w:fldChar w:fldCharType="begin"/>
            </w:r>
            <w:r w:rsidR="00EF1E16">
              <w:rPr>
                <w:noProof/>
                <w:webHidden/>
              </w:rPr>
              <w:instrText xml:space="preserve"> PAGEREF _Toc175760220 \h </w:instrText>
            </w:r>
            <w:r w:rsidR="00EF1E16">
              <w:rPr>
                <w:noProof/>
                <w:webHidden/>
              </w:rPr>
            </w:r>
            <w:r w:rsidR="00EF1E16">
              <w:rPr>
                <w:noProof/>
                <w:webHidden/>
              </w:rPr>
              <w:fldChar w:fldCharType="separate"/>
            </w:r>
            <w:r w:rsidR="00EF1E16">
              <w:rPr>
                <w:noProof/>
                <w:webHidden/>
              </w:rPr>
              <w:t>18</w:t>
            </w:r>
            <w:r w:rsidR="00EF1E16">
              <w:rPr>
                <w:noProof/>
                <w:webHidden/>
              </w:rPr>
              <w:fldChar w:fldCharType="end"/>
            </w:r>
          </w:hyperlink>
        </w:p>
        <w:p w14:paraId="711C3522" w14:textId="67861C7C" w:rsidR="00EF1E16" w:rsidRDefault="00EF1E16">
          <w:r>
            <w:rPr>
              <w:b/>
              <w:bCs/>
              <w:noProof/>
            </w:rPr>
            <w:fldChar w:fldCharType="end"/>
          </w:r>
        </w:p>
      </w:sdtContent>
    </w:sdt>
    <w:p w14:paraId="7CBADCB7" w14:textId="77777777" w:rsidR="00EF1E16" w:rsidRDefault="00EF1E16">
      <w:pPr>
        <w:spacing w:after="160" w:line="259" w:lineRule="auto"/>
        <w:jc w:val="left"/>
        <w:rPr>
          <w:rFonts w:eastAsiaTheme="majorEastAsia" w:cstheme="majorBidi"/>
          <w:b/>
          <w:kern w:val="2"/>
          <w:sz w:val="28"/>
          <w:szCs w:val="32"/>
          <w:lang w:val="en-US" w:eastAsia="en-US"/>
          <w14:ligatures w14:val="standardContextual"/>
        </w:rPr>
      </w:pPr>
      <w:r>
        <w:br w:type="page"/>
      </w:r>
    </w:p>
    <w:p w14:paraId="3EFDB846" w14:textId="2646947A" w:rsidR="00402BE0" w:rsidRDefault="004076CB" w:rsidP="00253475">
      <w:pPr>
        <w:pStyle w:val="Heading1"/>
        <w:spacing w:line="360" w:lineRule="auto"/>
      </w:pPr>
      <w:bookmarkStart w:id="0" w:name="_Toc175760216"/>
      <w:r>
        <w:lastRenderedPageBreak/>
        <w:t>Element 1: Community Outreach</w:t>
      </w:r>
      <w:bookmarkEnd w:id="0"/>
      <w:r>
        <w:t xml:space="preserve"> </w:t>
      </w:r>
    </w:p>
    <w:p w14:paraId="502BF643" w14:textId="2E1C5B10" w:rsidR="004076CB" w:rsidRDefault="00865CF1" w:rsidP="00253475">
      <w:pPr>
        <w:spacing w:line="360" w:lineRule="auto"/>
        <w:rPr>
          <w:lang w:val="en-US"/>
        </w:rPr>
      </w:pPr>
      <w:r>
        <w:rPr>
          <w:lang w:val="en-US"/>
        </w:rPr>
        <w:t xml:space="preserve">Over the years older people across the </w:t>
      </w:r>
      <w:r w:rsidR="00B363C4">
        <w:rPr>
          <w:lang w:val="en-US"/>
        </w:rPr>
        <w:t>various parts</w:t>
      </w:r>
      <w:r>
        <w:rPr>
          <w:lang w:val="en-US"/>
        </w:rPr>
        <w:t xml:space="preserve"> of the United Kingdom have become vulnerable at the later stage of their life. The primary focus of the community outreach programme will be on </w:t>
      </w:r>
      <w:r w:rsidR="00F8060C">
        <w:rPr>
          <w:lang w:val="en-US"/>
        </w:rPr>
        <w:t>addressing</w:t>
      </w:r>
      <w:r>
        <w:rPr>
          <w:lang w:val="en-US"/>
        </w:rPr>
        <w:t xml:space="preserve"> the issue of social isolation. There are several opportunities</w:t>
      </w:r>
      <w:r w:rsidR="004A5CFC">
        <w:rPr>
          <w:lang w:val="en-US"/>
        </w:rPr>
        <w:t xml:space="preserve"> that</w:t>
      </w:r>
      <w:r>
        <w:rPr>
          <w:lang w:val="en-US"/>
        </w:rPr>
        <w:t xml:space="preserve"> will be taken into consideration such as lifelong learning and others. This will also create a supportive network that will foster the life of the participants. The overall initiative will be adopted for a deep understanding of the older demographics of the targeted community. </w:t>
      </w:r>
    </w:p>
    <w:p w14:paraId="0BF631AE" w14:textId="6B318D49" w:rsidR="00865CF1" w:rsidRPr="005C60A8" w:rsidRDefault="00F8060C" w:rsidP="00253475">
      <w:pPr>
        <w:spacing w:line="360" w:lineRule="auto"/>
        <w:rPr>
          <w:b/>
          <w:bCs/>
          <w:lang w:val="en-US"/>
        </w:rPr>
      </w:pPr>
      <w:r w:rsidRPr="005C60A8">
        <w:rPr>
          <w:b/>
          <w:bCs/>
          <w:lang w:val="en-US"/>
        </w:rPr>
        <w:t>Identified population</w:t>
      </w:r>
    </w:p>
    <w:p w14:paraId="6FCF4EBB" w14:textId="1321A3D6" w:rsidR="00F8060C" w:rsidRDefault="00F8060C" w:rsidP="00253475">
      <w:pPr>
        <w:spacing w:line="360" w:lineRule="auto"/>
        <w:rPr>
          <w:lang w:val="en-US"/>
        </w:rPr>
      </w:pPr>
      <w:r>
        <w:rPr>
          <w:lang w:val="en-US"/>
        </w:rPr>
        <w:t>According to the statistical data of ONS, 27% of the people in the UK have been found to deal with loneliness and the depression associated with it</w:t>
      </w:r>
      <w:r w:rsidR="00A70792">
        <w:rPr>
          <w:lang w:val="en-US"/>
        </w:rPr>
        <w:t xml:space="preserve"> </w:t>
      </w:r>
      <w:sdt>
        <w:sdtPr>
          <w:rPr>
            <w:lang w:val="en-US"/>
          </w:rPr>
          <w:id w:val="27614000"/>
          <w:citation/>
        </w:sdtPr>
        <w:sdtEndPr/>
        <w:sdtContent>
          <w:r w:rsidR="00A70792">
            <w:rPr>
              <w:lang w:val="en-US"/>
            </w:rPr>
            <w:fldChar w:fldCharType="begin"/>
          </w:r>
          <w:r w:rsidR="00A70792">
            <w:rPr>
              <w:lang w:val="en-US"/>
            </w:rPr>
            <w:instrText xml:space="preserve"> CITATION ONS237 \l 1033 </w:instrText>
          </w:r>
          <w:r w:rsidR="00A70792">
            <w:rPr>
              <w:lang w:val="en-US"/>
            </w:rPr>
            <w:fldChar w:fldCharType="separate"/>
          </w:r>
          <w:r w:rsidR="00A70792" w:rsidRPr="00A70792">
            <w:rPr>
              <w:noProof/>
              <w:lang w:val="en-US"/>
            </w:rPr>
            <w:t>(ONS.GOV, 2023)</w:t>
          </w:r>
          <w:r w:rsidR="00A70792">
            <w:rPr>
              <w:lang w:val="en-US"/>
            </w:rPr>
            <w:fldChar w:fldCharType="end"/>
          </w:r>
        </w:sdtContent>
      </w:sdt>
      <w:r>
        <w:rPr>
          <w:lang w:val="en-US"/>
        </w:rPr>
        <w:t xml:space="preserve">. Based on that, the following programme will target individuals aged 65 years and above who are often at </w:t>
      </w:r>
      <w:r w:rsidR="00AF645D">
        <w:rPr>
          <w:lang w:val="en-US"/>
        </w:rPr>
        <w:t>considerable risk</w:t>
      </w:r>
      <w:r>
        <w:rPr>
          <w:lang w:val="en-US"/>
        </w:rPr>
        <w:t xml:space="preserve"> of social isolation</w:t>
      </w:r>
      <w:r w:rsidR="00B363C4">
        <w:rPr>
          <w:lang w:val="en-US"/>
        </w:rPr>
        <w:t xml:space="preserve">. </w:t>
      </w:r>
      <w:r>
        <w:rPr>
          <w:lang w:val="en-US"/>
        </w:rPr>
        <w:t xml:space="preserve">There are </w:t>
      </w:r>
      <w:r w:rsidR="00AF645D">
        <w:rPr>
          <w:lang w:val="en-US"/>
        </w:rPr>
        <w:t>several factors</w:t>
      </w:r>
      <w:r>
        <w:rPr>
          <w:lang w:val="en-US"/>
        </w:rPr>
        <w:t xml:space="preserve"> </w:t>
      </w:r>
      <w:r w:rsidR="00B12B49">
        <w:rPr>
          <w:lang w:val="en-US"/>
        </w:rPr>
        <w:t xml:space="preserve">linked with </w:t>
      </w:r>
      <w:r>
        <w:rPr>
          <w:lang w:val="en-US"/>
        </w:rPr>
        <w:t xml:space="preserve">it such as loss of loved ones, financial </w:t>
      </w:r>
      <w:r w:rsidR="00B363C4">
        <w:rPr>
          <w:lang w:val="en-US"/>
        </w:rPr>
        <w:t>instability,</w:t>
      </w:r>
      <w:r>
        <w:rPr>
          <w:lang w:val="en-US"/>
        </w:rPr>
        <w:t xml:space="preserve"> or lack of family support. While </w:t>
      </w:r>
      <w:r w:rsidR="00E01BE1">
        <w:rPr>
          <w:lang w:val="en-US"/>
        </w:rPr>
        <w:t>taking part</w:t>
      </w:r>
      <w:r>
        <w:rPr>
          <w:lang w:val="en-US"/>
        </w:rPr>
        <w:t xml:space="preserve"> in this </w:t>
      </w:r>
      <w:r w:rsidR="00B12B49">
        <w:rPr>
          <w:lang w:val="en-US"/>
        </w:rPr>
        <w:t>arrangement</w:t>
      </w:r>
      <w:r>
        <w:rPr>
          <w:lang w:val="en-US"/>
        </w:rPr>
        <w:t xml:space="preserve">, many of them have </w:t>
      </w:r>
      <w:r w:rsidR="005C60A8">
        <w:rPr>
          <w:lang w:val="en-US"/>
        </w:rPr>
        <w:t>expressed</w:t>
      </w:r>
      <w:r>
        <w:rPr>
          <w:lang w:val="en-US"/>
        </w:rPr>
        <w:t xml:space="preserve"> their feelings followed by </w:t>
      </w:r>
      <w:r w:rsidR="00E01BE1">
        <w:rPr>
          <w:lang w:val="en-US"/>
        </w:rPr>
        <w:t>displaying</w:t>
      </w:r>
      <w:r w:rsidR="005C60A8">
        <w:rPr>
          <w:lang w:val="en-US"/>
        </w:rPr>
        <w:t xml:space="preserve"> hesitation which raises the application of the ethical </w:t>
      </w:r>
      <w:r w:rsidR="00B12B49">
        <w:rPr>
          <w:lang w:val="en-US"/>
        </w:rPr>
        <w:t>perspective</w:t>
      </w:r>
      <w:r w:rsidR="005C60A8">
        <w:rPr>
          <w:lang w:val="en-US"/>
        </w:rPr>
        <w:t xml:space="preserve">. </w:t>
      </w:r>
    </w:p>
    <w:p w14:paraId="36CC3B7B" w14:textId="22E1995B" w:rsidR="005C60A8" w:rsidRDefault="005C60A8" w:rsidP="00253475">
      <w:pPr>
        <w:spacing w:line="360" w:lineRule="auto"/>
        <w:rPr>
          <w:b/>
          <w:bCs/>
          <w:i/>
          <w:iCs/>
          <w:lang w:val="en-US"/>
        </w:rPr>
      </w:pPr>
      <w:r w:rsidRPr="005C60A8">
        <w:rPr>
          <w:b/>
          <w:bCs/>
          <w:i/>
          <w:iCs/>
          <w:lang w:val="en-US"/>
        </w:rPr>
        <w:t xml:space="preserve">Ethical consideration and cultural sensitivity </w:t>
      </w:r>
    </w:p>
    <w:p w14:paraId="09ED0DF5" w14:textId="09781AFB" w:rsidR="005C60A8" w:rsidRPr="005C60A8" w:rsidRDefault="005C60A8" w:rsidP="00253475">
      <w:pPr>
        <w:spacing w:line="360" w:lineRule="auto"/>
        <w:rPr>
          <w:lang w:val="en-US"/>
        </w:rPr>
      </w:pPr>
      <w:r>
        <w:rPr>
          <w:lang w:val="en-US"/>
        </w:rPr>
        <w:t xml:space="preserve">During the implementation of the outreach program, it </w:t>
      </w:r>
      <w:r w:rsidR="005947D5">
        <w:rPr>
          <w:lang w:val="en-US"/>
        </w:rPr>
        <w:t>needs</w:t>
      </w:r>
      <w:r>
        <w:rPr>
          <w:lang w:val="en-US"/>
        </w:rPr>
        <w:t xml:space="preserve"> to be essential to examine the above-mentioned perspective to ensure cultural sensitivity and inclusiveness. According to the principles of safeguarding privacy</w:t>
      </w:r>
      <w:r w:rsidR="00D1060D">
        <w:rPr>
          <w:lang w:val="en-US"/>
        </w:rPr>
        <w:t>,</w:t>
      </w:r>
      <w:r>
        <w:rPr>
          <w:lang w:val="en-US"/>
        </w:rPr>
        <w:t xml:space="preserve"> the dignity of the participant must be respected all the time</w:t>
      </w:r>
      <w:r w:rsidR="00D1060D">
        <w:rPr>
          <w:lang w:val="en-US"/>
        </w:rPr>
        <w:t>. This can also be done</w:t>
      </w:r>
      <w:r>
        <w:rPr>
          <w:lang w:val="en-US"/>
        </w:rPr>
        <w:t xml:space="preserve"> by implementation of the clear communication about the program goals</w:t>
      </w:r>
      <w:r w:rsidR="0036095D">
        <w:rPr>
          <w:lang w:val="en-US"/>
        </w:rPr>
        <w:t xml:space="preserve"> (</w:t>
      </w:r>
      <w:r w:rsidR="0036095D" w:rsidRPr="0036095D">
        <w:rPr>
          <w:lang w:eastAsia="en-US"/>
        </w:rPr>
        <w:t>Podgorica</w:t>
      </w:r>
      <w:r w:rsidR="0036095D">
        <w:rPr>
          <w:lang w:eastAsia="en-US"/>
        </w:rPr>
        <w:t xml:space="preserve"> et al., </w:t>
      </w:r>
      <w:r w:rsidR="0036095D" w:rsidRPr="0036095D">
        <w:rPr>
          <w:lang w:eastAsia="en-US"/>
        </w:rPr>
        <w:t>2021</w:t>
      </w:r>
      <w:r w:rsidR="0036095D">
        <w:rPr>
          <w:lang w:eastAsia="en-US"/>
        </w:rPr>
        <w:t>)</w:t>
      </w:r>
      <w:r>
        <w:rPr>
          <w:lang w:val="en-US"/>
        </w:rPr>
        <w:t xml:space="preserve">. </w:t>
      </w:r>
      <w:r w:rsidR="00746AB8">
        <w:rPr>
          <w:lang w:val="en-US"/>
        </w:rPr>
        <w:t xml:space="preserve"> Furthermore, informed consent will also be obtained from all the participants about their personal information shared during the program which will also be kept confidential. The primary objective of the </w:t>
      </w:r>
      <w:r w:rsidR="00D1060D">
        <w:rPr>
          <w:lang w:val="en-US"/>
        </w:rPr>
        <w:t>initiative</w:t>
      </w:r>
      <w:r w:rsidR="00746AB8">
        <w:rPr>
          <w:lang w:val="en-US"/>
        </w:rPr>
        <w:t xml:space="preserve"> is to target all the different people across various geographical locations</w:t>
      </w:r>
      <w:r w:rsidR="003C5CC7">
        <w:rPr>
          <w:lang w:val="en-US"/>
        </w:rPr>
        <w:t xml:space="preserve"> (</w:t>
      </w:r>
      <w:r w:rsidR="003C5CC7" w:rsidRPr="0036095D">
        <w:rPr>
          <w:lang w:eastAsia="en-US"/>
        </w:rPr>
        <w:t>Jack</w:t>
      </w:r>
      <w:r w:rsidR="003C5CC7">
        <w:rPr>
          <w:lang w:eastAsia="en-US"/>
        </w:rPr>
        <w:t xml:space="preserve"> et al., </w:t>
      </w:r>
      <w:r w:rsidR="003C5CC7" w:rsidRPr="0036095D">
        <w:rPr>
          <w:lang w:eastAsia="en-US"/>
        </w:rPr>
        <w:t>2024</w:t>
      </w:r>
      <w:r w:rsidR="003C5CC7">
        <w:rPr>
          <w:lang w:eastAsia="en-US"/>
        </w:rPr>
        <w:t>)</w:t>
      </w:r>
      <w:r w:rsidR="00746AB8">
        <w:rPr>
          <w:lang w:val="en-US"/>
        </w:rPr>
        <w:t xml:space="preserve">. Thus, all the members must have a shared knowledge of cultural sensitivity to decrease the chances of bias. </w:t>
      </w:r>
    </w:p>
    <w:p w14:paraId="48527E5A" w14:textId="590D05DC" w:rsidR="005C60A8" w:rsidRDefault="005C60A8" w:rsidP="00253475">
      <w:pPr>
        <w:spacing w:line="360" w:lineRule="auto"/>
        <w:rPr>
          <w:b/>
          <w:bCs/>
          <w:i/>
          <w:iCs/>
          <w:lang w:val="en-US"/>
        </w:rPr>
      </w:pPr>
      <w:r w:rsidRPr="005C60A8">
        <w:rPr>
          <w:b/>
          <w:bCs/>
          <w:i/>
          <w:iCs/>
          <w:lang w:val="en-US"/>
        </w:rPr>
        <w:t>Social and economic factors</w:t>
      </w:r>
    </w:p>
    <w:p w14:paraId="635C9547" w14:textId="1155A7F6" w:rsidR="0036095D" w:rsidRDefault="00746AB8" w:rsidP="00253475">
      <w:pPr>
        <w:spacing w:line="360" w:lineRule="auto"/>
        <w:rPr>
          <w:lang w:val="en-US"/>
        </w:rPr>
      </w:pPr>
      <w:r>
        <w:rPr>
          <w:lang w:val="en-US"/>
        </w:rPr>
        <w:t xml:space="preserve">Consideration of social as well as financial perspectives about older people must be taken into consideration. Here the community outreach program will promote the negative consequences of social isolation followed by </w:t>
      </w:r>
      <w:r w:rsidR="00D1060D">
        <w:rPr>
          <w:lang w:val="en-US"/>
        </w:rPr>
        <w:t>highlighting</w:t>
      </w:r>
      <w:r>
        <w:rPr>
          <w:lang w:val="en-US"/>
        </w:rPr>
        <w:t xml:space="preserve"> interaction</w:t>
      </w:r>
      <w:r w:rsidR="002F1BF6">
        <w:rPr>
          <w:lang w:val="en-US"/>
        </w:rPr>
        <w:t>,</w:t>
      </w:r>
      <w:r>
        <w:rPr>
          <w:lang w:val="en-US"/>
        </w:rPr>
        <w:t xml:space="preserve"> lifelong learning and engagement to improve mental and physical well-being. All the </w:t>
      </w:r>
      <w:r w:rsidR="00A260B6">
        <w:rPr>
          <w:lang w:val="en-US"/>
        </w:rPr>
        <w:t>individuals</w:t>
      </w:r>
      <w:r>
        <w:rPr>
          <w:lang w:val="en-US"/>
        </w:rPr>
        <w:t xml:space="preserve"> who will </w:t>
      </w:r>
      <w:r w:rsidR="00E01BE1">
        <w:rPr>
          <w:lang w:val="en-US"/>
        </w:rPr>
        <w:t>take part</w:t>
      </w:r>
      <w:r>
        <w:rPr>
          <w:lang w:val="en-US"/>
        </w:rPr>
        <w:t xml:space="preserve"> in the initiative will be equally treated irrespective of their economic condition and cultural background</w:t>
      </w:r>
      <w:r w:rsidR="00A260B6">
        <w:rPr>
          <w:lang w:val="en-US"/>
        </w:rPr>
        <w:t xml:space="preserve"> (</w:t>
      </w:r>
      <w:r w:rsidR="00A260B6" w:rsidRPr="00A260B6">
        <w:rPr>
          <w:lang w:eastAsia="en-US"/>
        </w:rPr>
        <w:t>Wenger, 2021</w:t>
      </w:r>
      <w:r w:rsidR="00A260B6">
        <w:rPr>
          <w:lang w:eastAsia="en-US"/>
        </w:rPr>
        <w:t>)</w:t>
      </w:r>
      <w:r>
        <w:rPr>
          <w:lang w:val="en-US"/>
        </w:rPr>
        <w:t xml:space="preserve">. </w:t>
      </w:r>
      <w:r>
        <w:rPr>
          <w:lang w:val="en-US"/>
        </w:rPr>
        <w:lastRenderedPageBreak/>
        <w:t xml:space="preserve">Furthermore, different activities will also be arranged to empower older adults and strengthen social gatherings. </w:t>
      </w:r>
      <w:r w:rsidR="00E069BB">
        <w:rPr>
          <w:lang w:val="en-US"/>
        </w:rPr>
        <w:t xml:space="preserve">On the other hand, the collaboration of the local social worker and the </w:t>
      </w:r>
      <w:r w:rsidR="002F1BF6">
        <w:rPr>
          <w:lang w:val="en-US"/>
        </w:rPr>
        <w:t xml:space="preserve">care </w:t>
      </w:r>
      <w:r w:rsidR="00E069BB">
        <w:rPr>
          <w:lang w:val="en-US"/>
        </w:rPr>
        <w:t xml:space="preserve">homes will also be helpful in meeting the specific </w:t>
      </w:r>
      <w:r w:rsidR="00E01BE1">
        <w:rPr>
          <w:lang w:val="en-US"/>
        </w:rPr>
        <w:t>aim</w:t>
      </w:r>
      <w:r w:rsidR="00E069BB">
        <w:rPr>
          <w:lang w:val="en-US"/>
        </w:rPr>
        <w:t xml:space="preserve"> of the program. </w:t>
      </w:r>
      <w:r w:rsidR="00A260B6">
        <w:rPr>
          <w:lang w:val="en-US"/>
        </w:rPr>
        <w:t>Thus,</w:t>
      </w:r>
      <w:r w:rsidR="00E069BB">
        <w:rPr>
          <w:lang w:val="en-US"/>
        </w:rPr>
        <w:t xml:space="preserve"> it needs to ensure the proper partnership of all the stakeholders to increase the opportunities for the connection and engagement within the area</w:t>
      </w:r>
      <w:r w:rsidR="00A260B6">
        <w:rPr>
          <w:lang w:val="en-US"/>
        </w:rPr>
        <w:t xml:space="preserve"> (</w:t>
      </w:r>
      <w:r w:rsidR="00A260B6" w:rsidRPr="00A260B6">
        <w:rPr>
          <w:lang w:eastAsia="en-US"/>
        </w:rPr>
        <w:t>Freedman and Nicolle, 2020</w:t>
      </w:r>
      <w:r w:rsidR="00A260B6">
        <w:rPr>
          <w:lang w:eastAsia="en-US"/>
        </w:rPr>
        <w:t>)</w:t>
      </w:r>
      <w:r w:rsidR="00E069BB">
        <w:rPr>
          <w:lang w:val="en-US"/>
        </w:rPr>
        <w:t xml:space="preserve">. </w:t>
      </w:r>
    </w:p>
    <w:p w14:paraId="0689AC2C" w14:textId="6A9EC0A4" w:rsidR="00004327" w:rsidRDefault="00004327" w:rsidP="00253475">
      <w:pPr>
        <w:spacing w:after="160" w:line="360" w:lineRule="auto"/>
        <w:jc w:val="left"/>
        <w:rPr>
          <w:lang w:val="en-US"/>
        </w:rPr>
      </w:pPr>
      <w:r>
        <w:rPr>
          <w:lang w:val="en-US"/>
        </w:rPr>
        <w:br w:type="page"/>
      </w:r>
    </w:p>
    <w:p w14:paraId="03829E76" w14:textId="77777777" w:rsidR="00253475" w:rsidRDefault="00253475" w:rsidP="00253475">
      <w:pPr>
        <w:pStyle w:val="Heading1"/>
        <w:spacing w:line="360" w:lineRule="auto"/>
      </w:pPr>
      <w:bookmarkStart w:id="1" w:name="_Toc175760217"/>
      <w:r w:rsidRPr="00D051F3">
        <w:lastRenderedPageBreak/>
        <w:t>Element 2: Stakeholder Mapping Exercise</w:t>
      </w:r>
      <w:bookmarkEnd w:id="1"/>
    </w:p>
    <w:p w14:paraId="4505C7AB" w14:textId="77777777" w:rsidR="00253475" w:rsidRDefault="00253475" w:rsidP="00253475">
      <w:pPr>
        <w:spacing w:line="360" w:lineRule="auto"/>
        <w:jc w:val="center"/>
        <w:rPr>
          <w:rFonts w:eastAsia="Times New Roman" w:cs="Times New Roman"/>
          <w:color w:val="000000"/>
          <w:szCs w:val="24"/>
          <w:lang w:val="en-IN" w:eastAsia="en-IN"/>
        </w:rPr>
      </w:pPr>
      <w:r w:rsidRPr="00563891">
        <w:rPr>
          <w:noProof/>
        </w:rPr>
        <w:drawing>
          <wp:inline distT="0" distB="0" distL="0" distR="0" wp14:anchorId="5D661466" wp14:editId="25293734">
            <wp:extent cx="5731510" cy="3942080"/>
            <wp:effectExtent l="0" t="0" r="2540" b="1270"/>
            <wp:docPr id="173095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59700"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31510" cy="3942080"/>
                    </a:xfrm>
                    <a:prstGeom prst="rect">
                      <a:avLst/>
                    </a:prstGeom>
                  </pic:spPr>
                </pic:pic>
              </a:graphicData>
            </a:graphic>
          </wp:inline>
        </w:drawing>
      </w:r>
      <w:r w:rsidRPr="001F10C9">
        <w:rPr>
          <w:rFonts w:eastAsia="Times New Roman"/>
          <w:color w:val="000000"/>
          <w:lang w:eastAsia="en-IN"/>
        </w:rPr>
        <w:t xml:space="preserve"> </w:t>
      </w:r>
      <w:r>
        <w:rPr>
          <w:rFonts w:eastAsia="Times New Roman" w:cs="Times New Roman"/>
          <w:color w:val="000000"/>
          <w:szCs w:val="24"/>
          <w:lang w:val="en-IN" w:eastAsia="en-IN"/>
        </w:rPr>
        <w:t>Figure: Stakeholder Mapping</w:t>
      </w:r>
    </w:p>
    <w:p w14:paraId="09C9CACF" w14:textId="77777777" w:rsidR="00253475" w:rsidRDefault="00253475" w:rsidP="00253475">
      <w:pPr>
        <w:spacing w:line="360" w:lineRule="auto"/>
        <w:jc w:val="center"/>
        <w:rPr>
          <w:rFonts w:eastAsia="Times New Roman"/>
          <w:color w:val="000000"/>
          <w:lang w:eastAsia="en-IN"/>
        </w:rPr>
      </w:pPr>
      <w:r>
        <w:rPr>
          <w:rFonts w:eastAsia="Times New Roman" w:cs="Times New Roman"/>
          <w:color w:val="000000"/>
          <w:szCs w:val="24"/>
          <w:lang w:val="en-IN" w:eastAsia="en-IN"/>
        </w:rPr>
        <w:t>Source:</w:t>
      </w:r>
      <w:sdt>
        <w:sdtPr>
          <w:rPr>
            <w:rFonts w:eastAsia="Times New Roman"/>
            <w:color w:val="000000"/>
            <w:lang w:eastAsia="en-IN"/>
          </w:rPr>
          <w:id w:val="-1146511508"/>
          <w:citation/>
        </w:sdtPr>
        <w:sdtEndPr/>
        <w:sdtContent>
          <w:r>
            <w:rPr>
              <w:rFonts w:eastAsia="Times New Roman"/>
              <w:color w:val="000000"/>
              <w:lang w:eastAsia="en-IN"/>
            </w:rPr>
            <w:fldChar w:fldCharType="begin"/>
          </w:r>
          <w:r>
            <w:rPr>
              <w:rFonts w:eastAsia="Times New Roman"/>
              <w:color w:val="000000"/>
              <w:lang w:val="en-US" w:eastAsia="en-IN"/>
            </w:rPr>
            <w:instrText xml:space="preserve"> CITATION tra23 \l 1033 </w:instrText>
          </w:r>
          <w:r>
            <w:rPr>
              <w:rFonts w:eastAsia="Times New Roman"/>
              <w:color w:val="000000"/>
              <w:lang w:eastAsia="en-IN"/>
            </w:rPr>
            <w:fldChar w:fldCharType="separate"/>
          </w:r>
          <w:r>
            <w:rPr>
              <w:rFonts w:eastAsia="Times New Roman"/>
              <w:noProof/>
              <w:color w:val="000000"/>
              <w:lang w:val="en-US" w:eastAsia="en-IN"/>
            </w:rPr>
            <w:t xml:space="preserve"> </w:t>
          </w:r>
          <w:r w:rsidRPr="00880938">
            <w:rPr>
              <w:rFonts w:eastAsia="Times New Roman"/>
              <w:noProof/>
              <w:color w:val="000000"/>
              <w:lang w:val="en-US" w:eastAsia="en-IN"/>
            </w:rPr>
            <w:t>(tractivity, 2023)</w:t>
          </w:r>
          <w:r>
            <w:rPr>
              <w:rFonts w:eastAsia="Times New Roman"/>
              <w:color w:val="000000"/>
              <w:lang w:eastAsia="en-IN"/>
            </w:rPr>
            <w:fldChar w:fldCharType="end"/>
          </w:r>
        </w:sdtContent>
      </w:sdt>
    </w:p>
    <w:p w14:paraId="1D7618F4" w14:textId="77777777" w:rsidR="00253475" w:rsidRPr="00D051F3" w:rsidRDefault="00253475" w:rsidP="00253475">
      <w:pPr>
        <w:spacing w:line="360" w:lineRule="auto"/>
        <w:rPr>
          <w:b/>
          <w:bCs/>
          <w:i/>
          <w:iCs/>
        </w:rPr>
      </w:pPr>
      <w:r w:rsidRPr="00D051F3">
        <w:rPr>
          <w:b/>
          <w:bCs/>
          <w:i/>
          <w:iCs/>
        </w:rPr>
        <w:t>Key stakeholders and their roles</w:t>
      </w:r>
    </w:p>
    <w:p w14:paraId="56A8137E" w14:textId="77777777" w:rsidR="00253475" w:rsidRPr="00D051F3" w:rsidRDefault="00253475" w:rsidP="00253475">
      <w:pPr>
        <w:spacing w:line="360" w:lineRule="auto"/>
        <w:rPr>
          <w:i/>
          <w:iCs/>
          <w:u w:val="single"/>
        </w:rPr>
      </w:pPr>
      <w:r w:rsidRPr="00D051F3">
        <w:rPr>
          <w:i/>
          <w:iCs/>
          <w:u w:val="single"/>
        </w:rPr>
        <w:t>Local Community Centres</w:t>
      </w:r>
    </w:p>
    <w:p w14:paraId="0900B439" w14:textId="1E38B604" w:rsidR="00253475" w:rsidRPr="00D051F3" w:rsidRDefault="00253475" w:rsidP="00253475">
      <w:pPr>
        <w:spacing w:line="360" w:lineRule="auto"/>
      </w:pPr>
      <w:r w:rsidRPr="00D051F3">
        <w:t xml:space="preserve">Older adults need engagement which reduces the sense of loneliness and social isolation among them. Different local community centres are prime stakeholders in this spectrum as they host engagement programs like workshops, educational </w:t>
      </w:r>
      <w:r w:rsidR="00550C12" w:rsidRPr="00D051F3">
        <w:t>programs,</w:t>
      </w:r>
      <w:r w:rsidRPr="00D051F3">
        <w:t xml:space="preserve"> and social gatherings</w:t>
      </w:r>
      <w:r>
        <w:t xml:space="preserve"> (</w:t>
      </w:r>
      <w:r w:rsidRPr="007B2673">
        <w:t>Wallerstein</w:t>
      </w:r>
      <w:r>
        <w:t xml:space="preserve"> et al., 2020)</w:t>
      </w:r>
      <w:r w:rsidRPr="00D051F3">
        <w:t xml:space="preserve">. These sectors have the necessary support and staff who can manage these activities properly. The main interests of these organisations are to boost community engagement and </w:t>
      </w:r>
      <w:r w:rsidR="009E5B41" w:rsidRPr="00D051F3">
        <w:t>support</w:t>
      </w:r>
      <w:r w:rsidRPr="00D051F3">
        <w:t xml:space="preserve"> the well-being of local adult residents.</w:t>
      </w:r>
    </w:p>
    <w:p w14:paraId="7B0EB450" w14:textId="77777777" w:rsidR="00253475" w:rsidRPr="00D051F3" w:rsidRDefault="00253475" w:rsidP="00253475">
      <w:pPr>
        <w:spacing w:line="360" w:lineRule="auto"/>
        <w:rPr>
          <w:i/>
          <w:iCs/>
          <w:u w:val="single"/>
        </w:rPr>
      </w:pPr>
      <w:r w:rsidRPr="00D051F3">
        <w:rPr>
          <w:i/>
          <w:iCs/>
          <w:u w:val="single"/>
        </w:rPr>
        <w:t>Health and Social Care Providers</w:t>
      </w:r>
    </w:p>
    <w:p w14:paraId="7E285772" w14:textId="77777777" w:rsidR="00253475" w:rsidRPr="00D051F3" w:rsidRDefault="00253475" w:rsidP="00253475">
      <w:pPr>
        <w:spacing w:line="360" w:lineRule="auto"/>
      </w:pPr>
      <w:r w:rsidRPr="00D051F3">
        <w:t xml:space="preserve">Social workers, and mental health service providers are involved in this spectrum. These people are responsible for identifying isolated elders and referring them to the community engagement program from which they get benefits. These people deliver professional support to older adults </w:t>
      </w:r>
      <w:r w:rsidRPr="00D051F3">
        <w:lastRenderedPageBreak/>
        <w:t>as well as monitor their well-being. These people are employed to reduce the strain of healthcare services and enhance the physical and mental health of those older people.    </w:t>
      </w:r>
    </w:p>
    <w:p w14:paraId="6CAFB050" w14:textId="77777777" w:rsidR="00253475" w:rsidRPr="00D051F3" w:rsidRDefault="00253475" w:rsidP="00253475">
      <w:pPr>
        <w:spacing w:line="360" w:lineRule="auto"/>
        <w:rPr>
          <w:i/>
          <w:iCs/>
          <w:u w:val="single"/>
        </w:rPr>
      </w:pPr>
      <w:r w:rsidRPr="00D051F3">
        <w:rPr>
          <w:i/>
          <w:iCs/>
          <w:u w:val="single"/>
        </w:rPr>
        <w:t>Local Authorities </w:t>
      </w:r>
    </w:p>
    <w:p w14:paraId="2B0BEFAA" w14:textId="77777777" w:rsidR="00253475" w:rsidRPr="00D051F3" w:rsidRDefault="00253475" w:rsidP="00253475">
      <w:pPr>
        <w:spacing w:line="360" w:lineRule="auto"/>
      </w:pPr>
      <w:r w:rsidRPr="00D051F3">
        <w:t>Different local authorities are important to arrange community engagement programs for older adults to reduce their loneliness and isolation. Different funding options, resources and policies are also available which enhance the stability of those programs</w:t>
      </w:r>
      <w:sdt>
        <w:sdtPr>
          <w:id w:val="-237013562"/>
          <w:citation/>
        </w:sdtPr>
        <w:sdtEndPr/>
        <w:sdtContent>
          <w:r>
            <w:fldChar w:fldCharType="begin"/>
          </w:r>
          <w:r>
            <w:rPr>
              <w:lang w:val="en-US"/>
            </w:rPr>
            <w:instrText xml:space="preserve"> CITATION Deb24 \l 1033 </w:instrText>
          </w:r>
          <w:r>
            <w:fldChar w:fldCharType="separate"/>
          </w:r>
          <w:r>
            <w:rPr>
              <w:noProof/>
              <w:lang w:val="en-US"/>
            </w:rPr>
            <w:t xml:space="preserve"> </w:t>
          </w:r>
          <w:r w:rsidRPr="00880938">
            <w:rPr>
              <w:rFonts w:eastAsiaTheme="minorHAnsi"/>
              <w:noProof/>
              <w:lang w:val="en-US"/>
            </w:rPr>
            <w:t>(Hipp, 2024)</w:t>
          </w:r>
          <w:r>
            <w:fldChar w:fldCharType="end"/>
          </w:r>
        </w:sdtContent>
      </w:sdt>
      <w:r w:rsidRPr="00D051F3">
        <w:t>. This partnership assists in integrating the activities and facilitates partnerships to deliver health and well-being processes to the wider community. These local authorities include local governments and lucy makers who boost community health outcomes, improve quality of life and minimise the isolation of older adults. </w:t>
      </w:r>
    </w:p>
    <w:p w14:paraId="03F61751" w14:textId="77777777" w:rsidR="00253475" w:rsidRPr="00D051F3" w:rsidRDefault="00253475" w:rsidP="00253475">
      <w:pPr>
        <w:spacing w:line="360" w:lineRule="auto"/>
        <w:rPr>
          <w:i/>
          <w:iCs/>
          <w:u w:val="single"/>
        </w:rPr>
      </w:pPr>
      <w:r w:rsidRPr="00D051F3">
        <w:rPr>
          <w:i/>
          <w:iCs/>
          <w:u w:val="single"/>
        </w:rPr>
        <w:t>Non-Profit Organisations and Charities</w:t>
      </w:r>
    </w:p>
    <w:p w14:paraId="12E927A4" w14:textId="77777777" w:rsidR="00253475" w:rsidRPr="00D051F3" w:rsidRDefault="00253475" w:rsidP="00253475">
      <w:pPr>
        <w:spacing w:line="360" w:lineRule="auto"/>
      </w:pPr>
      <w:r w:rsidRPr="00D051F3">
        <w:t>Different charitable organisations help to arrange different engagement programs for older adults. Non-profit organisations arrange additional resources, expertise and volunteers to make the program successful. These sectors mostly focus on older adults who are socially isolated and require social connections to gain valuable experiences. These sectors help these adult individuals to expand their outreach as well as boost their livings. They mostly try to fulfil their mission to manage and support vulnerable individuals. </w:t>
      </w:r>
    </w:p>
    <w:p w14:paraId="15A26E4F" w14:textId="77777777" w:rsidR="00253475" w:rsidRPr="00D051F3" w:rsidRDefault="00253475" w:rsidP="00253475">
      <w:pPr>
        <w:spacing w:line="360" w:lineRule="auto"/>
        <w:rPr>
          <w:i/>
          <w:iCs/>
          <w:u w:val="single"/>
        </w:rPr>
      </w:pPr>
      <w:r w:rsidRPr="00D051F3">
        <w:rPr>
          <w:i/>
          <w:iCs/>
          <w:u w:val="single"/>
        </w:rPr>
        <w:t>Families of Older people</w:t>
      </w:r>
    </w:p>
    <w:p w14:paraId="136E9B3A" w14:textId="77777777" w:rsidR="00253475" w:rsidRPr="00D051F3" w:rsidRDefault="00253475" w:rsidP="00253475">
      <w:pPr>
        <w:spacing w:line="360" w:lineRule="auto"/>
      </w:pPr>
      <w:r w:rsidRPr="00D051F3">
        <w:t>Families are the most important people in the lives of older adults and they can encourage these individuals to engage in community engagement programs</w:t>
      </w:r>
      <w:sdt>
        <w:sdtPr>
          <w:id w:val="-1086074266"/>
          <w:citation/>
        </w:sdtPr>
        <w:sdtEndPr/>
        <w:sdtContent>
          <w:r>
            <w:fldChar w:fldCharType="begin"/>
          </w:r>
          <w:r>
            <w:rPr>
              <w:lang w:val="en-US"/>
            </w:rPr>
            <w:instrText xml:space="preserve"> CITATION Nex231 \l 1033 </w:instrText>
          </w:r>
          <w:r>
            <w:fldChar w:fldCharType="separate"/>
          </w:r>
          <w:r>
            <w:rPr>
              <w:noProof/>
              <w:lang w:val="en-US"/>
            </w:rPr>
            <w:t xml:space="preserve"> </w:t>
          </w:r>
          <w:r w:rsidRPr="00880938">
            <w:rPr>
              <w:rFonts w:eastAsiaTheme="minorHAnsi"/>
              <w:noProof/>
              <w:lang w:val="en-US"/>
            </w:rPr>
            <w:t>(Avenue, 2023)</w:t>
          </w:r>
          <w:r>
            <w:fldChar w:fldCharType="end"/>
          </w:r>
        </w:sdtContent>
      </w:sdt>
      <w:r w:rsidRPr="00D051F3">
        <w:t>. Family support helps these people to move with the flow of life and can deliver necessary feedback based on their experiences regarding the engagement program. The effectiveness of the older adults' community engagement program is monitored by the family individuals. The main interest of these people is to make successful community engagement activities to boost the happiness and well-being of their older family members. </w:t>
      </w:r>
    </w:p>
    <w:p w14:paraId="1545C156" w14:textId="77777777" w:rsidR="00253475" w:rsidRPr="00D051F3" w:rsidRDefault="00253475" w:rsidP="00253475">
      <w:pPr>
        <w:spacing w:line="360" w:lineRule="auto"/>
        <w:rPr>
          <w:b/>
          <w:bCs/>
          <w:i/>
          <w:iCs/>
        </w:rPr>
      </w:pPr>
      <w:r w:rsidRPr="00D051F3">
        <w:rPr>
          <w:b/>
          <w:bCs/>
          <w:i/>
          <w:iCs/>
        </w:rPr>
        <w:t>Communication strategies</w:t>
      </w:r>
    </w:p>
    <w:p w14:paraId="3016BBBD" w14:textId="32B477A9" w:rsidR="00253475" w:rsidRPr="00D051F3" w:rsidRDefault="00253475" w:rsidP="00253475">
      <w:pPr>
        <w:spacing w:line="360" w:lineRule="auto"/>
      </w:pPr>
      <w:r w:rsidRPr="00D051F3">
        <w:t xml:space="preserve">1. The communication process with older adults needs to be performed through regular in-person meetings, newsletters, personalised phone calls and community events. This way these individuals are easily involved in the </w:t>
      </w:r>
      <w:r w:rsidR="000E48FD" w:rsidRPr="00D051F3">
        <w:t>programs and</w:t>
      </w:r>
      <w:r w:rsidRPr="00D051F3">
        <w:t xml:space="preserve"> get informed about engagement activities. Necessary </w:t>
      </w:r>
      <w:r w:rsidR="000E48FD" w:rsidRPr="00D051F3">
        <w:t>feedback</w:t>
      </w:r>
      <w:r w:rsidRPr="00D051F3">
        <w:t xml:space="preserve"> regarding</w:t>
      </w:r>
      <w:r w:rsidR="00E73379">
        <w:t xml:space="preserve"> </w:t>
      </w:r>
      <w:r w:rsidRPr="00D051F3">
        <w:t xml:space="preserve">these activities </w:t>
      </w:r>
      <w:r w:rsidR="00E73379" w:rsidRPr="00D051F3">
        <w:t>is</w:t>
      </w:r>
      <w:r w:rsidRPr="00D051F3">
        <w:t xml:space="preserve"> collected from them which helps to understand their requirements and experiences. </w:t>
      </w:r>
    </w:p>
    <w:p w14:paraId="732CFDAD" w14:textId="77777777" w:rsidR="00253475" w:rsidRPr="00D051F3" w:rsidRDefault="00253475" w:rsidP="00253475">
      <w:pPr>
        <w:spacing w:line="360" w:lineRule="auto"/>
      </w:pPr>
      <w:r w:rsidRPr="00D051F3">
        <w:lastRenderedPageBreak/>
        <w:t xml:space="preserve">2. Formal partnership agreements are utilised to maintain interaction with the local community centres. Email connection and regular coordination meetings at some intervals help to connect with other stakeholders. These strategies help these sectors to maintain effective collaboration </w:t>
      </w:r>
      <w:r>
        <w:t>with</w:t>
      </w:r>
      <w:r w:rsidRPr="00D051F3">
        <w:t xml:space="preserve"> other collaborators and help to host program activities.  </w:t>
      </w:r>
    </w:p>
    <w:p w14:paraId="200CC2A5" w14:textId="77777777" w:rsidR="00253475" w:rsidRPr="00D051F3" w:rsidRDefault="00253475" w:rsidP="00253475">
      <w:pPr>
        <w:spacing w:line="360" w:lineRule="auto"/>
      </w:pPr>
      <w:r w:rsidRPr="00D051F3">
        <w:t>3. Health and social caregivers interact with each other through different digital platforms and regular meetings. Following these strategies and equipment, they can connect with other stakeholders easily along with the family members of the older adults</w:t>
      </w:r>
      <w:sdt>
        <w:sdtPr>
          <w:id w:val="-564949042"/>
          <w:citation/>
        </w:sdtPr>
        <w:sdtEndPr/>
        <w:sdtContent>
          <w:r>
            <w:fldChar w:fldCharType="begin"/>
          </w:r>
          <w:r>
            <w:rPr>
              <w:lang w:val="en-US"/>
            </w:rPr>
            <w:instrText xml:space="preserve"> CITATION Kar222 \l 1033 </w:instrText>
          </w:r>
          <w:r>
            <w:fldChar w:fldCharType="separate"/>
          </w:r>
          <w:r>
            <w:rPr>
              <w:noProof/>
              <w:lang w:val="en-US"/>
            </w:rPr>
            <w:t xml:space="preserve"> </w:t>
          </w:r>
          <w:r w:rsidRPr="00880938">
            <w:rPr>
              <w:rFonts w:eastAsiaTheme="minorHAnsi"/>
              <w:noProof/>
              <w:lang w:val="en-US"/>
            </w:rPr>
            <w:t>(Tama-Rutigliano, 2022)</w:t>
          </w:r>
          <w:r>
            <w:fldChar w:fldCharType="end"/>
          </w:r>
        </w:sdtContent>
      </w:sdt>
      <w:r w:rsidRPr="00D051F3">
        <w:t>. This helps them to identify the isolation of those individuals and encourage them to engage in community activities. Besides this, different joint communication campaigns enhance the impact of engagement programs and assist in raising concerns about it.   </w:t>
      </w:r>
    </w:p>
    <w:p w14:paraId="249403E4" w14:textId="77777777" w:rsidR="00253475" w:rsidRPr="00D051F3" w:rsidRDefault="00253475" w:rsidP="00253475">
      <w:pPr>
        <w:spacing w:line="360" w:lineRule="auto"/>
      </w:pPr>
      <w:r w:rsidRPr="00D051F3">
        <w:t xml:space="preserve">4. Local government and </w:t>
      </w:r>
      <w:r>
        <w:t>policymakers</w:t>
      </w:r>
      <w:r w:rsidRPr="00D051F3">
        <w:t xml:space="preserve"> are involved in these community engagement processes by delivering the necessary funding and support. due to this, they deliver different policies and systems which boost the situations of older adults and minimise their loneliness. They deliver detailed reports, policy briefs, formal proposals and direct meetings. Again, different joint communication campaigns and collaborative meetings assist in enhancing the impact of community engagement programs and </w:t>
      </w:r>
      <w:r>
        <w:t>raising</w:t>
      </w:r>
      <w:r w:rsidRPr="00D051F3">
        <w:t xml:space="preserve"> awareness among people. </w:t>
      </w:r>
    </w:p>
    <w:p w14:paraId="37B4E98B" w14:textId="77777777" w:rsidR="00253475" w:rsidRDefault="00253475" w:rsidP="00253475">
      <w:pPr>
        <w:spacing w:after="160" w:line="360" w:lineRule="auto"/>
        <w:jc w:val="left"/>
        <w:rPr>
          <w:rFonts w:eastAsia="Times New Roman" w:cstheme="majorBidi"/>
          <w:b/>
          <w:kern w:val="2"/>
          <w:sz w:val="28"/>
          <w:szCs w:val="32"/>
          <w:lang w:val="en-IN" w:eastAsia="en-IN"/>
          <w14:ligatures w14:val="standardContextual"/>
        </w:rPr>
      </w:pPr>
      <w:r>
        <w:rPr>
          <w:rFonts w:eastAsia="Times New Roman"/>
          <w:lang w:val="en-IN" w:eastAsia="en-IN"/>
        </w:rPr>
        <w:br w:type="page"/>
      </w:r>
    </w:p>
    <w:p w14:paraId="166B0265" w14:textId="3843D80C" w:rsidR="00004327" w:rsidRDefault="00004327" w:rsidP="00253475">
      <w:pPr>
        <w:pStyle w:val="Heading1"/>
        <w:spacing w:line="360" w:lineRule="auto"/>
        <w:rPr>
          <w:rFonts w:eastAsia="Times New Roman"/>
          <w:lang w:val="en-IN" w:eastAsia="en-IN"/>
        </w:rPr>
      </w:pPr>
      <w:bookmarkStart w:id="2" w:name="_Toc175760218"/>
      <w:r w:rsidRPr="004C10DF">
        <w:rPr>
          <w:rFonts w:eastAsia="Times New Roman"/>
          <w:lang w:val="en-IN" w:eastAsia="en-IN"/>
        </w:rPr>
        <w:lastRenderedPageBreak/>
        <w:t>Element 3</w:t>
      </w:r>
      <w:r w:rsidR="00EF1E16">
        <w:rPr>
          <w:rFonts w:eastAsia="Times New Roman"/>
          <w:lang w:val="en-IN" w:eastAsia="en-IN"/>
        </w:rPr>
        <w:t>:</w:t>
      </w:r>
      <w:r w:rsidRPr="004C10DF">
        <w:rPr>
          <w:rFonts w:eastAsia="Times New Roman"/>
          <w:lang w:val="en-IN" w:eastAsia="en-IN"/>
        </w:rPr>
        <w:t xml:space="preserve"> Community Engagement Plan</w:t>
      </w:r>
      <w:bookmarkEnd w:id="2"/>
    </w:p>
    <w:p w14:paraId="3B1D2A54" w14:textId="77777777" w:rsidR="00253475" w:rsidRDefault="00253475" w:rsidP="00253475">
      <w:pPr>
        <w:spacing w:line="360" w:lineRule="auto"/>
        <w:rPr>
          <w:b/>
          <w:bCs/>
          <w:i/>
          <w:iCs/>
        </w:rPr>
      </w:pPr>
      <w:r w:rsidRPr="00880938">
        <w:rPr>
          <w:b/>
          <w:bCs/>
          <w:i/>
          <w:iCs/>
        </w:rPr>
        <w:t>Introduction </w:t>
      </w:r>
    </w:p>
    <w:p w14:paraId="75518522" w14:textId="4D4518D7" w:rsidR="00EF1E16" w:rsidRPr="00880938" w:rsidRDefault="00EF1E16" w:rsidP="00253475">
      <w:pPr>
        <w:spacing w:line="360" w:lineRule="auto"/>
        <w:rPr>
          <w:b/>
          <w:bCs/>
          <w:i/>
          <w:iCs/>
        </w:rPr>
      </w:pPr>
      <w:r w:rsidRPr="00EF1E16">
        <w:rPr>
          <w:b/>
          <w:bCs/>
          <w:i/>
          <w:iCs/>
          <w:noProof/>
        </w:rPr>
        <w:drawing>
          <wp:inline distT="0" distB="0" distL="0" distR="0" wp14:anchorId="6ED6CFC9" wp14:editId="5B81FF3A">
            <wp:extent cx="5943600" cy="2867025"/>
            <wp:effectExtent l="0" t="0" r="0" b="9525"/>
            <wp:docPr id="352869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869003"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943600" cy="2867025"/>
                    </a:xfrm>
                    <a:prstGeom prst="rect">
                      <a:avLst/>
                    </a:prstGeom>
                  </pic:spPr>
                </pic:pic>
              </a:graphicData>
            </a:graphic>
          </wp:inline>
        </w:drawing>
      </w:r>
    </w:p>
    <w:p w14:paraId="68EDA790" w14:textId="188A5E14" w:rsidR="00253475" w:rsidRPr="00D051F3" w:rsidRDefault="00253475" w:rsidP="00253475">
      <w:pPr>
        <w:spacing w:line="360" w:lineRule="auto"/>
      </w:pPr>
      <w:r w:rsidRPr="00D051F3">
        <w:t xml:space="preserve">Older adults all over the globe along with the UK experienced much loneliness and social isolation. The context will </w:t>
      </w:r>
      <w:r>
        <w:t>be designed</w:t>
      </w:r>
      <w:r w:rsidRPr="00D051F3">
        <w:t xml:space="preserve"> to promote some community engagement activities along with specific </w:t>
      </w:r>
      <w:r>
        <w:t>goals</w:t>
      </w:r>
      <w:r w:rsidRPr="00D051F3">
        <w:t xml:space="preserve"> and objectives. The principles that need to be followed in these activities will be discussed in this presentation. Moreover, the strategies followed to engage older people along with potential collaboration mechanisms will be mentioned here. The context will also provide an implementation plan to improve their conditions in the UK</w:t>
      </w:r>
      <w:r w:rsidR="00E93630" w:rsidRPr="00D051F3">
        <w:t xml:space="preserve">. </w:t>
      </w:r>
      <w:r w:rsidRPr="00D051F3">
        <w:t> </w:t>
      </w:r>
    </w:p>
    <w:p w14:paraId="227AC0DC" w14:textId="77777777" w:rsidR="00EF1E16" w:rsidRDefault="00253475" w:rsidP="00253475">
      <w:pPr>
        <w:spacing w:line="360" w:lineRule="auto"/>
        <w:rPr>
          <w:b/>
          <w:bCs/>
          <w:i/>
          <w:iCs/>
        </w:rPr>
      </w:pPr>
      <w:r w:rsidRPr="00880938">
        <w:rPr>
          <w:b/>
          <w:bCs/>
          <w:i/>
          <w:iCs/>
        </w:rPr>
        <w:t>Aim and Objectives</w:t>
      </w:r>
    </w:p>
    <w:p w14:paraId="0042315C" w14:textId="70A88FF8" w:rsidR="00253475" w:rsidRPr="00880938" w:rsidRDefault="00EF1E16" w:rsidP="00253475">
      <w:pPr>
        <w:spacing w:line="360" w:lineRule="auto"/>
        <w:rPr>
          <w:b/>
          <w:bCs/>
          <w:i/>
          <w:iCs/>
        </w:rPr>
      </w:pPr>
      <w:r w:rsidRPr="00EF1E16">
        <w:rPr>
          <w:b/>
          <w:bCs/>
          <w:i/>
          <w:iCs/>
          <w:noProof/>
        </w:rPr>
        <w:lastRenderedPageBreak/>
        <w:drawing>
          <wp:inline distT="0" distB="0" distL="0" distR="0" wp14:anchorId="3F03123A" wp14:editId="47928841">
            <wp:extent cx="5943600" cy="2990215"/>
            <wp:effectExtent l="0" t="0" r="0" b="635"/>
            <wp:docPr id="457143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43330"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943600" cy="2990215"/>
                    </a:xfrm>
                    <a:prstGeom prst="rect">
                      <a:avLst/>
                    </a:prstGeom>
                  </pic:spPr>
                </pic:pic>
              </a:graphicData>
            </a:graphic>
          </wp:inline>
        </w:drawing>
      </w:r>
    </w:p>
    <w:p w14:paraId="066C3512" w14:textId="77777777" w:rsidR="00253475" w:rsidRPr="00880938" w:rsidRDefault="00253475" w:rsidP="00253475">
      <w:pPr>
        <w:spacing w:line="360" w:lineRule="auto"/>
        <w:rPr>
          <w:u w:val="single"/>
        </w:rPr>
      </w:pPr>
      <w:r w:rsidRPr="00880938">
        <w:rPr>
          <w:u w:val="single"/>
        </w:rPr>
        <w:t>Aim</w:t>
      </w:r>
    </w:p>
    <w:p w14:paraId="003CB22F" w14:textId="77777777" w:rsidR="00253475" w:rsidRPr="00D051F3" w:rsidRDefault="00253475" w:rsidP="00253475">
      <w:pPr>
        <w:spacing w:line="360" w:lineRule="auto"/>
      </w:pPr>
      <w:r w:rsidRPr="00D051F3">
        <w:t>To minimise loneliness and social isolation among older adults through organising community programs which boost community engagement, enhance social interaction and give lifelong learning opportunities.</w:t>
      </w:r>
    </w:p>
    <w:p w14:paraId="338C713B" w14:textId="77777777" w:rsidR="00253475" w:rsidRPr="00880938" w:rsidRDefault="00253475" w:rsidP="00253475">
      <w:pPr>
        <w:spacing w:line="360" w:lineRule="auto"/>
        <w:rPr>
          <w:u w:val="single"/>
        </w:rPr>
      </w:pPr>
      <w:r w:rsidRPr="00880938">
        <w:rPr>
          <w:u w:val="single"/>
        </w:rPr>
        <w:t>Objectives</w:t>
      </w:r>
    </w:p>
    <w:p w14:paraId="2DE0A1EB" w14:textId="77777777" w:rsidR="00253475" w:rsidRPr="00D051F3" w:rsidRDefault="00253475" w:rsidP="00253475">
      <w:pPr>
        <w:spacing w:line="360" w:lineRule="auto"/>
      </w:pPr>
      <w:r w:rsidRPr="00D051F3">
        <w:t>1. To enhance the system of weekly social events including group activities and get-togethers for older adults up to 15% within 3 months. </w:t>
      </w:r>
    </w:p>
    <w:p w14:paraId="1DB09269" w14:textId="77777777" w:rsidR="00253475" w:rsidRPr="00D051F3" w:rsidRDefault="00253475" w:rsidP="00253475">
      <w:pPr>
        <w:spacing w:line="360" w:lineRule="auto"/>
      </w:pPr>
      <w:r w:rsidRPr="00D051F3">
        <w:t>2. To increase social connectedness among adult people through different community engagement activities up to 12% within 2 months.</w:t>
      </w:r>
    </w:p>
    <w:p w14:paraId="19ED780D" w14:textId="77777777" w:rsidR="00253475" w:rsidRPr="00D051F3" w:rsidRDefault="00253475" w:rsidP="00253475">
      <w:pPr>
        <w:spacing w:line="360" w:lineRule="auto"/>
      </w:pPr>
      <w:r w:rsidRPr="00D051F3">
        <w:t>3. To develop monthly educational workshops for older adults on different topics as per their interests that boost the scope of lifelong learning by up to 20% within 4 months. </w:t>
      </w:r>
    </w:p>
    <w:p w14:paraId="46233D26" w14:textId="77777777" w:rsidR="00253475" w:rsidRDefault="00253475" w:rsidP="00253475">
      <w:pPr>
        <w:spacing w:line="360" w:lineRule="auto"/>
        <w:rPr>
          <w:b/>
          <w:bCs/>
          <w:i/>
          <w:iCs/>
        </w:rPr>
      </w:pPr>
      <w:r w:rsidRPr="00880938">
        <w:rPr>
          <w:b/>
          <w:bCs/>
          <w:i/>
          <w:iCs/>
        </w:rPr>
        <w:t>Principles and Standards </w:t>
      </w:r>
    </w:p>
    <w:p w14:paraId="01E9876E" w14:textId="0E4DFDDE" w:rsidR="00EF1E16" w:rsidRPr="00880938" w:rsidRDefault="00EF1E16" w:rsidP="00253475">
      <w:pPr>
        <w:spacing w:line="360" w:lineRule="auto"/>
        <w:rPr>
          <w:b/>
          <w:bCs/>
          <w:i/>
          <w:iCs/>
        </w:rPr>
      </w:pPr>
      <w:r w:rsidRPr="00EF1E16">
        <w:rPr>
          <w:b/>
          <w:bCs/>
          <w:i/>
          <w:iCs/>
          <w:noProof/>
        </w:rPr>
        <w:lastRenderedPageBreak/>
        <w:drawing>
          <wp:inline distT="0" distB="0" distL="0" distR="0" wp14:anchorId="6110E2B3" wp14:editId="3C093066">
            <wp:extent cx="5943600" cy="2973705"/>
            <wp:effectExtent l="0" t="0" r="0" b="0"/>
            <wp:docPr id="39126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261920"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943600" cy="2973705"/>
                    </a:xfrm>
                    <a:prstGeom prst="rect">
                      <a:avLst/>
                    </a:prstGeom>
                  </pic:spPr>
                </pic:pic>
              </a:graphicData>
            </a:graphic>
          </wp:inline>
        </w:drawing>
      </w:r>
    </w:p>
    <w:p w14:paraId="6B7297BA" w14:textId="5CECC26A" w:rsidR="00253475" w:rsidRPr="00253475" w:rsidRDefault="00253475" w:rsidP="00253475">
      <w:pPr>
        <w:spacing w:line="360" w:lineRule="auto"/>
      </w:pPr>
      <w:r w:rsidRPr="00D051F3">
        <w:t>The community engagement program organised for older adults needs to follow some principles. Dignity, respect and inclusivity are necessary components in these programs where every participant gets honoured and gets access to the program without focusing on their abilities and diverse background</w:t>
      </w:r>
      <w:sdt>
        <w:sdtPr>
          <w:id w:val="915898543"/>
          <w:citation/>
        </w:sdtPr>
        <w:sdtEndPr/>
        <w:sdtContent>
          <w:r>
            <w:fldChar w:fldCharType="begin"/>
          </w:r>
          <w:r>
            <w:rPr>
              <w:lang w:val="en-US"/>
            </w:rPr>
            <w:instrText xml:space="preserve"> CITATION Sha20 \l 1033 </w:instrText>
          </w:r>
          <w:r>
            <w:fldChar w:fldCharType="separate"/>
          </w:r>
          <w:r>
            <w:rPr>
              <w:noProof/>
              <w:lang w:val="en-US"/>
            </w:rPr>
            <w:t xml:space="preserve"> </w:t>
          </w:r>
          <w:r w:rsidRPr="00880938">
            <w:rPr>
              <w:rFonts w:eastAsiaTheme="minorHAnsi"/>
              <w:noProof/>
              <w:lang w:val="en-US"/>
            </w:rPr>
            <w:t>(Hatton, 2020)</w:t>
          </w:r>
          <w:r>
            <w:fldChar w:fldCharType="end"/>
          </w:r>
        </w:sdtContent>
      </w:sdt>
      <w:r w:rsidRPr="00D051F3">
        <w:t xml:space="preserve">. The standards of the program are also required to be maintained which includes offering different engagement activities based on the interests of elder participants. Their feedback </w:t>
      </w:r>
      <w:r>
        <w:t xml:space="preserve">was </w:t>
      </w:r>
      <w:r w:rsidRPr="00D051F3">
        <w:t xml:space="preserve">also </w:t>
      </w:r>
      <w:r>
        <w:t>collected</w:t>
      </w:r>
      <w:r w:rsidRPr="00D051F3">
        <w:t xml:space="preserve"> after the community engagement programs to boost </w:t>
      </w:r>
      <w:r>
        <w:t>their</w:t>
      </w:r>
      <w:r w:rsidRPr="00D051F3">
        <w:t xml:space="preserve"> relevance and incorporate different safety measures. This way organising these activities the older adults’ emotional and physical well-being are maintained.  </w:t>
      </w:r>
    </w:p>
    <w:p w14:paraId="2247915E" w14:textId="77777777" w:rsidR="00004327" w:rsidRPr="00EF1E16" w:rsidRDefault="00004327" w:rsidP="00EF1E16">
      <w:pPr>
        <w:rPr>
          <w:b/>
          <w:bCs/>
          <w:i/>
          <w:iCs/>
          <w:lang w:eastAsia="en-IN"/>
        </w:rPr>
      </w:pPr>
      <w:r w:rsidRPr="00EF1E16">
        <w:rPr>
          <w:b/>
          <w:bCs/>
          <w:i/>
          <w:iCs/>
          <w:lang w:eastAsia="en-IN"/>
        </w:rPr>
        <w:t>Strategies for Engagement </w:t>
      </w:r>
    </w:p>
    <w:p w14:paraId="2EA0913A" w14:textId="77777777" w:rsidR="00004327" w:rsidRPr="00841AEC" w:rsidRDefault="00004327" w:rsidP="00253475">
      <w:pPr>
        <w:spacing w:line="360" w:lineRule="auto"/>
        <w:rPr>
          <w:lang w:eastAsia="en-IN"/>
        </w:rPr>
      </w:pPr>
      <w:r>
        <w:rPr>
          <w:noProof/>
          <w:lang w:eastAsia="en-IN"/>
        </w:rPr>
        <w:lastRenderedPageBreak/>
        <w:drawing>
          <wp:inline distT="0" distB="0" distL="0" distR="0" wp14:anchorId="4C23B2A9" wp14:editId="1089CBFF">
            <wp:extent cx="6096635" cy="3432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6096635" cy="3432175"/>
                    </a:xfrm>
                    <a:prstGeom prst="rect">
                      <a:avLst/>
                    </a:prstGeom>
                    <a:noFill/>
                  </pic:spPr>
                </pic:pic>
              </a:graphicData>
            </a:graphic>
          </wp:inline>
        </w:drawing>
      </w:r>
    </w:p>
    <w:p w14:paraId="60F01BE2" w14:textId="77777777" w:rsidR="00004327" w:rsidRPr="004C10DF" w:rsidRDefault="00004327" w:rsidP="00253475">
      <w:pPr>
        <w:shd w:val="clear" w:color="auto" w:fill="FFFFFF"/>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t>The plan mainly emphasises on building connections among the older adults who are socially isolated using adaptable strategies. Some of the major techniques include organising continuous social events or group activities for encouraging interactions. This also consists of building community-based mentorship activities to promote lifelong learning and using local volunteers in getting personalised assistance</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401225321"/>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oha23 \l 1033 </w:instrText>
          </w:r>
          <w:r>
            <w:rPr>
              <w:rFonts w:eastAsia="Times New Roman" w:cs="Times New Roman"/>
              <w:color w:val="000000"/>
              <w:szCs w:val="24"/>
              <w:lang w:val="en-IN" w:eastAsia="en-IN"/>
            </w:rPr>
            <w:fldChar w:fldCharType="separate"/>
          </w:r>
          <w:r w:rsidRPr="004C10DF">
            <w:rPr>
              <w:rFonts w:eastAsia="Times New Roman" w:cs="Times New Roman"/>
              <w:noProof/>
              <w:color w:val="000000"/>
              <w:szCs w:val="24"/>
              <w:lang w:val="en-US" w:eastAsia="en-IN"/>
            </w:rPr>
            <w:t>(ohanahc, 2023)</w:t>
          </w:r>
          <w:r>
            <w:rPr>
              <w:rFonts w:eastAsia="Times New Roman" w:cs="Times New Roman"/>
              <w:color w:val="000000"/>
              <w:szCs w:val="24"/>
              <w:lang w:val="en-IN" w:eastAsia="en-IN"/>
            </w:rPr>
            <w:fldChar w:fldCharType="end"/>
          </w:r>
        </w:sdtContent>
      </w:sdt>
      <w:r w:rsidRPr="004C10DF">
        <w:rPr>
          <w:rFonts w:eastAsia="Times New Roman" w:cs="Times New Roman"/>
          <w:color w:val="000000"/>
          <w:szCs w:val="24"/>
          <w:lang w:val="en-IN" w:eastAsia="en-IN"/>
        </w:rPr>
        <w:t>. Further, partnering with any local firms will bring accessible venues as well as resources whereas the digital platforms would be enhanced to connect those who cannot attend personally. Hence, regular feedback would make sure the program stays responsive to battle loneliness within older adults. </w:t>
      </w:r>
    </w:p>
    <w:p w14:paraId="766AA7AE" w14:textId="77777777" w:rsidR="00004327" w:rsidRPr="00EF1E16" w:rsidRDefault="00004327" w:rsidP="00EF1E16">
      <w:pPr>
        <w:rPr>
          <w:b/>
          <w:bCs/>
          <w:i/>
          <w:iCs/>
        </w:rPr>
      </w:pPr>
      <w:r w:rsidRPr="00EF1E16">
        <w:rPr>
          <w:b/>
          <w:bCs/>
          <w:i/>
          <w:iCs/>
        </w:rPr>
        <w:t>Potential Collaboration </w:t>
      </w:r>
    </w:p>
    <w:p w14:paraId="74AFC4B4" w14:textId="77777777" w:rsidR="00004327" w:rsidRPr="00841AEC" w:rsidRDefault="00004327" w:rsidP="00253475">
      <w:pPr>
        <w:spacing w:line="360" w:lineRule="auto"/>
        <w:rPr>
          <w:lang w:eastAsia="en-IN"/>
        </w:rPr>
      </w:pPr>
      <w:r>
        <w:rPr>
          <w:noProof/>
          <w:lang w:eastAsia="en-IN"/>
        </w:rPr>
        <w:lastRenderedPageBreak/>
        <w:drawing>
          <wp:inline distT="0" distB="0" distL="0" distR="0" wp14:anchorId="1163BDDF" wp14:editId="3A77CB62">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161A2F65" w14:textId="77777777" w:rsidR="00004327" w:rsidRPr="004C10DF" w:rsidRDefault="00004327" w:rsidP="00253475">
      <w:pPr>
        <w:shd w:val="clear" w:color="auto" w:fill="FFFFFF"/>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t>Some of the potential collaborations consist of partnering with local senior centres, social services followed by healthcare providers to find and connect with the older adults. Similarly, collaborating with educational institutions can also bring in learners to foster intergenerational learning or volunteer opportunities. Events may be sponsored by local businesses through in-kind donations whereas faith-based firms can provide venues and more outreach. Finally, partnering with local agencies run by the government can assist in funding and align the program with wider community initiatives to ensure effective approach for community engagement. </w:t>
      </w:r>
    </w:p>
    <w:p w14:paraId="0598EEDE" w14:textId="77777777" w:rsidR="00004327" w:rsidRPr="00EF1E16" w:rsidRDefault="00004327" w:rsidP="00EF1E16">
      <w:pPr>
        <w:rPr>
          <w:b/>
          <w:bCs/>
          <w:i/>
          <w:iCs/>
        </w:rPr>
      </w:pPr>
      <w:r w:rsidRPr="00EF1E16">
        <w:rPr>
          <w:b/>
          <w:bCs/>
          <w:i/>
          <w:iCs/>
        </w:rPr>
        <w:t>Implementation Plan</w:t>
      </w:r>
    </w:p>
    <w:p w14:paraId="57105E77" w14:textId="77777777" w:rsidR="00004327" w:rsidRPr="00841AEC" w:rsidRDefault="00004327" w:rsidP="00253475">
      <w:pPr>
        <w:spacing w:line="360" w:lineRule="auto"/>
        <w:rPr>
          <w:lang w:eastAsia="en-IN"/>
        </w:rPr>
      </w:pPr>
      <w:r>
        <w:rPr>
          <w:noProof/>
          <w:lang w:eastAsia="en-IN"/>
        </w:rPr>
        <w:lastRenderedPageBreak/>
        <w:drawing>
          <wp:inline distT="0" distB="0" distL="0" distR="0" wp14:anchorId="20C2515C" wp14:editId="39378548">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2A04CE54" w14:textId="43E5B009" w:rsidR="00004327" w:rsidRPr="004C10DF" w:rsidRDefault="00004327" w:rsidP="00253475">
      <w:pPr>
        <w:shd w:val="clear" w:color="auto" w:fill="FFFFFF"/>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t>The plan will be implemented in such a way that every activity stays accessible to older adults coming from any background. These programs will be conducted in many locations such as accessible venues by offering transportation services. The activities will also serve various cultural, religious and linguistic needs surrounded by multilingual assistance and relevant events. Moreover, collaborations with community-based companies will make sure the outreach connects with marginalised groups as well</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765153596"/>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cre231 \l 1033 </w:instrText>
          </w:r>
          <w:r>
            <w:rPr>
              <w:rFonts w:eastAsia="Times New Roman" w:cs="Times New Roman"/>
              <w:color w:val="000000"/>
              <w:szCs w:val="24"/>
              <w:lang w:val="en-IN" w:eastAsia="en-IN"/>
            </w:rPr>
            <w:fldChar w:fldCharType="separate"/>
          </w:r>
          <w:r w:rsidRPr="004C10DF">
            <w:rPr>
              <w:rFonts w:eastAsia="Times New Roman" w:cs="Times New Roman"/>
              <w:noProof/>
              <w:color w:val="000000"/>
              <w:szCs w:val="24"/>
              <w:lang w:val="en-US" w:eastAsia="en-IN"/>
            </w:rPr>
            <w:t>(credolab, 2023)</w:t>
          </w:r>
          <w:r>
            <w:rPr>
              <w:rFonts w:eastAsia="Times New Roman" w:cs="Times New Roman"/>
              <w:color w:val="000000"/>
              <w:szCs w:val="24"/>
              <w:lang w:val="en-IN" w:eastAsia="en-IN"/>
            </w:rPr>
            <w:fldChar w:fldCharType="end"/>
          </w:r>
        </w:sdtContent>
      </w:sdt>
      <w:r w:rsidRPr="004C10DF">
        <w:rPr>
          <w:rFonts w:eastAsia="Times New Roman" w:cs="Times New Roman"/>
          <w:color w:val="000000"/>
          <w:szCs w:val="24"/>
          <w:lang w:val="en-IN" w:eastAsia="en-IN"/>
        </w:rPr>
        <w:t>. After the event, feedback will be taken to guide the adjustments and ensure the program stays responsive to all needs. All of these processes would also be done through digital platforms including the ones who are homebound and prefer virtual engagement. </w:t>
      </w:r>
    </w:p>
    <w:p w14:paraId="7141188C" w14:textId="77777777" w:rsidR="00253475" w:rsidRDefault="00253475" w:rsidP="00253475">
      <w:pPr>
        <w:spacing w:line="360" w:lineRule="auto"/>
        <w:rPr>
          <w:b/>
          <w:bCs/>
          <w:i/>
          <w:iCs/>
        </w:rPr>
      </w:pPr>
      <w:r w:rsidRPr="00880938">
        <w:rPr>
          <w:b/>
          <w:bCs/>
          <w:i/>
          <w:iCs/>
        </w:rPr>
        <w:t>Conclusion </w:t>
      </w:r>
    </w:p>
    <w:p w14:paraId="1619942C" w14:textId="25850EA0" w:rsidR="00EF1E16" w:rsidRPr="00880938" w:rsidRDefault="00EF1E16" w:rsidP="00253475">
      <w:pPr>
        <w:spacing w:line="360" w:lineRule="auto"/>
        <w:rPr>
          <w:b/>
          <w:bCs/>
          <w:i/>
          <w:iCs/>
        </w:rPr>
      </w:pPr>
      <w:r w:rsidRPr="00EF1E16">
        <w:rPr>
          <w:b/>
          <w:bCs/>
          <w:i/>
          <w:iCs/>
          <w:noProof/>
        </w:rPr>
        <w:lastRenderedPageBreak/>
        <w:drawing>
          <wp:inline distT="0" distB="0" distL="0" distR="0" wp14:anchorId="7C8EE9BC" wp14:editId="507F3B0D">
            <wp:extent cx="5943600" cy="2945130"/>
            <wp:effectExtent l="0" t="0" r="0" b="7620"/>
            <wp:docPr id="293138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138471" name=""/>
                    <pic:cNvPicPr/>
                  </pic:nvPicPr>
                  <pic:blipFill>
                    <a:blip r:embed="rId16" cstate="email">
                      <a:extLst>
                        <a:ext uri="{28A0092B-C50C-407E-A947-70E740481C1C}">
                          <a14:useLocalDpi xmlns:a14="http://schemas.microsoft.com/office/drawing/2010/main"/>
                        </a:ext>
                      </a:extLst>
                    </a:blip>
                    <a:stretch>
                      <a:fillRect/>
                    </a:stretch>
                  </pic:blipFill>
                  <pic:spPr>
                    <a:xfrm>
                      <a:off x="0" y="0"/>
                      <a:ext cx="5943600" cy="2945130"/>
                    </a:xfrm>
                    <a:prstGeom prst="rect">
                      <a:avLst/>
                    </a:prstGeom>
                  </pic:spPr>
                </pic:pic>
              </a:graphicData>
            </a:graphic>
          </wp:inline>
        </w:drawing>
      </w:r>
    </w:p>
    <w:p w14:paraId="695797B6" w14:textId="77777777" w:rsidR="00253475" w:rsidRPr="00D051F3" w:rsidRDefault="00253475" w:rsidP="00253475">
      <w:pPr>
        <w:spacing w:line="360" w:lineRule="auto"/>
      </w:pPr>
      <w:r w:rsidRPr="00D051F3">
        <w:t xml:space="preserve">The aforementioned context has discussed the older adult who is generally isolated from the community. Moreover, the goal and objectives have been delivered which are designed to drive them in the flow of life. The principles that necessarily need to be followed in the community engagement programs have been discussed here. The strategies of potential collaboration </w:t>
      </w:r>
      <w:r>
        <w:t>have been</w:t>
      </w:r>
      <w:r w:rsidRPr="00D051F3">
        <w:t xml:space="preserve"> mentioned in this section along with </w:t>
      </w:r>
      <w:r>
        <w:t xml:space="preserve">the </w:t>
      </w:r>
      <w:r w:rsidRPr="00D051F3">
        <w:t>implementation plan. </w:t>
      </w:r>
    </w:p>
    <w:p w14:paraId="156C30DA" w14:textId="77777777" w:rsidR="00004327" w:rsidRDefault="00004327" w:rsidP="00253475">
      <w:pPr>
        <w:spacing w:after="160" w:line="360" w:lineRule="auto"/>
        <w:jc w:val="left"/>
        <w:rPr>
          <w:rFonts w:eastAsia="Times New Roman" w:cs="Times New Roman"/>
          <w:b/>
          <w:bCs/>
          <w:color w:val="000000"/>
          <w:szCs w:val="24"/>
          <w:lang w:val="en-IN" w:eastAsia="en-IN"/>
        </w:rPr>
      </w:pPr>
      <w:r>
        <w:rPr>
          <w:rFonts w:eastAsia="Times New Roman" w:cs="Times New Roman"/>
          <w:b/>
          <w:bCs/>
          <w:color w:val="000000"/>
          <w:szCs w:val="24"/>
          <w:lang w:val="en-IN" w:eastAsia="en-IN"/>
        </w:rPr>
        <w:br w:type="page"/>
      </w:r>
    </w:p>
    <w:p w14:paraId="729AE7D8" w14:textId="0596D56C" w:rsidR="00004327" w:rsidRPr="004C10DF" w:rsidRDefault="00004327" w:rsidP="00253475">
      <w:pPr>
        <w:pStyle w:val="Heading1"/>
        <w:spacing w:line="360" w:lineRule="auto"/>
        <w:rPr>
          <w:rFonts w:eastAsia="Times New Roman"/>
          <w:lang w:val="en-IN" w:eastAsia="en-IN"/>
        </w:rPr>
      </w:pPr>
      <w:bookmarkStart w:id="3" w:name="_Toc175760219"/>
      <w:r w:rsidRPr="004C10DF">
        <w:rPr>
          <w:rFonts w:eastAsia="Times New Roman"/>
          <w:lang w:val="en-IN" w:eastAsia="en-IN"/>
        </w:rPr>
        <w:lastRenderedPageBreak/>
        <w:t>Element 4</w:t>
      </w:r>
      <w:r w:rsidR="00EF1E16">
        <w:rPr>
          <w:rFonts w:eastAsia="Times New Roman"/>
          <w:lang w:val="en-IN" w:eastAsia="en-IN"/>
        </w:rPr>
        <w:t>:</w:t>
      </w:r>
      <w:r w:rsidRPr="004C10DF">
        <w:rPr>
          <w:rFonts w:eastAsia="Times New Roman"/>
          <w:lang w:val="en-IN" w:eastAsia="en-IN"/>
        </w:rPr>
        <w:t xml:space="preserve"> Practical Discussion</w:t>
      </w:r>
      <w:bookmarkEnd w:id="3"/>
    </w:p>
    <w:p w14:paraId="3BBD42B4" w14:textId="77777777" w:rsidR="00004327" w:rsidRPr="00EF1E16" w:rsidRDefault="00004327" w:rsidP="00EF1E16">
      <w:pPr>
        <w:rPr>
          <w:b/>
          <w:bCs/>
          <w:i/>
          <w:iCs/>
          <w:u w:val="single"/>
        </w:rPr>
      </w:pPr>
      <w:r w:rsidRPr="00EF1E16">
        <w:rPr>
          <w:b/>
          <w:bCs/>
          <w:i/>
          <w:iCs/>
          <w:u w:val="single"/>
        </w:rPr>
        <w:t>Enhancing program relevance and effectiveness</w:t>
      </w:r>
    </w:p>
    <w:p w14:paraId="66B4C955"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t>The primary benefit of actively engaging the stakeholders within community engagement is its capability to improve its relevance and effectiveness. These stakeholders bring new perspectives and information regarding the needs and issues that the community faces. Through their involvement during planning and incorporation stages, community programs become likely to resolve the main problems which matter most for the community. For instance, regarding the community initiative to enhance access to healthcare services for any marginalised populations, the stakeholders stay actively engaged right from the beginning. They are mostly local health clinics, community leaders along with social workers. Their compliance is very valuable to find barriers towards healthcare access like language, less transportation and distrust of medical institutions. Therefore, the program was capable of incorporating targeted methods like mobile health clinics, multilingual outreach materials along with culturally sensitive care practices. </w:t>
      </w:r>
    </w:p>
    <w:p w14:paraId="409CA8D5"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b/>
          <w:bCs/>
          <w:i/>
          <w:iCs/>
          <w:color w:val="000000"/>
          <w:szCs w:val="24"/>
          <w:lang w:val="en-IN" w:eastAsia="en-IN"/>
        </w:rPr>
        <w:t>Building trust and strengthening relationships</w:t>
      </w:r>
    </w:p>
    <w:p w14:paraId="5505BCE2"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t>Bringing active engagement among stakeholders for community engagement efforts is vital to foster trust and build relationships in the community. Whenever they are involved in decision-making, they bring a sense of ownership and responsibility for the results. Such ownership brings trust among stakeholders and businesses which lead the initiatives. As for personal experience, by being a volunteer, active engagement with the local residents and business owners has been key to the project success. This project mainly aimed to change a neglected area into a vibrant community space while involving all relevant stakeholders. Through this way, the project team was able to resolve concerns, collect input and acquire support. Similarly, regular meetings and transparent communication has assisted to build trust among the stakeholders which led to better relationships and a cohesive community. Therefore, the trust that was established for this project built the way for more collaborations with other community initiatives to strengthen the overall bonds in the community</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288815007"/>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Lau21 \l 1033 </w:instrText>
          </w:r>
          <w:r>
            <w:rPr>
              <w:rFonts w:eastAsia="Times New Roman" w:cs="Times New Roman"/>
              <w:color w:val="000000"/>
              <w:szCs w:val="24"/>
              <w:lang w:val="en-IN" w:eastAsia="en-IN"/>
            </w:rPr>
            <w:fldChar w:fldCharType="separate"/>
          </w:r>
          <w:r w:rsidRPr="004C10DF">
            <w:rPr>
              <w:rFonts w:eastAsia="Times New Roman" w:cs="Times New Roman"/>
              <w:noProof/>
              <w:color w:val="000000"/>
              <w:szCs w:val="24"/>
              <w:lang w:val="en-US" w:eastAsia="en-IN"/>
            </w:rPr>
            <w:t>(Trappett, 2021)</w:t>
          </w:r>
          <w:r>
            <w:rPr>
              <w:rFonts w:eastAsia="Times New Roman" w:cs="Times New Roman"/>
              <w:color w:val="000000"/>
              <w:szCs w:val="24"/>
              <w:lang w:val="en-IN" w:eastAsia="en-IN"/>
            </w:rPr>
            <w:fldChar w:fldCharType="end"/>
          </w:r>
        </w:sdtContent>
      </w:sdt>
      <w:r w:rsidRPr="004C10DF">
        <w:rPr>
          <w:rFonts w:eastAsia="Times New Roman" w:cs="Times New Roman"/>
          <w:color w:val="000000"/>
          <w:szCs w:val="24"/>
          <w:lang w:val="en-IN" w:eastAsia="en-IN"/>
        </w:rPr>
        <w:t>.</w:t>
      </w:r>
    </w:p>
    <w:p w14:paraId="582C0B35"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b/>
          <w:bCs/>
          <w:i/>
          <w:iCs/>
          <w:color w:val="000000"/>
          <w:szCs w:val="24"/>
          <w:lang w:val="en-IN" w:eastAsia="en-IN"/>
        </w:rPr>
        <w:t>Promoting diversity and inclusivity</w:t>
      </w:r>
    </w:p>
    <w:p w14:paraId="2CB6D9AE"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t xml:space="preserve">Engaging a broad range of stakeholders makes sure the community program stays inclusive and reflective towards its demographics. Inclusivity in this engagement means that every opinion and voices from all segments are heard and considered. This also includes the ones which are </w:t>
      </w:r>
      <w:r w:rsidRPr="004C10DF">
        <w:rPr>
          <w:rFonts w:eastAsia="Times New Roman" w:cs="Times New Roman"/>
          <w:color w:val="000000"/>
          <w:szCs w:val="24"/>
          <w:lang w:val="en-IN" w:eastAsia="en-IN"/>
        </w:rPr>
        <w:lastRenderedPageBreak/>
        <w:t>marginalised and under-represented groups. Therefore, this method helps in tackling the particular needs of these groups while enriching the whole community by implementing a broad range of perspectives and ideas. For instance, in a community development program which is focused on economic empowerment, higher engagement with the stakeholders from various socio-economic backgrounds is crucial. After involving low-income residents and local advocacy groups, the program was able to find and tackle systematic barriers to bring economic opportunity. As a result, financial literacy workshops were implemented while offering microloans to smaller firms and introducing new job training programs for underserved populations. Through this way the program stayed accessible and advantageous to every community member instead of those having existing resources and connections</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831290497"/>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öre23 \l 1033 </w:instrText>
          </w:r>
          <w:r>
            <w:rPr>
              <w:rFonts w:eastAsia="Times New Roman" w:cs="Times New Roman"/>
              <w:color w:val="000000"/>
              <w:szCs w:val="24"/>
              <w:lang w:val="en-IN" w:eastAsia="en-IN"/>
            </w:rPr>
            <w:fldChar w:fldCharType="separate"/>
          </w:r>
          <w:r w:rsidRPr="004C10DF">
            <w:rPr>
              <w:rFonts w:eastAsia="Times New Roman" w:cs="Times New Roman"/>
              <w:noProof/>
              <w:color w:val="000000"/>
              <w:szCs w:val="24"/>
              <w:lang w:val="en-US" w:eastAsia="en-IN"/>
            </w:rPr>
            <w:t>(Fillet, 2023)</w:t>
          </w:r>
          <w:r>
            <w:rPr>
              <w:rFonts w:eastAsia="Times New Roman" w:cs="Times New Roman"/>
              <w:color w:val="000000"/>
              <w:szCs w:val="24"/>
              <w:lang w:val="en-IN" w:eastAsia="en-IN"/>
            </w:rPr>
            <w:fldChar w:fldCharType="end"/>
          </w:r>
        </w:sdtContent>
      </w:sdt>
      <w:r w:rsidRPr="004C10DF">
        <w:rPr>
          <w:rFonts w:eastAsia="Times New Roman" w:cs="Times New Roman"/>
          <w:color w:val="000000"/>
          <w:szCs w:val="24"/>
          <w:lang w:val="en-IN" w:eastAsia="en-IN"/>
        </w:rPr>
        <w:t>. </w:t>
      </w:r>
    </w:p>
    <w:p w14:paraId="7DC9B17D" w14:textId="77777777" w:rsidR="00004327" w:rsidRPr="00EF1E16" w:rsidRDefault="00004327" w:rsidP="00EF1E16">
      <w:pPr>
        <w:rPr>
          <w:b/>
          <w:bCs/>
          <w:i/>
          <w:iCs/>
          <w:u w:val="single"/>
        </w:rPr>
      </w:pPr>
      <w:r w:rsidRPr="00EF1E16">
        <w:rPr>
          <w:b/>
          <w:bCs/>
          <w:i/>
          <w:iCs/>
          <w:u w:val="single"/>
        </w:rPr>
        <w:t>Improving personal experiences in community engagement</w:t>
      </w:r>
    </w:p>
    <w:p w14:paraId="3DAAFAFA"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t>Personal experience being a community member also shows various benefits of stakeholder engagement. Staying involved in different community initiatives has demonstrated the power of collective input and significance of making sure that every opinion is heard. For example, taking part in local campaigns to enhance public transportation has shown the importance of engaging a broad range of stakeholders. This includes daily commuters, local businesses, transportation authorities and many more. Using regular meetings and open forums, this campaign has been able to tackle concerns, offer solutions and acquire its goals. Moreover, the active engagement of the stakeholders has also resulted in enhanced services, improved satisfaction among community members, and a rigid sense of community ownership for the transportation system. Another personal experience includes organising a cultural festival, which is focused to celebrate the diversity of the community. After actively involving the representatives from various cultural groups, this festival was successful to demonstrate various traditions, food and performances. Such an activity built a sense of unity as well as pride within the community. Therefore, the success of this festival was mainly due to the proper engagement of stakeholders during the planning process, making sure the event stayed inclusive by reflecting the rich culture of the community</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398510406"/>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Nat24 \l 1033 </w:instrText>
          </w:r>
          <w:r>
            <w:rPr>
              <w:rFonts w:eastAsia="Times New Roman" w:cs="Times New Roman"/>
              <w:color w:val="000000"/>
              <w:szCs w:val="24"/>
              <w:lang w:val="en-IN" w:eastAsia="en-IN"/>
            </w:rPr>
            <w:fldChar w:fldCharType="separate"/>
          </w:r>
          <w:r w:rsidRPr="004C10DF">
            <w:rPr>
              <w:rFonts w:eastAsia="Times New Roman" w:cs="Times New Roman"/>
              <w:noProof/>
              <w:color w:val="000000"/>
              <w:szCs w:val="24"/>
              <w:lang w:val="en-US" w:eastAsia="en-IN"/>
            </w:rPr>
            <w:t>(Martell, 2024)</w:t>
          </w:r>
          <w:r>
            <w:rPr>
              <w:rFonts w:eastAsia="Times New Roman" w:cs="Times New Roman"/>
              <w:color w:val="000000"/>
              <w:szCs w:val="24"/>
              <w:lang w:val="en-IN" w:eastAsia="en-IN"/>
            </w:rPr>
            <w:fldChar w:fldCharType="end"/>
          </w:r>
        </w:sdtContent>
      </w:sdt>
      <w:r w:rsidRPr="004C10DF">
        <w:rPr>
          <w:rFonts w:eastAsia="Times New Roman" w:cs="Times New Roman"/>
          <w:color w:val="000000"/>
          <w:szCs w:val="24"/>
          <w:lang w:val="en-IN" w:eastAsia="en-IN"/>
        </w:rPr>
        <w:t>.</w:t>
      </w:r>
    </w:p>
    <w:p w14:paraId="636B1851" w14:textId="77777777" w:rsidR="00004327" w:rsidRPr="00EF1E16" w:rsidRDefault="00004327" w:rsidP="00EF1E16">
      <w:pPr>
        <w:rPr>
          <w:b/>
          <w:bCs/>
          <w:i/>
          <w:iCs/>
          <w:u w:val="single"/>
        </w:rPr>
      </w:pPr>
      <w:r w:rsidRPr="00EF1E16">
        <w:rPr>
          <w:b/>
          <w:bCs/>
          <w:i/>
          <w:iCs/>
          <w:u w:val="single"/>
        </w:rPr>
        <w:t>Mitigating challenges in stakeholder engagement</w:t>
      </w:r>
    </w:p>
    <w:p w14:paraId="1E90D0EA"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b/>
          <w:bCs/>
          <w:i/>
          <w:iCs/>
          <w:color w:val="000000"/>
          <w:szCs w:val="24"/>
          <w:lang w:val="en-IN" w:eastAsia="en-IN"/>
        </w:rPr>
        <w:t>Building long-term community engagement</w:t>
      </w:r>
    </w:p>
    <w:p w14:paraId="34AB73A8"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color w:val="000000"/>
          <w:szCs w:val="24"/>
          <w:lang w:val="en-IN" w:eastAsia="en-IN"/>
        </w:rPr>
        <w:lastRenderedPageBreak/>
        <w:t>Effective engagement with the stakeholders is very important for long-term success and bringing impact on the community programs. Any short-term involvement might result in immediate results, whereas continuous engagement makes sure the community stays responsive to shifting needs or challenges with time. A personal example of this comes from a community health initiative which was focused on enhancing mental health services. Initially, the stakeholders were taking part to find the gaps in services and build a pilot program. Even then, the continued involvement of stakeholders, which includes mental health professionals and community members, was key to the long-term success of the program. Similarly, regular check-ins, continuous feedback, and adjustments depending on stakeholder input has also allowed the program to grow and expand, which became a model for any other communities. Through this sustained engagement, the importance of understanding stakeholder involvement was understood by being an ongoing process instead of a one-time event</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354622608"/>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gra232 \l 1033 </w:instrText>
          </w:r>
          <w:r>
            <w:rPr>
              <w:rFonts w:eastAsia="Times New Roman" w:cs="Times New Roman"/>
              <w:color w:val="000000"/>
              <w:szCs w:val="24"/>
              <w:lang w:val="en-IN" w:eastAsia="en-IN"/>
            </w:rPr>
            <w:fldChar w:fldCharType="separate"/>
          </w:r>
          <w:r w:rsidRPr="004C10DF">
            <w:rPr>
              <w:rFonts w:eastAsia="Times New Roman" w:cs="Times New Roman"/>
              <w:noProof/>
              <w:color w:val="000000"/>
              <w:szCs w:val="24"/>
              <w:lang w:val="en-US" w:eastAsia="en-IN"/>
            </w:rPr>
            <w:t>(granicus, 2023)</w:t>
          </w:r>
          <w:r>
            <w:rPr>
              <w:rFonts w:eastAsia="Times New Roman" w:cs="Times New Roman"/>
              <w:color w:val="000000"/>
              <w:szCs w:val="24"/>
              <w:lang w:val="en-IN" w:eastAsia="en-IN"/>
            </w:rPr>
            <w:fldChar w:fldCharType="end"/>
          </w:r>
        </w:sdtContent>
      </w:sdt>
      <w:r w:rsidRPr="004C10DF">
        <w:rPr>
          <w:rFonts w:eastAsia="Times New Roman" w:cs="Times New Roman"/>
          <w:color w:val="000000"/>
          <w:szCs w:val="24"/>
          <w:lang w:val="en-IN" w:eastAsia="en-IN"/>
        </w:rPr>
        <w:t>.</w:t>
      </w:r>
    </w:p>
    <w:p w14:paraId="3080B4EC" w14:textId="77777777" w:rsidR="00004327" w:rsidRPr="004C10DF" w:rsidRDefault="00004327" w:rsidP="00253475">
      <w:pPr>
        <w:spacing w:line="360" w:lineRule="auto"/>
        <w:rPr>
          <w:rFonts w:eastAsia="Times New Roman" w:cs="Times New Roman"/>
          <w:szCs w:val="24"/>
          <w:lang w:val="en-IN" w:eastAsia="en-IN"/>
        </w:rPr>
      </w:pPr>
      <w:r w:rsidRPr="004C10DF">
        <w:rPr>
          <w:rFonts w:eastAsia="Times New Roman" w:cs="Times New Roman"/>
          <w:b/>
          <w:bCs/>
          <w:i/>
          <w:iCs/>
          <w:color w:val="000000"/>
          <w:szCs w:val="24"/>
          <w:lang w:val="en-IN" w:eastAsia="en-IN"/>
        </w:rPr>
        <w:t>Fostering capacity and empowering community members</w:t>
      </w:r>
    </w:p>
    <w:p w14:paraId="54A980C0" w14:textId="77777777" w:rsidR="00004327" w:rsidRDefault="00004327" w:rsidP="00253475">
      <w:pPr>
        <w:spacing w:line="360" w:lineRule="auto"/>
        <w:rPr>
          <w:rFonts w:eastAsia="Times New Roman" w:cs="Times New Roman"/>
          <w:color w:val="000000"/>
          <w:szCs w:val="24"/>
          <w:lang w:val="en-IN" w:eastAsia="en-IN"/>
        </w:rPr>
      </w:pPr>
      <w:r w:rsidRPr="004C10DF">
        <w:rPr>
          <w:rFonts w:eastAsia="Times New Roman" w:cs="Times New Roman"/>
          <w:color w:val="000000"/>
          <w:szCs w:val="24"/>
          <w:lang w:val="en-IN" w:eastAsia="en-IN"/>
        </w:rPr>
        <w:t>Engaging the stakeholders in various community programs also assists in building capacity and empowering the community members. Whenever the stakeholders stay actively involved, they acquire skills, knowledge and confidence which helps them to take on different leadership roles and make significant contributions to the community. When it comes to a personal experience with a youth mentoring program, taking part with young people as stakeholders for the program's design and employment was a strong way to build their capacity. After involving them in different decision-making, this program has helped to meet their needs in a proper way while empowering them to take various ownership of their initiative. Over a long time, many of the young participants continue to become mentors themselves by leading new projects and inspiring many more in their community. All of this experience has shown the significance of engaging stakeholders not only as participants but also as active contributors or leaders</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581825537"/>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fas231 \l 1033 </w:instrText>
          </w:r>
          <w:r>
            <w:rPr>
              <w:rFonts w:eastAsia="Times New Roman" w:cs="Times New Roman"/>
              <w:color w:val="000000"/>
              <w:szCs w:val="24"/>
              <w:lang w:val="en-IN" w:eastAsia="en-IN"/>
            </w:rPr>
            <w:fldChar w:fldCharType="separate"/>
          </w:r>
          <w:r w:rsidRPr="004C10DF">
            <w:rPr>
              <w:rFonts w:eastAsia="Times New Roman" w:cs="Times New Roman"/>
              <w:noProof/>
              <w:color w:val="000000"/>
              <w:szCs w:val="24"/>
              <w:lang w:val="en-US" w:eastAsia="en-IN"/>
            </w:rPr>
            <w:t>(fastercapital, 2023)</w:t>
          </w:r>
          <w:r>
            <w:rPr>
              <w:rFonts w:eastAsia="Times New Roman" w:cs="Times New Roman"/>
              <w:color w:val="000000"/>
              <w:szCs w:val="24"/>
              <w:lang w:val="en-IN" w:eastAsia="en-IN"/>
            </w:rPr>
            <w:fldChar w:fldCharType="end"/>
          </w:r>
        </w:sdtContent>
      </w:sdt>
      <w:r w:rsidRPr="004C10DF">
        <w:rPr>
          <w:rFonts w:eastAsia="Times New Roman" w:cs="Times New Roman"/>
          <w:color w:val="000000"/>
          <w:szCs w:val="24"/>
          <w:lang w:val="en-IN" w:eastAsia="en-IN"/>
        </w:rPr>
        <w:t>.</w:t>
      </w:r>
    </w:p>
    <w:p w14:paraId="715F119A" w14:textId="0DB0A58D" w:rsidR="0036095D" w:rsidRPr="00004327" w:rsidRDefault="0036095D" w:rsidP="00253475">
      <w:pPr>
        <w:spacing w:after="160" w:line="360" w:lineRule="auto"/>
        <w:jc w:val="left"/>
        <w:rPr>
          <w:rFonts w:eastAsia="Times New Roman" w:cs="Times New Roman"/>
          <w:color w:val="000000"/>
          <w:szCs w:val="24"/>
          <w:lang w:val="en-IN" w:eastAsia="en-IN"/>
        </w:rPr>
      </w:pPr>
      <w:r>
        <w:rPr>
          <w:lang w:val="en-US"/>
        </w:rPr>
        <w:br w:type="page"/>
      </w:r>
    </w:p>
    <w:p w14:paraId="4D3624FB" w14:textId="5FF1AE97" w:rsidR="00746AB8" w:rsidRDefault="0036095D" w:rsidP="00253475">
      <w:pPr>
        <w:pStyle w:val="Heading1"/>
        <w:spacing w:line="360" w:lineRule="auto"/>
      </w:pPr>
      <w:bookmarkStart w:id="4" w:name="_Toc175760220"/>
      <w:r>
        <w:lastRenderedPageBreak/>
        <w:t>References</w:t>
      </w:r>
      <w:bookmarkEnd w:id="4"/>
    </w:p>
    <w:p w14:paraId="6F9C187A" w14:textId="77777777" w:rsidR="00EF1E16" w:rsidRPr="00880938" w:rsidRDefault="00EF1E16" w:rsidP="00EF1E16">
      <w:pPr>
        <w:pStyle w:val="Bibliography"/>
        <w:spacing w:line="360" w:lineRule="auto"/>
        <w:rPr>
          <w:noProof/>
          <w:szCs w:val="24"/>
        </w:rPr>
      </w:pPr>
      <w:r w:rsidRPr="00880938">
        <w:rPr>
          <w:noProof/>
        </w:rPr>
        <w:t xml:space="preserve">Avenue, N., (2023). </w:t>
      </w:r>
      <w:r w:rsidRPr="00880938">
        <w:rPr>
          <w:i/>
          <w:iCs/>
          <w:noProof/>
        </w:rPr>
        <w:t xml:space="preserve">The Blessings And Challenges Of Caring For Older Family Members. </w:t>
      </w:r>
      <w:r w:rsidRPr="00880938">
        <w:rPr>
          <w:noProof/>
        </w:rPr>
        <w:t>[Online] Available at: https://www.forbes.com/sites/nextavenue/2017/02/16/the-blessings-and-challenges-of-caring-for-older-family-members/[Accessed 27 August 2024].</w:t>
      </w:r>
    </w:p>
    <w:p w14:paraId="5264059E" w14:textId="77777777" w:rsidR="00EF1E16" w:rsidRDefault="00EF1E16" w:rsidP="00EF1E16">
      <w:pPr>
        <w:spacing w:line="360" w:lineRule="auto"/>
      </w:pPr>
      <w:proofErr w:type="spellStart"/>
      <w:r>
        <w:t>credolab</w:t>
      </w:r>
      <w:proofErr w:type="spellEnd"/>
      <w:r>
        <w:t xml:space="preserve">, (2023). </w:t>
      </w:r>
      <w:r w:rsidRPr="00EF1E16">
        <w:rPr>
          <w:i/>
          <w:iCs/>
        </w:rPr>
        <w:t>How To Empower Marginalised Communities: 3 Key Strategies To Expand Financial Inclusion.</w:t>
      </w:r>
      <w:r>
        <w:t xml:space="preserve"> [Online]Available at: https://www.credolab.com/blog/how-to-empower-marginalised-communities-3-key-strategies-to-expand-financial-inclusion [Accessed 25 August 2024].</w:t>
      </w:r>
    </w:p>
    <w:p w14:paraId="62385DA1" w14:textId="77777777" w:rsidR="00EF1E16" w:rsidRDefault="00EF1E16" w:rsidP="00EF1E16">
      <w:pPr>
        <w:spacing w:line="360" w:lineRule="auto"/>
      </w:pPr>
      <w:proofErr w:type="spellStart"/>
      <w:r>
        <w:t>fastercapital</w:t>
      </w:r>
      <w:proofErr w:type="spellEnd"/>
      <w:r>
        <w:t xml:space="preserve">, (2023). </w:t>
      </w:r>
      <w:r w:rsidRPr="00EF1E16">
        <w:rPr>
          <w:i/>
          <w:iCs/>
        </w:rPr>
        <w:t>The Importance Of Community Empowerment</w:t>
      </w:r>
      <w:r>
        <w:t>. [Online]Available at: https://fastercapital.com/topics/the-importance-of-community-empowerment.html#:~:text=One%20of%20the%20primary%20reasons,and%20their%20needs%20are%20prioritized [Accessed 27 August 2024].</w:t>
      </w:r>
    </w:p>
    <w:p w14:paraId="276CE486" w14:textId="77777777" w:rsidR="00EF1E16" w:rsidRDefault="00EF1E16" w:rsidP="00EF1E16">
      <w:pPr>
        <w:spacing w:line="360" w:lineRule="auto"/>
      </w:pPr>
      <w:r>
        <w:t xml:space="preserve">Fillet, ö., (2023). </w:t>
      </w:r>
      <w:r w:rsidRPr="00EF1E16">
        <w:rPr>
          <w:i/>
          <w:iCs/>
        </w:rPr>
        <w:t xml:space="preserve">Inclusive community engagement: 10 good practices. </w:t>
      </w:r>
      <w:r>
        <w:t>[Online]Available at: https://www.govocal.com/blog/6-good-practice-examples-for-inclusive-community-engagement-enuk [Accessed 26 August 2024].</w:t>
      </w:r>
    </w:p>
    <w:p w14:paraId="1787A5E6" w14:textId="77777777" w:rsidR="00EF1E16" w:rsidRDefault="00EF1E16" w:rsidP="00EF1E16">
      <w:pPr>
        <w:spacing w:line="360" w:lineRule="auto"/>
        <w:rPr>
          <w:lang w:eastAsia="en-US"/>
        </w:rPr>
      </w:pPr>
      <w:r w:rsidRPr="00A260B6">
        <w:rPr>
          <w:lang w:eastAsia="en-US"/>
        </w:rPr>
        <w:t xml:space="preserve">Freedman, A. and Nicolle, J., </w:t>
      </w:r>
      <w:r>
        <w:rPr>
          <w:lang w:eastAsia="en-US"/>
        </w:rPr>
        <w:t>(</w:t>
      </w:r>
      <w:r w:rsidRPr="00A260B6">
        <w:rPr>
          <w:lang w:eastAsia="en-US"/>
        </w:rPr>
        <w:t>2020</w:t>
      </w:r>
      <w:r>
        <w:rPr>
          <w:lang w:eastAsia="en-US"/>
        </w:rPr>
        <w:t>)</w:t>
      </w:r>
      <w:r w:rsidRPr="00A260B6">
        <w:rPr>
          <w:lang w:eastAsia="en-US"/>
        </w:rPr>
        <w:t>. Social isolation and loneliness: the new geriatric giants: approach for primary care. </w:t>
      </w:r>
      <w:r w:rsidRPr="00EF1E16">
        <w:rPr>
          <w:i/>
          <w:iCs/>
          <w:lang w:eastAsia="en-US"/>
        </w:rPr>
        <w:t>Canadian Family Physician</w:t>
      </w:r>
      <w:r w:rsidRPr="00A260B6">
        <w:rPr>
          <w:lang w:eastAsia="en-US"/>
        </w:rPr>
        <w:t>, </w:t>
      </w:r>
      <w:r w:rsidRPr="00EF1E16">
        <w:rPr>
          <w:i/>
          <w:iCs/>
          <w:lang w:eastAsia="en-US"/>
        </w:rPr>
        <w:t>66</w:t>
      </w:r>
      <w:r w:rsidRPr="00A260B6">
        <w:rPr>
          <w:lang w:eastAsia="en-US"/>
        </w:rPr>
        <w:t>(3), pp.176-182.</w:t>
      </w:r>
    </w:p>
    <w:p w14:paraId="49F42B64" w14:textId="77777777" w:rsidR="00EF1E16" w:rsidRDefault="00EF1E16" w:rsidP="00EF1E16">
      <w:pPr>
        <w:spacing w:line="360" w:lineRule="auto"/>
      </w:pPr>
      <w:proofErr w:type="spellStart"/>
      <w:r>
        <w:t>granicus</w:t>
      </w:r>
      <w:proofErr w:type="spellEnd"/>
      <w:r>
        <w:t xml:space="preserve">, (2023). </w:t>
      </w:r>
      <w:r w:rsidRPr="00EF1E16">
        <w:rPr>
          <w:i/>
          <w:iCs/>
        </w:rPr>
        <w:t>Why is Community Engagement Important?.</w:t>
      </w:r>
      <w:r>
        <w:t xml:space="preserve"> [Online]Available at: https://granicus.com/blog/why-is-community-engagement-important/#:~:text=Community%20engagement%20leads%20to%20improved%20outcomes&amp;text=Establishing%20long%20standing%2C%20effective%20partnerships,unique%20aspirations%20of%20the%20community [Accessed 27 August 2024].</w:t>
      </w:r>
    </w:p>
    <w:p w14:paraId="37317611" w14:textId="77777777" w:rsidR="00EF1E16" w:rsidRPr="00880938" w:rsidRDefault="00EF1E16" w:rsidP="00EF1E16">
      <w:pPr>
        <w:pStyle w:val="Bibliography"/>
        <w:spacing w:line="360" w:lineRule="auto"/>
        <w:rPr>
          <w:noProof/>
        </w:rPr>
      </w:pPr>
      <w:r w:rsidRPr="00880938">
        <w:rPr>
          <w:noProof/>
        </w:rPr>
        <w:t xml:space="preserve">Hatton, S., (2020). </w:t>
      </w:r>
      <w:r w:rsidRPr="00880938">
        <w:rPr>
          <w:i/>
          <w:iCs/>
          <w:noProof/>
        </w:rPr>
        <w:t xml:space="preserve">Seven Principles For Communicating In Critical Moments. </w:t>
      </w:r>
      <w:r w:rsidRPr="00880938">
        <w:rPr>
          <w:noProof/>
        </w:rPr>
        <w:t>[Online] Available at: https://www.forbes.com/councils/forbescoachescouncil/2020/05/13/seven-principles-for-communicating-in-critical-moments/[Accessed 27 August 2024].</w:t>
      </w:r>
    </w:p>
    <w:p w14:paraId="7F8B42BD" w14:textId="77777777" w:rsidR="00EF1E16" w:rsidRPr="00880938" w:rsidRDefault="00EF1E16" w:rsidP="00EF1E16">
      <w:pPr>
        <w:pStyle w:val="Bibliography"/>
        <w:spacing w:line="360" w:lineRule="auto"/>
        <w:rPr>
          <w:noProof/>
        </w:rPr>
      </w:pPr>
      <w:r w:rsidRPr="00880938">
        <w:rPr>
          <w:noProof/>
        </w:rPr>
        <w:t xml:space="preserve">Hipp, D., (2024). </w:t>
      </w:r>
      <w:r w:rsidRPr="00880938">
        <w:rPr>
          <w:i/>
          <w:iCs/>
          <w:noProof/>
        </w:rPr>
        <w:t xml:space="preserve">The Age-Friendly Movement And How It Supports Older Adults. </w:t>
      </w:r>
      <w:r w:rsidRPr="00880938">
        <w:rPr>
          <w:noProof/>
        </w:rPr>
        <w:t>[Online] Available at: https://www.forbes.com/health/senior-living/age-friendly-movement/[Accessed 27 August 2024].</w:t>
      </w:r>
    </w:p>
    <w:p w14:paraId="1C8C4153" w14:textId="77777777" w:rsidR="00EF1E16" w:rsidRDefault="00EF1E16" w:rsidP="00EF1E16">
      <w:pPr>
        <w:spacing w:line="360" w:lineRule="auto"/>
        <w:rPr>
          <w:lang w:eastAsia="en-US"/>
        </w:rPr>
      </w:pPr>
      <w:r w:rsidRPr="0036095D">
        <w:rPr>
          <w:lang w:eastAsia="en-US"/>
        </w:rPr>
        <w:t xml:space="preserve">Jack, K., Ridley, C. and Turner, S., </w:t>
      </w:r>
      <w:r>
        <w:rPr>
          <w:lang w:eastAsia="en-US"/>
        </w:rPr>
        <w:t>(</w:t>
      </w:r>
      <w:r w:rsidRPr="0036095D">
        <w:rPr>
          <w:lang w:eastAsia="en-US"/>
        </w:rPr>
        <w:t>2024</w:t>
      </w:r>
      <w:r>
        <w:rPr>
          <w:lang w:eastAsia="en-US"/>
        </w:rPr>
        <w:t>)</w:t>
      </w:r>
      <w:r w:rsidRPr="0036095D">
        <w:rPr>
          <w:lang w:eastAsia="en-US"/>
        </w:rPr>
        <w:t>. Effective communication with older people. </w:t>
      </w:r>
      <w:r w:rsidRPr="00EF1E16">
        <w:rPr>
          <w:i/>
          <w:iCs/>
          <w:lang w:eastAsia="en-US"/>
        </w:rPr>
        <w:t>Nursing older people</w:t>
      </w:r>
      <w:r w:rsidRPr="0036095D">
        <w:rPr>
          <w:lang w:eastAsia="en-US"/>
        </w:rPr>
        <w:t>, </w:t>
      </w:r>
      <w:r w:rsidRPr="00EF1E16">
        <w:rPr>
          <w:i/>
          <w:iCs/>
          <w:lang w:eastAsia="en-US"/>
        </w:rPr>
        <w:t>36</w:t>
      </w:r>
      <w:r w:rsidRPr="0036095D">
        <w:rPr>
          <w:lang w:eastAsia="en-US"/>
        </w:rPr>
        <w:t>(3).</w:t>
      </w:r>
    </w:p>
    <w:p w14:paraId="4BB2DFF3" w14:textId="77777777" w:rsidR="00EF1E16" w:rsidRDefault="00EF1E16" w:rsidP="00EF1E16">
      <w:pPr>
        <w:spacing w:line="360" w:lineRule="auto"/>
      </w:pPr>
      <w:r>
        <w:lastRenderedPageBreak/>
        <w:t xml:space="preserve">Martell, N., (2024). </w:t>
      </w:r>
      <w:r w:rsidRPr="00EF1E16">
        <w:rPr>
          <w:i/>
          <w:iCs/>
        </w:rPr>
        <w:t>What is Community Engagement and Why Is It Important?.</w:t>
      </w:r>
      <w:r>
        <w:t xml:space="preserve"> [Online]Available at: https://newsroom.delib.net/what-is-community-engagement-meaning/ [Accessed 26 August 2024].</w:t>
      </w:r>
    </w:p>
    <w:p w14:paraId="28463C1B" w14:textId="77777777" w:rsidR="00EF1E16" w:rsidRDefault="00EF1E16" w:rsidP="00EF1E16">
      <w:pPr>
        <w:spacing w:line="360" w:lineRule="auto"/>
      </w:pPr>
      <w:proofErr w:type="spellStart"/>
      <w:r>
        <w:t>ohanahc</w:t>
      </w:r>
      <w:proofErr w:type="spellEnd"/>
      <w:r>
        <w:t xml:space="preserve">, (2023). </w:t>
      </w:r>
      <w:r w:rsidRPr="00EF1E16">
        <w:rPr>
          <w:i/>
          <w:iCs/>
        </w:rPr>
        <w:t>The Power of Community-Based Mentorship Programs</w:t>
      </w:r>
      <w:r>
        <w:t>. [Online]Available at: https://ohanahc.org/the-power-of-community-based-mentorship-programs/#:~:text=One%20of%20the%20key%20advantages,events%20to%20stimulate%20their%20conversations [Accessed 25 August 2024].</w:t>
      </w:r>
    </w:p>
    <w:p w14:paraId="297C8E95" w14:textId="77777777" w:rsidR="00EF1E16" w:rsidRDefault="00EF1E16" w:rsidP="00EF1E16">
      <w:pPr>
        <w:spacing w:line="360" w:lineRule="auto"/>
      </w:pPr>
      <w:r>
        <w:t xml:space="preserve">ONS.GOV, (2023). </w:t>
      </w:r>
      <w:r w:rsidRPr="00EF1E16">
        <w:rPr>
          <w:i/>
          <w:iCs/>
        </w:rPr>
        <w:t>Public opinions and social trends, Great Britain: 1 to 11 June 2023.</w:t>
      </w:r>
      <w:r>
        <w:t xml:space="preserve"> [Online] Available at: https://www.ons.gov.uk/peoplepopulationandcommunity/wellbeing/bulletins/publicopinionsandsocialtrendsgreatbritain/1to11june2023 [Accessed 25 August 2024].</w:t>
      </w:r>
    </w:p>
    <w:p w14:paraId="2A76BB81" w14:textId="77777777" w:rsidR="00EF1E16" w:rsidRDefault="00EF1E16" w:rsidP="00EF1E16">
      <w:pPr>
        <w:spacing w:line="360" w:lineRule="auto"/>
        <w:rPr>
          <w:lang w:eastAsia="en-US"/>
        </w:rPr>
      </w:pPr>
      <w:r w:rsidRPr="0036095D">
        <w:rPr>
          <w:lang w:eastAsia="en-US"/>
        </w:rPr>
        <w:t xml:space="preserve">Podgorica, N., </w:t>
      </w:r>
      <w:proofErr w:type="spellStart"/>
      <w:r w:rsidRPr="0036095D">
        <w:rPr>
          <w:lang w:eastAsia="en-US"/>
        </w:rPr>
        <w:t>Flatscher-Thöni</w:t>
      </w:r>
      <w:proofErr w:type="spellEnd"/>
      <w:r w:rsidRPr="0036095D">
        <w:rPr>
          <w:lang w:eastAsia="en-US"/>
        </w:rPr>
        <w:t xml:space="preserve">, M., </w:t>
      </w:r>
      <w:proofErr w:type="spellStart"/>
      <w:r w:rsidRPr="0036095D">
        <w:rPr>
          <w:lang w:eastAsia="en-US"/>
        </w:rPr>
        <w:t>Deufert</w:t>
      </w:r>
      <w:proofErr w:type="spellEnd"/>
      <w:r w:rsidRPr="0036095D">
        <w:rPr>
          <w:lang w:eastAsia="en-US"/>
        </w:rPr>
        <w:t xml:space="preserve">, D., Siebert, U. and Ganner, M., </w:t>
      </w:r>
      <w:r>
        <w:rPr>
          <w:lang w:eastAsia="en-US"/>
        </w:rPr>
        <w:t>(</w:t>
      </w:r>
      <w:r w:rsidRPr="0036095D">
        <w:rPr>
          <w:lang w:eastAsia="en-US"/>
        </w:rPr>
        <w:t>2021</w:t>
      </w:r>
      <w:r>
        <w:rPr>
          <w:lang w:eastAsia="en-US"/>
        </w:rPr>
        <w:t>)</w:t>
      </w:r>
      <w:r w:rsidRPr="0036095D">
        <w:rPr>
          <w:lang w:eastAsia="en-US"/>
        </w:rPr>
        <w:t>. A systematic review of ethical and legal issues in elder care. </w:t>
      </w:r>
      <w:r w:rsidRPr="00EF1E16">
        <w:rPr>
          <w:i/>
          <w:iCs/>
          <w:lang w:eastAsia="en-US"/>
        </w:rPr>
        <w:t>Nursing Ethics</w:t>
      </w:r>
      <w:r w:rsidRPr="0036095D">
        <w:rPr>
          <w:lang w:eastAsia="en-US"/>
        </w:rPr>
        <w:t>, </w:t>
      </w:r>
      <w:r w:rsidRPr="00EF1E16">
        <w:rPr>
          <w:i/>
          <w:iCs/>
          <w:lang w:eastAsia="en-US"/>
        </w:rPr>
        <w:t>28</w:t>
      </w:r>
      <w:r w:rsidRPr="0036095D">
        <w:rPr>
          <w:lang w:eastAsia="en-US"/>
        </w:rPr>
        <w:t>(6), pp.895-910.</w:t>
      </w:r>
    </w:p>
    <w:p w14:paraId="28040162" w14:textId="77777777" w:rsidR="00EF1E16" w:rsidRPr="00880938" w:rsidRDefault="00EF1E16" w:rsidP="00EF1E16">
      <w:pPr>
        <w:pStyle w:val="Bibliography"/>
        <w:spacing w:line="360" w:lineRule="auto"/>
        <w:rPr>
          <w:noProof/>
        </w:rPr>
      </w:pPr>
      <w:r w:rsidRPr="00880938">
        <w:rPr>
          <w:noProof/>
        </w:rPr>
        <w:t xml:space="preserve">Tama-Rutigliano, K., (2022). </w:t>
      </w:r>
      <w:r w:rsidRPr="00880938">
        <w:rPr>
          <w:i/>
          <w:iCs/>
          <w:noProof/>
        </w:rPr>
        <w:t xml:space="preserve">Stellar Strategies for Communicating To Seniors. </w:t>
      </w:r>
      <w:r w:rsidRPr="00880938">
        <w:rPr>
          <w:noProof/>
        </w:rPr>
        <w:t>[Online] Available at: https://www.forbes.com/sites/forbescommunicationscouncil/2017/11/09/stellar-strategies-for-marketing-to-seniors/[Accessed 27 August 2024].</w:t>
      </w:r>
    </w:p>
    <w:p w14:paraId="3CB5C4F3" w14:textId="77777777" w:rsidR="00EF1E16" w:rsidRDefault="00EF1E16" w:rsidP="00EF1E16">
      <w:pPr>
        <w:spacing w:line="360" w:lineRule="auto"/>
        <w:rPr>
          <w:noProof/>
        </w:rPr>
      </w:pPr>
      <w:r w:rsidRPr="00880938">
        <w:rPr>
          <w:noProof/>
        </w:rPr>
        <w:t xml:space="preserve">tractivity, (2023). </w:t>
      </w:r>
      <w:r w:rsidRPr="00EF1E16">
        <w:rPr>
          <w:i/>
          <w:iCs/>
          <w:noProof/>
        </w:rPr>
        <w:t xml:space="preserve">Stakeholder Mapping Complete Guide. </w:t>
      </w:r>
      <w:r w:rsidRPr="00880938">
        <w:rPr>
          <w:noProof/>
        </w:rPr>
        <w:t>[Online] Available at: https://www.tractivity.co.uk/blog/stakeholder-mapping-guide[Accessed 16 August 2024].</w:t>
      </w:r>
    </w:p>
    <w:p w14:paraId="24516889" w14:textId="77777777" w:rsidR="00EF1E16" w:rsidRDefault="00EF1E16" w:rsidP="00EF1E16">
      <w:pPr>
        <w:spacing w:line="360" w:lineRule="auto"/>
      </w:pPr>
      <w:r>
        <w:t xml:space="preserve">Trappett, L., (2021). </w:t>
      </w:r>
      <w:r w:rsidRPr="00EF1E16">
        <w:rPr>
          <w:i/>
          <w:iCs/>
        </w:rPr>
        <w:t>How to Build Trust Through Community Engagement</w:t>
      </w:r>
      <w:r>
        <w:t>. [Online]Available at: https://www.socialpinpoint.com/how-to-build-trust-through-community-engagement/#:~:text=Trust%20enables%20decision%2Dmakers%20and,with%20the%20communities%20they%20represent [Accessed 26 August 2024].</w:t>
      </w:r>
    </w:p>
    <w:p w14:paraId="62240378" w14:textId="77777777" w:rsidR="00EF1E16" w:rsidRDefault="00EF1E16" w:rsidP="00EF1E16">
      <w:pPr>
        <w:spacing w:line="360" w:lineRule="auto"/>
      </w:pPr>
      <w:r w:rsidRPr="007B2673">
        <w:t xml:space="preserve">Wallerstein, N., Oetzel, J.G., Sanchez-Youngman, S., Boursaw, B., Dickson, E., Kastelic, S., Koegel, P., Lucero, J.E., </w:t>
      </w:r>
      <w:proofErr w:type="spellStart"/>
      <w:r w:rsidRPr="007B2673">
        <w:t>Magarati</w:t>
      </w:r>
      <w:proofErr w:type="spellEnd"/>
      <w:r w:rsidRPr="007B2673">
        <w:t xml:space="preserve">, M., Ortiz, K. and Parker, M., </w:t>
      </w:r>
      <w:r>
        <w:t>(</w:t>
      </w:r>
      <w:r w:rsidRPr="007B2673">
        <w:t>2020</w:t>
      </w:r>
      <w:r>
        <w:t>)</w:t>
      </w:r>
      <w:r w:rsidRPr="007B2673">
        <w:t>. Engage for equity: A long-term study of community-based participatory research and community-engaged research practices and outcomes. </w:t>
      </w:r>
      <w:r w:rsidRPr="00EF1E16">
        <w:rPr>
          <w:i/>
          <w:iCs/>
        </w:rPr>
        <w:t xml:space="preserve">Health Education &amp; </w:t>
      </w:r>
      <w:proofErr w:type="spellStart"/>
      <w:r w:rsidRPr="00EF1E16">
        <w:rPr>
          <w:i/>
          <w:iCs/>
        </w:rPr>
        <w:t>Behavior</w:t>
      </w:r>
      <w:proofErr w:type="spellEnd"/>
      <w:r w:rsidRPr="007B2673">
        <w:t>, </w:t>
      </w:r>
      <w:r w:rsidRPr="00EF1E16">
        <w:rPr>
          <w:i/>
          <w:iCs/>
        </w:rPr>
        <w:t>47</w:t>
      </w:r>
      <w:r w:rsidRPr="007B2673">
        <w:t>(3), pp.380-390.</w:t>
      </w:r>
    </w:p>
    <w:p w14:paraId="1AA5F92C" w14:textId="77777777" w:rsidR="00EF1E16" w:rsidRDefault="00EF1E16" w:rsidP="00EF1E16">
      <w:pPr>
        <w:spacing w:line="360" w:lineRule="auto"/>
        <w:rPr>
          <w:lang w:eastAsia="en-US"/>
        </w:rPr>
      </w:pPr>
      <w:r w:rsidRPr="00A260B6">
        <w:rPr>
          <w:lang w:eastAsia="en-US"/>
        </w:rPr>
        <w:t xml:space="preserve">Wenger, G.C., </w:t>
      </w:r>
      <w:r>
        <w:rPr>
          <w:lang w:eastAsia="en-US"/>
        </w:rPr>
        <w:t>(</w:t>
      </w:r>
      <w:r w:rsidRPr="00A260B6">
        <w:rPr>
          <w:lang w:eastAsia="en-US"/>
        </w:rPr>
        <w:t>2021</w:t>
      </w:r>
      <w:r>
        <w:rPr>
          <w:lang w:eastAsia="en-US"/>
        </w:rPr>
        <w:t>)</w:t>
      </w:r>
      <w:r w:rsidRPr="00A260B6">
        <w:rPr>
          <w:lang w:eastAsia="en-US"/>
        </w:rPr>
        <w:t>. </w:t>
      </w:r>
      <w:r w:rsidRPr="00EF1E16">
        <w:rPr>
          <w:i/>
          <w:iCs/>
          <w:lang w:eastAsia="en-US"/>
        </w:rPr>
        <w:t>The supportive network: Coping with old age</w:t>
      </w:r>
      <w:r w:rsidRPr="00A260B6">
        <w:rPr>
          <w:lang w:eastAsia="en-US"/>
        </w:rPr>
        <w:t>. Routledge.</w:t>
      </w:r>
    </w:p>
    <w:p w14:paraId="412FACE8" w14:textId="77777777" w:rsidR="00004327" w:rsidRDefault="00004327" w:rsidP="00253475">
      <w:pPr>
        <w:spacing w:line="360" w:lineRule="auto"/>
      </w:pPr>
    </w:p>
    <w:p w14:paraId="6D0C786F" w14:textId="77777777" w:rsidR="00A260B6" w:rsidRDefault="00A260B6" w:rsidP="00253475">
      <w:pPr>
        <w:spacing w:line="360" w:lineRule="auto"/>
      </w:pPr>
    </w:p>
    <w:p w14:paraId="1859875A" w14:textId="77777777" w:rsidR="00A260B6" w:rsidRPr="0036095D" w:rsidRDefault="00A260B6" w:rsidP="00253475">
      <w:pPr>
        <w:spacing w:line="360" w:lineRule="auto"/>
        <w:rPr>
          <w:lang w:val="en-US" w:eastAsia="en-US"/>
        </w:rPr>
      </w:pPr>
    </w:p>
    <w:sectPr w:rsidR="00A260B6" w:rsidRPr="0036095D" w:rsidSect="00A260B6">
      <w:headerReference w:type="default" r:id="rId17"/>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B4E059" w14:textId="77777777" w:rsidR="00D87888" w:rsidRDefault="00D87888" w:rsidP="00A260B6">
      <w:pPr>
        <w:spacing w:line="240" w:lineRule="auto"/>
      </w:pPr>
      <w:r>
        <w:separator/>
      </w:r>
    </w:p>
  </w:endnote>
  <w:endnote w:type="continuationSeparator" w:id="0">
    <w:p w14:paraId="034F7C64" w14:textId="77777777" w:rsidR="00D87888" w:rsidRDefault="00D87888" w:rsidP="00A260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sto MT">
    <w:panose1 w:val="02040603050505030304"/>
    <w:charset w:val="4D"/>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0046897"/>
      <w:docPartObj>
        <w:docPartGallery w:val="Page Numbers (Bottom of Page)"/>
        <w:docPartUnique/>
      </w:docPartObj>
    </w:sdtPr>
    <w:sdtEndPr/>
    <w:sdtContent>
      <w:sdt>
        <w:sdtPr>
          <w:id w:val="-1769616900"/>
          <w:docPartObj>
            <w:docPartGallery w:val="Page Numbers (Top of Page)"/>
            <w:docPartUnique/>
          </w:docPartObj>
        </w:sdtPr>
        <w:sdtEndPr/>
        <w:sdtContent>
          <w:p w14:paraId="39A6F6EB" w14:textId="144EF565" w:rsidR="00A260B6" w:rsidRDefault="00A260B6">
            <w:pPr>
              <w:pStyle w:val="Footer"/>
              <w:jc w:val="right"/>
            </w:pPr>
            <w:r w:rsidRPr="00A260B6">
              <w:rPr>
                <w:b/>
                <w:bCs/>
              </w:rPr>
              <w:t xml:space="preserve">Page </w:t>
            </w:r>
            <w:r w:rsidRPr="00A260B6">
              <w:rPr>
                <w:b/>
                <w:bCs/>
                <w:szCs w:val="24"/>
              </w:rPr>
              <w:fldChar w:fldCharType="begin"/>
            </w:r>
            <w:r w:rsidRPr="00A260B6">
              <w:rPr>
                <w:b/>
                <w:bCs/>
              </w:rPr>
              <w:instrText xml:space="preserve"> PAGE </w:instrText>
            </w:r>
            <w:r w:rsidRPr="00A260B6">
              <w:rPr>
                <w:b/>
                <w:bCs/>
                <w:szCs w:val="24"/>
              </w:rPr>
              <w:fldChar w:fldCharType="separate"/>
            </w:r>
            <w:r w:rsidRPr="00A260B6">
              <w:rPr>
                <w:b/>
                <w:bCs/>
                <w:noProof/>
              </w:rPr>
              <w:t>2</w:t>
            </w:r>
            <w:r w:rsidRPr="00A260B6">
              <w:rPr>
                <w:b/>
                <w:bCs/>
                <w:szCs w:val="24"/>
              </w:rPr>
              <w:fldChar w:fldCharType="end"/>
            </w:r>
            <w:r w:rsidRPr="00A260B6">
              <w:rPr>
                <w:b/>
                <w:bCs/>
              </w:rPr>
              <w:t xml:space="preserve"> of </w:t>
            </w:r>
            <w:r w:rsidRPr="00A260B6">
              <w:rPr>
                <w:b/>
                <w:bCs/>
                <w:szCs w:val="24"/>
              </w:rPr>
              <w:fldChar w:fldCharType="begin"/>
            </w:r>
            <w:r w:rsidRPr="00A260B6">
              <w:rPr>
                <w:b/>
                <w:bCs/>
              </w:rPr>
              <w:instrText xml:space="preserve"> NUMPAGES  </w:instrText>
            </w:r>
            <w:r w:rsidRPr="00A260B6">
              <w:rPr>
                <w:b/>
                <w:bCs/>
                <w:szCs w:val="24"/>
              </w:rPr>
              <w:fldChar w:fldCharType="separate"/>
            </w:r>
            <w:r w:rsidRPr="00A260B6">
              <w:rPr>
                <w:b/>
                <w:bCs/>
                <w:noProof/>
              </w:rPr>
              <w:t>2</w:t>
            </w:r>
            <w:r w:rsidRPr="00A260B6">
              <w:rPr>
                <w:b/>
                <w:bCs/>
                <w:szCs w:val="24"/>
              </w:rPr>
              <w:fldChar w:fldCharType="end"/>
            </w:r>
          </w:p>
        </w:sdtContent>
      </w:sdt>
    </w:sdtContent>
  </w:sdt>
  <w:p w14:paraId="424638B6" w14:textId="1AFA6DB2" w:rsidR="00DD5989" w:rsidRDefault="00DD5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5BC1C9" w14:textId="77777777" w:rsidR="00D87888" w:rsidRDefault="00D87888" w:rsidP="00A260B6">
      <w:pPr>
        <w:spacing w:line="240" w:lineRule="auto"/>
      </w:pPr>
      <w:r>
        <w:separator/>
      </w:r>
    </w:p>
  </w:footnote>
  <w:footnote w:type="continuationSeparator" w:id="0">
    <w:p w14:paraId="40E28476" w14:textId="77777777" w:rsidR="00D87888" w:rsidRDefault="00D87888" w:rsidP="00A260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D0EEB2" w14:textId="103CF348" w:rsidR="00A260B6" w:rsidRPr="00A260B6" w:rsidRDefault="00A260B6" w:rsidP="00A260B6">
    <w:pPr>
      <w:spacing w:after="160" w:line="360" w:lineRule="auto"/>
      <w:jc w:val="right"/>
      <w:rPr>
        <w:b/>
        <w:bCs/>
      </w:rPr>
    </w:pPr>
    <w:r w:rsidRPr="00A260B6">
      <w:rPr>
        <w:b/>
        <w:bCs/>
      </w:rPr>
      <w:t>Community Engagement</w:t>
    </w:r>
  </w:p>
  <w:p w14:paraId="7FEDFA02" w14:textId="679D1509" w:rsidR="00DD5989" w:rsidRDefault="00DD59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8154E"/>
    <w:multiLevelType w:val="hybridMultilevel"/>
    <w:tmpl w:val="EEEC73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BA46E0C"/>
    <w:multiLevelType w:val="hybridMultilevel"/>
    <w:tmpl w:val="386C0F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CAD5280"/>
    <w:multiLevelType w:val="hybridMultilevel"/>
    <w:tmpl w:val="606474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57810064">
    <w:abstractNumId w:val="2"/>
  </w:num>
  <w:num w:numId="2" w16cid:durableId="1994943223">
    <w:abstractNumId w:val="1"/>
  </w:num>
  <w:num w:numId="3" w16cid:durableId="1548368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20D"/>
    <w:rsid w:val="00004327"/>
    <w:rsid w:val="00010453"/>
    <w:rsid w:val="00022286"/>
    <w:rsid w:val="00035095"/>
    <w:rsid w:val="00082CB7"/>
    <w:rsid w:val="00097305"/>
    <w:rsid w:val="000C5BD0"/>
    <w:rsid w:val="000E0115"/>
    <w:rsid w:val="000E48FD"/>
    <w:rsid w:val="00107A16"/>
    <w:rsid w:val="001135F4"/>
    <w:rsid w:val="001404BB"/>
    <w:rsid w:val="00183EA0"/>
    <w:rsid w:val="00185D99"/>
    <w:rsid w:val="001F6FB7"/>
    <w:rsid w:val="00204C55"/>
    <w:rsid w:val="00253475"/>
    <w:rsid w:val="0025404F"/>
    <w:rsid w:val="0027344C"/>
    <w:rsid w:val="002A28A7"/>
    <w:rsid w:val="002B048E"/>
    <w:rsid w:val="002D252B"/>
    <w:rsid w:val="002F1BF6"/>
    <w:rsid w:val="002F4248"/>
    <w:rsid w:val="003227DB"/>
    <w:rsid w:val="003417FD"/>
    <w:rsid w:val="0036095D"/>
    <w:rsid w:val="0038005F"/>
    <w:rsid w:val="003C5CC7"/>
    <w:rsid w:val="003F6A59"/>
    <w:rsid w:val="00402BE0"/>
    <w:rsid w:val="00403A39"/>
    <w:rsid w:val="004076CB"/>
    <w:rsid w:val="00473635"/>
    <w:rsid w:val="0047577C"/>
    <w:rsid w:val="004940AF"/>
    <w:rsid w:val="004A5CFC"/>
    <w:rsid w:val="00527162"/>
    <w:rsid w:val="00545A05"/>
    <w:rsid w:val="00550C12"/>
    <w:rsid w:val="00561BE9"/>
    <w:rsid w:val="0059349A"/>
    <w:rsid w:val="005947D5"/>
    <w:rsid w:val="005C60A8"/>
    <w:rsid w:val="0066691B"/>
    <w:rsid w:val="0067204B"/>
    <w:rsid w:val="00690A45"/>
    <w:rsid w:val="006925F8"/>
    <w:rsid w:val="006C6670"/>
    <w:rsid w:val="006D374C"/>
    <w:rsid w:val="006D4563"/>
    <w:rsid w:val="00717D16"/>
    <w:rsid w:val="007265E4"/>
    <w:rsid w:val="00746AB8"/>
    <w:rsid w:val="0075113A"/>
    <w:rsid w:val="00754201"/>
    <w:rsid w:val="00772CB9"/>
    <w:rsid w:val="007772E6"/>
    <w:rsid w:val="00797E79"/>
    <w:rsid w:val="007D0172"/>
    <w:rsid w:val="00815B7D"/>
    <w:rsid w:val="008177CC"/>
    <w:rsid w:val="008246BA"/>
    <w:rsid w:val="00833EE0"/>
    <w:rsid w:val="00846515"/>
    <w:rsid w:val="00865CF1"/>
    <w:rsid w:val="00884401"/>
    <w:rsid w:val="008C7A94"/>
    <w:rsid w:val="008C7F79"/>
    <w:rsid w:val="008D42F9"/>
    <w:rsid w:val="008E7B3D"/>
    <w:rsid w:val="009034FB"/>
    <w:rsid w:val="009411E4"/>
    <w:rsid w:val="00974C62"/>
    <w:rsid w:val="00982607"/>
    <w:rsid w:val="0098550A"/>
    <w:rsid w:val="009C5BB5"/>
    <w:rsid w:val="009D2CA2"/>
    <w:rsid w:val="009E5B41"/>
    <w:rsid w:val="009F4E04"/>
    <w:rsid w:val="00A260B6"/>
    <w:rsid w:val="00A378F0"/>
    <w:rsid w:val="00A55540"/>
    <w:rsid w:val="00A61118"/>
    <w:rsid w:val="00A70792"/>
    <w:rsid w:val="00A81901"/>
    <w:rsid w:val="00A9227E"/>
    <w:rsid w:val="00AC645E"/>
    <w:rsid w:val="00AD2BD1"/>
    <w:rsid w:val="00AF645D"/>
    <w:rsid w:val="00B11B8A"/>
    <w:rsid w:val="00B12B49"/>
    <w:rsid w:val="00B363C4"/>
    <w:rsid w:val="00BD6C50"/>
    <w:rsid w:val="00C05D97"/>
    <w:rsid w:val="00C4089A"/>
    <w:rsid w:val="00C52576"/>
    <w:rsid w:val="00C826A8"/>
    <w:rsid w:val="00C8794A"/>
    <w:rsid w:val="00C95A7A"/>
    <w:rsid w:val="00CF1061"/>
    <w:rsid w:val="00D1060D"/>
    <w:rsid w:val="00D15D52"/>
    <w:rsid w:val="00D26E10"/>
    <w:rsid w:val="00D64A9A"/>
    <w:rsid w:val="00D70D7E"/>
    <w:rsid w:val="00D87888"/>
    <w:rsid w:val="00DA7451"/>
    <w:rsid w:val="00DD0528"/>
    <w:rsid w:val="00DD5989"/>
    <w:rsid w:val="00E01BE1"/>
    <w:rsid w:val="00E01CB2"/>
    <w:rsid w:val="00E069BB"/>
    <w:rsid w:val="00E22AB6"/>
    <w:rsid w:val="00E50513"/>
    <w:rsid w:val="00E70B9C"/>
    <w:rsid w:val="00E73379"/>
    <w:rsid w:val="00E76F38"/>
    <w:rsid w:val="00E93630"/>
    <w:rsid w:val="00EA2CC5"/>
    <w:rsid w:val="00ED6455"/>
    <w:rsid w:val="00ED64A1"/>
    <w:rsid w:val="00EF1E16"/>
    <w:rsid w:val="00F00E3F"/>
    <w:rsid w:val="00F0640E"/>
    <w:rsid w:val="00F455DA"/>
    <w:rsid w:val="00F5220D"/>
    <w:rsid w:val="00F74699"/>
    <w:rsid w:val="00F8060C"/>
    <w:rsid w:val="00F849EE"/>
    <w:rsid w:val="00FB62AA"/>
    <w:rsid w:val="00FE4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EA2D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F38"/>
    <w:pPr>
      <w:spacing w:after="0" w:line="480" w:lineRule="auto"/>
      <w:jc w:val="both"/>
    </w:pPr>
    <w:rPr>
      <w:rFonts w:ascii="Times New Roman" w:hAnsi="Times New Roman" w:cs="Arial"/>
      <w:kern w:val="0"/>
      <w:sz w:val="24"/>
      <w:lang w:val="en-GB" w:eastAsia="en-GB"/>
      <w14:ligatures w14:val="none"/>
    </w:rPr>
  </w:style>
  <w:style w:type="paragraph" w:styleId="Heading1">
    <w:name w:val="heading 1"/>
    <w:basedOn w:val="Normal"/>
    <w:next w:val="Normal"/>
    <w:link w:val="Heading1Char"/>
    <w:autoRedefine/>
    <w:uiPriority w:val="9"/>
    <w:qFormat/>
    <w:rsid w:val="00561BE9"/>
    <w:pPr>
      <w:keepNext/>
      <w:keepLines/>
      <w:spacing w:before="240"/>
      <w:outlineLvl w:val="0"/>
    </w:pPr>
    <w:rPr>
      <w:rFonts w:eastAsiaTheme="majorEastAsia" w:cstheme="majorBidi"/>
      <w:b/>
      <w:kern w:val="2"/>
      <w:sz w:val="28"/>
      <w:szCs w:val="32"/>
      <w:lang w:val="en-US" w:eastAsia="en-US"/>
      <w14:ligatures w14:val="standardContextual"/>
    </w:rPr>
  </w:style>
  <w:style w:type="paragraph" w:styleId="Heading2">
    <w:name w:val="heading 2"/>
    <w:basedOn w:val="Normal"/>
    <w:next w:val="Normal"/>
    <w:link w:val="Heading2Char"/>
    <w:autoRedefine/>
    <w:uiPriority w:val="9"/>
    <w:unhideWhenUsed/>
    <w:qFormat/>
    <w:rsid w:val="00EF1E16"/>
    <w:pPr>
      <w:keepNext/>
      <w:keepLines/>
      <w:spacing w:before="40" w:line="360" w:lineRule="auto"/>
      <w:outlineLvl w:val="1"/>
    </w:pPr>
    <w:rPr>
      <w:rFonts w:eastAsia="Times New Roman" w:cstheme="majorBidi"/>
      <w:b/>
      <w:i/>
      <w:iCs/>
      <w:kern w:val="2"/>
      <w:sz w:val="26"/>
      <w:szCs w:val="26"/>
      <w:u w:val="single"/>
      <w:lang w:val="en-US" w:eastAsia="en-IN"/>
      <w14:ligatures w14:val="standardContextual"/>
    </w:rPr>
  </w:style>
  <w:style w:type="paragraph" w:styleId="Heading3">
    <w:name w:val="heading 3"/>
    <w:basedOn w:val="Normal"/>
    <w:next w:val="Normal"/>
    <w:link w:val="Heading3Char"/>
    <w:autoRedefine/>
    <w:uiPriority w:val="9"/>
    <w:unhideWhenUsed/>
    <w:qFormat/>
    <w:rsid w:val="00F849EE"/>
    <w:pPr>
      <w:keepNext/>
      <w:keepLines/>
      <w:spacing w:before="40"/>
      <w:outlineLvl w:val="2"/>
    </w:pPr>
    <w:rPr>
      <w:rFonts w:eastAsiaTheme="majorEastAsia" w:cstheme="majorBidi"/>
      <w:i/>
      <w:szCs w:val="3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BE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F1E16"/>
    <w:rPr>
      <w:rFonts w:ascii="Times New Roman" w:eastAsia="Times New Roman" w:hAnsi="Times New Roman" w:cstheme="majorBidi"/>
      <w:b/>
      <w:i/>
      <w:iCs/>
      <w:sz w:val="26"/>
      <w:szCs w:val="26"/>
      <w:u w:val="single"/>
      <w:lang w:eastAsia="en-IN"/>
    </w:rPr>
  </w:style>
  <w:style w:type="character" w:customStyle="1" w:styleId="Heading3Char">
    <w:name w:val="Heading 3 Char"/>
    <w:basedOn w:val="DefaultParagraphFont"/>
    <w:link w:val="Heading3"/>
    <w:uiPriority w:val="9"/>
    <w:rsid w:val="00F849EE"/>
    <w:rPr>
      <w:rFonts w:ascii="Calisto MT" w:eastAsiaTheme="majorEastAsia" w:hAnsi="Calisto MT" w:cstheme="majorBidi"/>
      <w:i/>
      <w:sz w:val="24"/>
      <w:szCs w:val="30"/>
      <w:u w:val="single"/>
    </w:rPr>
  </w:style>
  <w:style w:type="paragraph" w:customStyle="1" w:styleId="Style1">
    <w:name w:val="Style1"/>
    <w:basedOn w:val="NormalWeb"/>
    <w:link w:val="Style1Char"/>
    <w:autoRedefine/>
    <w:qFormat/>
    <w:rsid w:val="007265E4"/>
    <w:pPr>
      <w:spacing w:before="240" w:after="240" w:line="360" w:lineRule="auto"/>
    </w:pPr>
    <w:rPr>
      <w:rFonts w:ascii="Arial" w:eastAsia="Times New Roman" w:hAnsi="Arial"/>
      <w:i/>
      <w:sz w:val="22"/>
      <w:u w:val="single"/>
    </w:rPr>
  </w:style>
  <w:style w:type="character" w:customStyle="1" w:styleId="Style1Char">
    <w:name w:val="Style1 Char"/>
    <w:basedOn w:val="DefaultParagraphFont"/>
    <w:link w:val="Style1"/>
    <w:rsid w:val="007265E4"/>
    <w:rPr>
      <w:rFonts w:ascii="Arial" w:eastAsia="Times New Roman" w:hAnsi="Arial" w:cs="Arial"/>
      <w:i/>
      <w:u w:val="single"/>
      <w:lang w:eastAsia="en-GB"/>
    </w:rPr>
  </w:style>
  <w:style w:type="paragraph" w:styleId="NormalWeb">
    <w:name w:val="Normal (Web)"/>
    <w:basedOn w:val="Normal"/>
    <w:uiPriority w:val="99"/>
    <w:semiHidden/>
    <w:unhideWhenUsed/>
    <w:rsid w:val="007265E4"/>
  </w:style>
  <w:style w:type="paragraph" w:styleId="Bibliography">
    <w:name w:val="Bibliography"/>
    <w:basedOn w:val="Normal"/>
    <w:next w:val="Normal"/>
    <w:uiPriority w:val="37"/>
    <w:unhideWhenUsed/>
    <w:rsid w:val="00A260B6"/>
  </w:style>
  <w:style w:type="character" w:styleId="Hyperlink">
    <w:name w:val="Hyperlink"/>
    <w:basedOn w:val="DefaultParagraphFont"/>
    <w:uiPriority w:val="99"/>
    <w:unhideWhenUsed/>
    <w:rsid w:val="00A260B6"/>
    <w:rPr>
      <w:color w:val="0563C1" w:themeColor="hyperlink"/>
      <w:u w:val="single"/>
    </w:rPr>
  </w:style>
  <w:style w:type="character" w:styleId="UnresolvedMention">
    <w:name w:val="Unresolved Mention"/>
    <w:basedOn w:val="DefaultParagraphFont"/>
    <w:uiPriority w:val="99"/>
    <w:semiHidden/>
    <w:unhideWhenUsed/>
    <w:rsid w:val="00A260B6"/>
    <w:rPr>
      <w:color w:val="605E5C"/>
      <w:shd w:val="clear" w:color="auto" w:fill="E1DFDD"/>
    </w:rPr>
  </w:style>
  <w:style w:type="paragraph" w:styleId="Header">
    <w:name w:val="header"/>
    <w:basedOn w:val="Normal"/>
    <w:link w:val="HeaderChar"/>
    <w:uiPriority w:val="99"/>
    <w:unhideWhenUsed/>
    <w:rsid w:val="00A260B6"/>
    <w:pPr>
      <w:tabs>
        <w:tab w:val="center" w:pos="4680"/>
        <w:tab w:val="right" w:pos="9360"/>
      </w:tabs>
      <w:spacing w:line="240" w:lineRule="auto"/>
    </w:pPr>
  </w:style>
  <w:style w:type="character" w:customStyle="1" w:styleId="HeaderChar">
    <w:name w:val="Header Char"/>
    <w:basedOn w:val="DefaultParagraphFont"/>
    <w:link w:val="Header"/>
    <w:uiPriority w:val="99"/>
    <w:rsid w:val="00A260B6"/>
    <w:rPr>
      <w:rFonts w:ascii="Times New Roman" w:hAnsi="Times New Roman" w:cs="Arial"/>
      <w:kern w:val="0"/>
      <w:sz w:val="24"/>
      <w:lang w:val="en-GB" w:eastAsia="en-GB"/>
      <w14:ligatures w14:val="none"/>
    </w:rPr>
  </w:style>
  <w:style w:type="paragraph" w:styleId="Footer">
    <w:name w:val="footer"/>
    <w:basedOn w:val="Normal"/>
    <w:link w:val="FooterChar"/>
    <w:uiPriority w:val="99"/>
    <w:unhideWhenUsed/>
    <w:rsid w:val="00A260B6"/>
    <w:pPr>
      <w:tabs>
        <w:tab w:val="center" w:pos="4680"/>
        <w:tab w:val="right" w:pos="9360"/>
      </w:tabs>
      <w:spacing w:line="240" w:lineRule="auto"/>
    </w:pPr>
  </w:style>
  <w:style w:type="character" w:customStyle="1" w:styleId="FooterChar">
    <w:name w:val="Footer Char"/>
    <w:basedOn w:val="DefaultParagraphFont"/>
    <w:link w:val="Footer"/>
    <w:uiPriority w:val="99"/>
    <w:rsid w:val="00A260B6"/>
    <w:rPr>
      <w:rFonts w:ascii="Times New Roman" w:hAnsi="Times New Roman" w:cs="Arial"/>
      <w:kern w:val="0"/>
      <w:sz w:val="24"/>
      <w:lang w:val="en-GB" w:eastAsia="en-GB"/>
      <w14:ligatures w14:val="none"/>
    </w:rPr>
  </w:style>
  <w:style w:type="paragraph" w:styleId="ListParagraph">
    <w:name w:val="List Paragraph"/>
    <w:basedOn w:val="Normal"/>
    <w:uiPriority w:val="34"/>
    <w:qFormat/>
    <w:rsid w:val="0059349A"/>
    <w:pPr>
      <w:ind w:left="720"/>
      <w:contextualSpacing/>
    </w:pPr>
  </w:style>
  <w:style w:type="paragraph" w:styleId="TOCHeading">
    <w:name w:val="TOC Heading"/>
    <w:basedOn w:val="Heading1"/>
    <w:next w:val="Normal"/>
    <w:uiPriority w:val="39"/>
    <w:unhideWhenUsed/>
    <w:qFormat/>
    <w:rsid w:val="00EF1E16"/>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EF1E16"/>
    <w:pPr>
      <w:spacing w:after="100"/>
    </w:pPr>
  </w:style>
  <w:style w:type="paragraph" w:styleId="TOC2">
    <w:name w:val="toc 2"/>
    <w:basedOn w:val="Normal"/>
    <w:next w:val="Normal"/>
    <w:autoRedefine/>
    <w:uiPriority w:val="39"/>
    <w:unhideWhenUsed/>
    <w:rsid w:val="00EF1E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671134">
      <w:bodyDiv w:val="1"/>
      <w:marLeft w:val="0"/>
      <w:marRight w:val="0"/>
      <w:marTop w:val="0"/>
      <w:marBottom w:val="0"/>
      <w:divBdr>
        <w:top w:val="none" w:sz="0" w:space="0" w:color="auto"/>
        <w:left w:val="none" w:sz="0" w:space="0" w:color="auto"/>
        <w:bottom w:val="none" w:sz="0" w:space="0" w:color="auto"/>
        <w:right w:val="none" w:sz="0" w:space="0" w:color="auto"/>
      </w:divBdr>
    </w:div>
    <w:div w:id="1539270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ONS237</b:Tag>
    <b:SourceType>InternetSite</b:SourceType>
    <b:Guid>{07CDF359-A8C1-47F7-A1A8-ECA21315391E}</b:Guid>
    <b:Author>
      <b:Author>
        <b:Corporate>ONS.GOV</b:Corporate>
      </b:Author>
    </b:Author>
    <b:Title>Public opinions and social trends, Great Britain: 1 to 11 June 2023</b:Title>
    <b:Year>2023</b:Year>
    <b:YearAccessed>2024</b:YearAccessed>
    <b:MonthAccessed>August</b:MonthAccessed>
    <b:DayAccessed>25</b:DayAccessed>
    <b:URL>https://www.ons.gov.uk/peoplepopulationandcommunity/wellbeing/bulletins/publicopinionsandsocialtrendsgreatbritain/1to11june2023</b:URL>
    <b:RefOrder>1</b:RefOrder>
  </b:Source>
  <b:Source>
    <b:Tag>oha23</b:Tag>
    <b:SourceType>InternetSite</b:SourceType>
    <b:Guid>{DEA5A828-D216-484C-9EE7-F1A9FE060BA0}</b:Guid>
    <b:Author>
      <b:Author>
        <b:Corporate>ohanahc</b:Corporate>
      </b:Author>
    </b:Author>
    <b:Title>The Power of Community-Based Mentorship Programs</b:Title>
    <b:Year>2023</b:Year>
    <b:YearAccessed>2024</b:YearAccessed>
    <b:MonthAccessed>August</b:MonthAccessed>
    <b:DayAccessed>25</b:DayAccessed>
    <b:URL>https://ohanahc.org/the-power-of-community-based-mentorship-programs/#:~:text=One%20of%20the%20key%20advantages,events%20to%20stimulate%20their%20conversations</b:URL>
    <b:RefOrder>1</b:RefOrder>
  </b:Source>
  <b:Source>
    <b:Tag>cre231</b:Tag>
    <b:SourceType>InternetSite</b:SourceType>
    <b:Guid>{AFD5F058-2A68-4A04-8724-FF59B6BED5C3}</b:Guid>
    <b:Author>
      <b:Author>
        <b:Corporate>credolab</b:Corporate>
      </b:Author>
    </b:Author>
    <b:Title>How To Empower Marginalised Communities: 3 Key Strategies To Expand Financial Inclusion</b:Title>
    <b:Year>2023</b:Year>
    <b:YearAccessed>2024</b:YearAccessed>
    <b:MonthAccessed>August</b:MonthAccessed>
    <b:DayAccessed>25</b:DayAccessed>
    <b:URL>https://www.credolab.com/blog/how-to-empower-marginalised-communities-3-key-strategies-to-expand-financial-inclusion</b:URL>
    <b:RefOrder>2</b:RefOrder>
  </b:Source>
  <b:Source>
    <b:Tag>Lau21</b:Tag>
    <b:SourceType>InternetSite</b:SourceType>
    <b:Guid>{2BA4340F-A6D1-4BB1-8BAB-A7D1A85D7DDA}</b:Guid>
    <b:Author>
      <b:Author>
        <b:NameList>
          <b:Person>
            <b:Last>Trappett</b:Last>
            <b:First>Laura</b:First>
          </b:Person>
        </b:NameList>
      </b:Author>
    </b:Author>
    <b:Title>How to Build Trust Through Community Engagement</b:Title>
    <b:Year>2021</b:Year>
    <b:YearAccessed>2024</b:YearAccessed>
    <b:MonthAccessed>August</b:MonthAccessed>
    <b:DayAccessed>26</b:DayAccessed>
    <b:URL>https://www.socialpinpoint.com/how-to-build-trust-through-community-engagement/#:~:text=Trust%20enables%20decision%2Dmakers%20and,with%20the%20communities%20they%20represent</b:URL>
    <b:RefOrder>3</b:RefOrder>
  </b:Source>
  <b:Source>
    <b:Tag>öre23</b:Tag>
    <b:SourceType>InternetSite</b:SourceType>
    <b:Guid>{04DC5C94-F85C-4C2E-8D6B-A3AB1EF4CCCD}</b:Guid>
    <b:Author>
      <b:Author>
        <b:NameList>
          <b:Person>
            <b:Last>Fillet</b:Last>
            <b:First>ören</b:First>
          </b:Person>
        </b:NameList>
      </b:Author>
    </b:Author>
    <b:Title>Inclusive community engagement: 10 good practices</b:Title>
    <b:Year>2023</b:Year>
    <b:YearAccessed>2024</b:YearAccessed>
    <b:MonthAccessed>August</b:MonthAccessed>
    <b:DayAccessed>26</b:DayAccessed>
    <b:URL>https://www.govocal.com/blog/6-good-practice-examples-for-inclusive-community-engagement-enuk</b:URL>
    <b:RefOrder>4</b:RefOrder>
  </b:Source>
  <b:Source>
    <b:Tag>Nat24</b:Tag>
    <b:SourceType>InternetSite</b:SourceType>
    <b:Guid>{AA649F52-5EC5-4EC1-9B3F-1009561130CD}</b:Guid>
    <b:Author>
      <b:Author>
        <b:NameList>
          <b:Person>
            <b:Last>Martell</b:Last>
            <b:First>Natasha</b:First>
          </b:Person>
        </b:NameList>
      </b:Author>
    </b:Author>
    <b:Title>What is Community Engagement and Why Is It Important?</b:Title>
    <b:Year>2024</b:Year>
    <b:YearAccessed>2024</b:YearAccessed>
    <b:MonthAccessed>August</b:MonthAccessed>
    <b:DayAccessed>26</b:DayAccessed>
    <b:URL>https://newsroom.delib.net/what-is-community-engagement-meaning/</b:URL>
    <b:RefOrder>5</b:RefOrder>
  </b:Source>
  <b:Source>
    <b:Tag>gra232</b:Tag>
    <b:SourceType>InternetSite</b:SourceType>
    <b:Guid>{DB6E3EA1-D7D0-4141-AF26-BF454124FAB8}</b:Guid>
    <b:Author>
      <b:Author>
        <b:Corporate>granicus</b:Corporate>
      </b:Author>
    </b:Author>
    <b:Title>Why is Community Engagement Important?</b:Title>
    <b:Year>2023</b:Year>
    <b:YearAccessed>2024</b:YearAccessed>
    <b:MonthAccessed>August</b:MonthAccessed>
    <b:DayAccessed>27</b:DayAccessed>
    <b:URL>https://granicus.com/blog/why-is-community-engagement-important/#:~:text=Community%20engagement%20leads%20to%20improved%20outcomes&amp;text=Establishing%20long%20standing%2C%20effective%20partnerships,unique%20aspirations%20of%20the%20community</b:URL>
    <b:RefOrder>6</b:RefOrder>
  </b:Source>
  <b:Source>
    <b:Tag>fas231</b:Tag>
    <b:SourceType>InternetSite</b:SourceType>
    <b:Guid>{9C755978-9AA6-4B75-86CA-9A5ABB4487F4}</b:Guid>
    <b:Author>
      <b:Author>
        <b:Corporate>fastercapital</b:Corporate>
      </b:Author>
    </b:Author>
    <b:Title>The Importance Of Community Empowerment</b:Title>
    <b:Year>2023</b:Year>
    <b:YearAccessed>2024</b:YearAccessed>
    <b:MonthAccessed>August</b:MonthAccessed>
    <b:DayAccessed>27</b:DayAccessed>
    <b:URL>https://fastercapital.com/topics/the-importance-of-community-empowerment.html#:~:text=One%20of%20the%20primary%20reasons,and%20their%20needs%20are%20prioritized</b:URL>
    <b:RefOrder>7</b:RefOrder>
  </b:Source>
  <b:Source>
    <b:Tag>Sha20</b:Tag>
    <b:SourceType>InternetSite</b:SourceType>
    <b:Guid>{2E34722C-EB6D-46AF-AC4B-D88675F673BF}</b:Guid>
    <b:Author>
      <b:Author>
        <b:NameList>
          <b:Person>
            <b:Last>Hatton</b:Last>
            <b:First>Shane</b:First>
          </b:Person>
        </b:NameList>
      </b:Author>
    </b:Author>
    <b:Title>Seven Principles For Communicating In Critical Moments</b:Title>
    <b:Year>2020</b:Year>
    <b:YearAccessed>2024</b:YearAccessed>
    <b:MonthAccessed>August</b:MonthAccessed>
    <b:DayAccessed>27</b:DayAccessed>
    <b:URL>https://www.forbes.com/councils/forbescoachescouncil/2020/05/13/seven-principles-for-communicating-in-critical-moments/</b:URL>
    <b:RefOrder>5</b:RefOrder>
  </b:Source>
  <b:Source>
    <b:Tag>tra23</b:Tag>
    <b:SourceType>InternetSite</b:SourceType>
    <b:Guid>{AD75A7FE-5CFF-4C15-BEA8-F2A7FA880207}</b:Guid>
    <b:Author>
      <b:Author>
        <b:Corporate>tractivity</b:Corporate>
      </b:Author>
    </b:Author>
    <b:Title>Stakeholder Mapping Complete Guide</b:Title>
    <b:Year>2023</b:Year>
    <b:YearAccessed>2024</b:YearAccessed>
    <b:MonthAccessed>August</b:MonthAccessed>
    <b:DayAccessed>16</b:DayAccessed>
    <b:URL>https://www.tractivity.co.uk/blog/stakeholder-mapping-guide</b:URL>
    <b:RefOrder>1</b:RefOrder>
  </b:Source>
  <b:Source>
    <b:Tag>Deb24</b:Tag>
    <b:SourceType>InternetSite</b:SourceType>
    <b:Guid>{6536CAB8-A6AA-4150-B943-C5F8FE0259E7}</b:Guid>
    <b:Author>
      <b:Author>
        <b:NameList>
          <b:Person>
            <b:Last>Hipp</b:Last>
            <b:First>Deb</b:First>
          </b:Person>
        </b:NameList>
      </b:Author>
    </b:Author>
    <b:Title>The Age-Friendly Movement And How It Supports Older Adults</b:Title>
    <b:Year>2024</b:Year>
    <b:YearAccessed>2024</b:YearAccessed>
    <b:MonthAccessed>August</b:MonthAccessed>
    <b:DayAccessed>27</b:DayAccessed>
    <b:URL>https://www.forbes.com/health/senior-living/age-friendly-movement/</b:URL>
    <b:RefOrder>2</b:RefOrder>
  </b:Source>
  <b:Source>
    <b:Tag>Nex231</b:Tag>
    <b:SourceType>InternetSite</b:SourceType>
    <b:Guid>{28727308-5837-4ABF-907B-FEC77F779BC5}</b:Guid>
    <b:Author>
      <b:Author>
        <b:NameList>
          <b:Person>
            <b:Last>Avenue</b:Last>
            <b:First>Next</b:First>
          </b:Person>
        </b:NameList>
      </b:Author>
    </b:Author>
    <b:Title>The Blessings And Challenges Of Caring For Older Family Members</b:Title>
    <b:Year>2023</b:Year>
    <b:YearAccessed>2024</b:YearAccessed>
    <b:MonthAccessed>August</b:MonthAccessed>
    <b:DayAccessed>27</b:DayAccessed>
    <b:URL>https://www.forbes.com/sites/nextavenue/2017/02/16/the-blessings-and-challenges-of-caring-for-older-family-members/</b:URL>
    <b:RefOrder>3</b:RefOrder>
  </b:Source>
  <b:Source>
    <b:Tag>Kar222</b:Tag>
    <b:SourceType>InternetSite</b:SourceType>
    <b:Guid>{4790D2D9-DB3F-4260-A3A6-E8E109CF9D1C}</b:Guid>
    <b:Author>
      <b:Author>
        <b:NameList>
          <b:Person>
            <b:Last>Tama-Rutigliano</b:Last>
            <b:First>Karina</b:First>
          </b:Person>
        </b:NameList>
      </b:Author>
    </b:Author>
    <b:Title>Stellar Strategies For communicating To Seniors</b:Title>
    <b:Year>2022</b:Year>
    <b:YearAccessed>2024</b:YearAccessed>
    <b:MonthAccessed>August</b:MonthAccessed>
    <b:DayAccessed>27</b:DayAccessed>
    <b:URL>https://www.forbes.com/sites/forbescommunicationscouncil/2017/11/09/stellar-strategies-for-marketing-to-seniors/</b:URL>
    <b:RefOrder>4</b:RefOrder>
  </b:Source>
</b:Sources>
</file>

<file path=customXml/itemProps1.xml><?xml version="1.0" encoding="utf-8"?>
<ds:datastoreItem xmlns:ds="http://schemas.openxmlformats.org/officeDocument/2006/customXml" ds:itemID="{EF5D31C2-DA7D-45B0-98E4-E62BEAA81D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3222</Words>
  <Characters>21779</Characters>
  <Application>Microsoft Office Word</Application>
  <DocSecurity>0</DocSecurity>
  <Lines>181</Lines>
  <Paragraphs>49</Paragraphs>
  <ScaleCrop>false</ScaleCrop>
  <Company/>
  <LinksUpToDate>false</LinksUpToDate>
  <CharactersWithSpaces>24952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2024-08-28T17:23:00Z</dcterms:created>
  <dcterms:modified xsi:type="dcterms:W3CDTF">2024-08-28T17:23:00Z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f1889a7063dd9f7bf54adc1da4dfb7ea4d137ff4784e97bac93d3816096906c4</vt:lpwstr>
  </property>
</Properties>
</file>