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127AE" w14:textId="77777777" w:rsidR="0086021B" w:rsidRPr="00A12F9D" w:rsidRDefault="0086021B" w:rsidP="0086021B">
      <w:pPr>
        <w:jc w:val="center"/>
        <w:rPr>
          <w:b/>
          <w:sz w:val="32"/>
          <w:szCs w:val="32"/>
          <w:lang w:val="en-GB"/>
        </w:rPr>
      </w:pPr>
      <w:r w:rsidRPr="00A12F9D">
        <w:rPr>
          <w:b/>
          <w:noProof/>
          <w:sz w:val="32"/>
          <w:szCs w:val="32"/>
          <w:lang w:val="en-GB"/>
        </w:rPr>
        <w:drawing>
          <wp:inline distT="114300" distB="114300" distL="114300" distR="114300" wp14:anchorId="61EAF6A5" wp14:editId="0E04F5E8">
            <wp:extent cx="3028950" cy="714375"/>
            <wp:effectExtent l="0" t="0" r="0" b="9525"/>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028950" cy="714375"/>
                    </a:xfrm>
                    <a:prstGeom prst="rect">
                      <a:avLst/>
                    </a:prstGeom>
                    <a:ln/>
                  </pic:spPr>
                </pic:pic>
              </a:graphicData>
            </a:graphic>
          </wp:inline>
        </w:drawing>
      </w:r>
    </w:p>
    <w:p w14:paraId="76CBEE3D" w14:textId="77777777" w:rsidR="0086021B" w:rsidRPr="00A12F9D" w:rsidRDefault="0086021B" w:rsidP="0086021B">
      <w:pPr>
        <w:pStyle w:val="Title"/>
        <w:jc w:val="center"/>
        <w:rPr>
          <w:sz w:val="24"/>
          <w:szCs w:val="24"/>
          <w:lang w:val="en-GB"/>
        </w:rPr>
      </w:pPr>
    </w:p>
    <w:p w14:paraId="087F8490" w14:textId="77777777" w:rsidR="0086021B" w:rsidRPr="005D10C5" w:rsidRDefault="0086021B" w:rsidP="0086021B">
      <w:pPr>
        <w:pStyle w:val="Title"/>
        <w:jc w:val="center"/>
        <w:rPr>
          <w:b/>
          <w:bCs/>
          <w:sz w:val="24"/>
          <w:szCs w:val="24"/>
          <w:lang w:val="en-GB"/>
        </w:rPr>
      </w:pPr>
      <w:r>
        <w:rPr>
          <w:sz w:val="24"/>
          <w:szCs w:val="24"/>
          <w:lang w:val="en-GB"/>
        </w:rPr>
        <w:br/>
      </w:r>
    </w:p>
    <w:p w14:paraId="1F0D3918" w14:textId="77777777" w:rsidR="0086021B" w:rsidRPr="005D10C5" w:rsidRDefault="0086021B" w:rsidP="0086021B">
      <w:pPr>
        <w:pStyle w:val="Title"/>
        <w:jc w:val="center"/>
        <w:rPr>
          <w:b/>
          <w:bCs/>
          <w:sz w:val="24"/>
          <w:szCs w:val="24"/>
          <w:lang w:val="en-GB"/>
        </w:rPr>
      </w:pPr>
      <w:r w:rsidRPr="005D10C5">
        <w:rPr>
          <w:b/>
          <w:bCs/>
          <w:sz w:val="24"/>
          <w:szCs w:val="24"/>
          <w:lang w:val="en-GB"/>
        </w:rPr>
        <w:t>Master of Business Administration</w:t>
      </w:r>
    </w:p>
    <w:p w14:paraId="59540AB6" w14:textId="77777777" w:rsidR="0086021B" w:rsidRPr="005D10C5" w:rsidRDefault="0086021B" w:rsidP="0086021B">
      <w:pPr>
        <w:pStyle w:val="Title"/>
        <w:jc w:val="center"/>
        <w:rPr>
          <w:b/>
          <w:bCs/>
          <w:sz w:val="24"/>
          <w:szCs w:val="24"/>
          <w:lang w:val="en-GB"/>
        </w:rPr>
      </w:pPr>
      <w:r w:rsidRPr="005D10C5">
        <w:rPr>
          <w:b/>
          <w:bCs/>
          <w:sz w:val="24"/>
          <w:szCs w:val="24"/>
          <w:lang w:val="en-GB"/>
        </w:rPr>
        <w:t>Human Capital Management LCMB7023</w:t>
      </w:r>
    </w:p>
    <w:p w14:paraId="082BBC6A" w14:textId="77777777" w:rsidR="0086021B" w:rsidRPr="005D10C5" w:rsidRDefault="0086021B" w:rsidP="0086021B">
      <w:pPr>
        <w:pStyle w:val="Title"/>
        <w:jc w:val="center"/>
        <w:rPr>
          <w:b/>
          <w:bCs/>
          <w:sz w:val="24"/>
          <w:szCs w:val="24"/>
          <w:lang w:val="en-GB"/>
        </w:rPr>
      </w:pPr>
      <w:r w:rsidRPr="005D10C5">
        <w:rPr>
          <w:b/>
          <w:bCs/>
          <w:sz w:val="24"/>
          <w:szCs w:val="24"/>
          <w:lang w:val="en-GB"/>
        </w:rPr>
        <w:t>ASSESSMENT COMPONENT 1: INDIVIDUAL REPORT</w:t>
      </w:r>
    </w:p>
    <w:p w14:paraId="10E7EF40" w14:textId="01BDC3F0" w:rsidR="0086021B" w:rsidRPr="005D10C5" w:rsidRDefault="0086021B" w:rsidP="0086021B">
      <w:pPr>
        <w:pStyle w:val="Title"/>
        <w:jc w:val="center"/>
        <w:rPr>
          <w:b/>
          <w:bCs/>
          <w:sz w:val="24"/>
          <w:szCs w:val="24"/>
          <w:lang w:val="en-GB"/>
        </w:rPr>
      </w:pPr>
      <w:r w:rsidRPr="005D10C5">
        <w:rPr>
          <w:b/>
          <w:bCs/>
          <w:sz w:val="24"/>
          <w:szCs w:val="24"/>
          <w:lang w:val="en-GB"/>
        </w:rPr>
        <w:t xml:space="preserve">Student Name- </w:t>
      </w:r>
      <w:r>
        <w:rPr>
          <w:b/>
          <w:bCs/>
          <w:sz w:val="24"/>
          <w:szCs w:val="24"/>
          <w:lang w:val="en-GB"/>
        </w:rPr>
        <w:t>Harshkumar Manojkumar Patel</w:t>
      </w:r>
    </w:p>
    <w:p w14:paraId="2CD21B54" w14:textId="6BB120A1" w:rsidR="0086021B" w:rsidRPr="005D10C5" w:rsidRDefault="0086021B" w:rsidP="0086021B">
      <w:pPr>
        <w:pStyle w:val="Title"/>
        <w:jc w:val="center"/>
        <w:rPr>
          <w:b/>
          <w:bCs/>
          <w:sz w:val="24"/>
          <w:szCs w:val="24"/>
          <w:lang w:val="en-GB"/>
        </w:rPr>
      </w:pPr>
      <w:r w:rsidRPr="005D10C5">
        <w:rPr>
          <w:b/>
          <w:bCs/>
          <w:sz w:val="24"/>
          <w:szCs w:val="24"/>
          <w:lang w:val="en-GB"/>
        </w:rPr>
        <w:t xml:space="preserve">Student ID- </w:t>
      </w:r>
      <w:r>
        <w:rPr>
          <w:b/>
          <w:bCs/>
          <w:sz w:val="24"/>
          <w:szCs w:val="24"/>
          <w:lang w:val="en-GB"/>
        </w:rPr>
        <w:t>2503790</w:t>
      </w:r>
    </w:p>
    <w:p w14:paraId="136F3E62" w14:textId="6EED1924" w:rsidR="0086021B" w:rsidRPr="005D10C5" w:rsidRDefault="0086021B" w:rsidP="0086021B">
      <w:pPr>
        <w:pStyle w:val="Title"/>
        <w:jc w:val="center"/>
        <w:rPr>
          <w:b/>
          <w:bCs/>
          <w:sz w:val="24"/>
          <w:szCs w:val="24"/>
          <w:lang w:val="en-GB"/>
        </w:rPr>
      </w:pPr>
      <w:r w:rsidRPr="005D10C5">
        <w:rPr>
          <w:b/>
          <w:bCs/>
          <w:sz w:val="24"/>
          <w:szCs w:val="24"/>
          <w:lang w:val="en-GB"/>
        </w:rPr>
        <w:t xml:space="preserve">Lecturer Name- </w:t>
      </w:r>
      <w:r>
        <w:rPr>
          <w:b/>
          <w:bCs/>
          <w:sz w:val="24"/>
          <w:szCs w:val="24"/>
          <w:lang w:val="en-GB"/>
        </w:rPr>
        <w:t>Hoang Dang Nguyen</w:t>
      </w:r>
    </w:p>
    <w:p w14:paraId="2DB8F96A" w14:textId="77777777" w:rsidR="0086021B" w:rsidRPr="005D10C5" w:rsidRDefault="0086021B" w:rsidP="0086021B">
      <w:pPr>
        <w:pStyle w:val="Title"/>
        <w:jc w:val="center"/>
        <w:rPr>
          <w:b/>
          <w:bCs/>
          <w:sz w:val="24"/>
          <w:szCs w:val="24"/>
          <w:lang w:val="en-GB"/>
        </w:rPr>
      </w:pPr>
      <w:r w:rsidRPr="005D10C5">
        <w:rPr>
          <w:b/>
          <w:bCs/>
          <w:sz w:val="24"/>
          <w:szCs w:val="24"/>
          <w:lang w:val="en-GB"/>
        </w:rPr>
        <w:t>Word count- 2479</w:t>
      </w:r>
    </w:p>
    <w:p w14:paraId="2C4519BF" w14:textId="77777777" w:rsidR="0086021B" w:rsidRPr="005D10C5" w:rsidRDefault="0086021B" w:rsidP="0086021B">
      <w:pPr>
        <w:pStyle w:val="Title"/>
        <w:jc w:val="center"/>
        <w:rPr>
          <w:b/>
          <w:bCs/>
          <w:sz w:val="24"/>
          <w:szCs w:val="24"/>
          <w:lang w:val="en-GB"/>
        </w:rPr>
      </w:pPr>
      <w:r w:rsidRPr="005D10C5">
        <w:rPr>
          <w:b/>
          <w:bCs/>
          <w:sz w:val="24"/>
          <w:szCs w:val="24"/>
          <w:lang w:val="en-GB"/>
        </w:rPr>
        <w:t>Submission Date- 14 November 2025</w:t>
      </w:r>
    </w:p>
    <w:p w14:paraId="71F97DBD" w14:textId="77777777" w:rsidR="0086021B" w:rsidRPr="00A12F9D" w:rsidRDefault="0086021B" w:rsidP="0086021B">
      <w:pPr>
        <w:rPr>
          <w:b/>
          <w:lang w:val="en-GB"/>
        </w:rPr>
      </w:pPr>
      <w:r w:rsidRPr="00A12F9D">
        <w:rPr>
          <w:b/>
          <w:lang w:val="en-GB"/>
        </w:rPr>
        <w:br w:type="page"/>
      </w:r>
    </w:p>
    <w:sdt>
      <w:sdtPr>
        <w:rPr>
          <w:rFonts w:ascii="Arial" w:eastAsia="Arial" w:hAnsi="Arial" w:cs="Arial"/>
          <w:color w:val="auto"/>
          <w:sz w:val="24"/>
          <w:szCs w:val="24"/>
          <w:lang w:val="en-GB" w:eastAsia="en-IN"/>
        </w:rPr>
        <w:id w:val="-165784993"/>
        <w:docPartObj>
          <w:docPartGallery w:val="Table of Contents"/>
          <w:docPartUnique/>
        </w:docPartObj>
      </w:sdtPr>
      <w:sdtEndPr>
        <w:rPr>
          <w:rFonts w:ascii="Calibri" w:eastAsia="Calibri" w:hAnsi="Calibri" w:cs="Calibri"/>
          <w:b/>
          <w:bCs/>
          <w:noProof/>
          <w:color w:val="000000"/>
          <w:kern w:val="2"/>
          <w:lang w:eastAsia="en-US" w:bidi="en-US"/>
          <w14:ligatures w14:val="standardContextual"/>
        </w:rPr>
      </w:sdtEndPr>
      <w:sdtContent>
        <w:p w14:paraId="0B59B533" w14:textId="77777777" w:rsidR="0086021B" w:rsidRPr="006B60BB" w:rsidRDefault="0086021B" w:rsidP="0086021B">
          <w:pPr>
            <w:pStyle w:val="TOCHeading"/>
            <w:spacing w:line="360" w:lineRule="auto"/>
            <w:jc w:val="center"/>
            <w:rPr>
              <w:rFonts w:ascii="Arial" w:hAnsi="Arial" w:cs="Arial"/>
              <w:b/>
              <w:bCs/>
              <w:color w:val="000000" w:themeColor="text1"/>
              <w:sz w:val="24"/>
              <w:szCs w:val="24"/>
              <w:lang w:val="en-GB"/>
            </w:rPr>
          </w:pPr>
          <w:r w:rsidRPr="006B60BB">
            <w:rPr>
              <w:rFonts w:ascii="Arial" w:hAnsi="Arial" w:cs="Arial"/>
              <w:b/>
              <w:bCs/>
              <w:color w:val="000000" w:themeColor="text1"/>
              <w:sz w:val="24"/>
              <w:szCs w:val="24"/>
              <w:lang w:val="en-GB"/>
            </w:rPr>
            <w:t>Table of Contents</w:t>
          </w:r>
        </w:p>
        <w:p w14:paraId="0B890A9F" w14:textId="77777777" w:rsidR="0086021B" w:rsidRPr="006B60BB" w:rsidRDefault="0086021B" w:rsidP="0086021B">
          <w:pPr>
            <w:pStyle w:val="TOC1"/>
            <w:tabs>
              <w:tab w:val="right" w:leader="dot" w:pos="9350"/>
            </w:tabs>
            <w:rPr>
              <w:rFonts w:eastAsiaTheme="minorEastAsia"/>
              <w:noProof/>
              <w:color w:val="000000" w:themeColor="text1"/>
              <w:kern w:val="2"/>
              <w:sz w:val="24"/>
              <w:szCs w:val="24"/>
              <w:lang w:val="en-IN" w:bidi="bn-IN"/>
              <w14:ligatures w14:val="standardContextual"/>
            </w:rPr>
          </w:pPr>
          <w:r w:rsidRPr="006B60BB">
            <w:rPr>
              <w:color w:val="000000" w:themeColor="text1"/>
              <w:sz w:val="24"/>
              <w:szCs w:val="24"/>
              <w:lang w:val="en-GB"/>
            </w:rPr>
            <w:fldChar w:fldCharType="begin"/>
          </w:r>
          <w:r w:rsidRPr="006B60BB">
            <w:rPr>
              <w:color w:val="000000" w:themeColor="text1"/>
              <w:sz w:val="24"/>
              <w:szCs w:val="24"/>
              <w:lang w:val="en-GB"/>
            </w:rPr>
            <w:instrText xml:space="preserve"> TOC \o "1-3" \h \z \u </w:instrText>
          </w:r>
          <w:r w:rsidRPr="006B60BB">
            <w:rPr>
              <w:color w:val="000000" w:themeColor="text1"/>
              <w:sz w:val="24"/>
              <w:szCs w:val="24"/>
              <w:lang w:val="en-GB"/>
            </w:rPr>
            <w:fldChar w:fldCharType="separate"/>
          </w:r>
          <w:hyperlink w:anchor="_Toc213680826" w:history="1">
            <w:r w:rsidRPr="006B60BB">
              <w:rPr>
                <w:rStyle w:val="Hyperlink"/>
                <w:noProof/>
                <w:color w:val="000000" w:themeColor="text1"/>
                <w:sz w:val="24"/>
                <w:szCs w:val="24"/>
                <w:lang w:val="en-GB"/>
              </w:rPr>
              <w:t>Introduction</w:t>
            </w:r>
            <w:r w:rsidRPr="006B60BB">
              <w:rPr>
                <w:noProof/>
                <w:webHidden/>
                <w:color w:val="000000" w:themeColor="text1"/>
                <w:sz w:val="24"/>
                <w:szCs w:val="24"/>
              </w:rPr>
              <w:tab/>
            </w:r>
            <w:r w:rsidRPr="006B60BB">
              <w:rPr>
                <w:noProof/>
                <w:webHidden/>
                <w:color w:val="000000" w:themeColor="text1"/>
                <w:sz w:val="24"/>
                <w:szCs w:val="24"/>
              </w:rPr>
              <w:fldChar w:fldCharType="begin"/>
            </w:r>
            <w:r w:rsidRPr="006B60BB">
              <w:rPr>
                <w:noProof/>
                <w:webHidden/>
                <w:color w:val="000000" w:themeColor="text1"/>
                <w:sz w:val="24"/>
                <w:szCs w:val="24"/>
              </w:rPr>
              <w:instrText xml:space="preserve"> PAGEREF _Toc213680826 \h </w:instrText>
            </w:r>
            <w:r w:rsidRPr="006B60BB">
              <w:rPr>
                <w:noProof/>
                <w:webHidden/>
                <w:color w:val="000000" w:themeColor="text1"/>
                <w:sz w:val="24"/>
                <w:szCs w:val="24"/>
              </w:rPr>
            </w:r>
            <w:r w:rsidRPr="006B60BB">
              <w:rPr>
                <w:noProof/>
                <w:webHidden/>
                <w:color w:val="000000" w:themeColor="text1"/>
                <w:sz w:val="24"/>
                <w:szCs w:val="24"/>
              </w:rPr>
              <w:fldChar w:fldCharType="separate"/>
            </w:r>
            <w:r w:rsidRPr="006B60BB">
              <w:rPr>
                <w:noProof/>
                <w:webHidden/>
                <w:color w:val="000000" w:themeColor="text1"/>
                <w:sz w:val="24"/>
                <w:szCs w:val="24"/>
              </w:rPr>
              <w:t>3</w:t>
            </w:r>
            <w:r w:rsidRPr="006B60BB">
              <w:rPr>
                <w:noProof/>
                <w:webHidden/>
                <w:color w:val="000000" w:themeColor="text1"/>
                <w:sz w:val="24"/>
                <w:szCs w:val="24"/>
              </w:rPr>
              <w:fldChar w:fldCharType="end"/>
            </w:r>
          </w:hyperlink>
        </w:p>
        <w:p w14:paraId="236925DE" w14:textId="77777777" w:rsidR="0086021B" w:rsidRPr="006B60BB" w:rsidRDefault="0086021B" w:rsidP="0086021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13680827" w:history="1">
            <w:r w:rsidRPr="006B60BB">
              <w:rPr>
                <w:rStyle w:val="Hyperlink"/>
                <w:noProof/>
                <w:color w:val="000000" w:themeColor="text1"/>
                <w:sz w:val="24"/>
                <w:szCs w:val="24"/>
                <w:lang w:val="en-GB"/>
              </w:rPr>
              <w:t>Technological Advancements and Their Impact on Labour Markets</w:t>
            </w:r>
            <w:r w:rsidRPr="006B60BB">
              <w:rPr>
                <w:noProof/>
                <w:webHidden/>
                <w:color w:val="000000" w:themeColor="text1"/>
                <w:sz w:val="24"/>
                <w:szCs w:val="24"/>
              </w:rPr>
              <w:tab/>
            </w:r>
            <w:r w:rsidRPr="006B60BB">
              <w:rPr>
                <w:noProof/>
                <w:webHidden/>
                <w:color w:val="000000" w:themeColor="text1"/>
                <w:sz w:val="24"/>
                <w:szCs w:val="24"/>
              </w:rPr>
              <w:fldChar w:fldCharType="begin"/>
            </w:r>
            <w:r w:rsidRPr="006B60BB">
              <w:rPr>
                <w:noProof/>
                <w:webHidden/>
                <w:color w:val="000000" w:themeColor="text1"/>
                <w:sz w:val="24"/>
                <w:szCs w:val="24"/>
              </w:rPr>
              <w:instrText xml:space="preserve"> PAGEREF _Toc213680827 \h </w:instrText>
            </w:r>
            <w:r w:rsidRPr="006B60BB">
              <w:rPr>
                <w:noProof/>
                <w:webHidden/>
                <w:color w:val="000000" w:themeColor="text1"/>
                <w:sz w:val="24"/>
                <w:szCs w:val="24"/>
              </w:rPr>
            </w:r>
            <w:r w:rsidRPr="006B60BB">
              <w:rPr>
                <w:noProof/>
                <w:webHidden/>
                <w:color w:val="000000" w:themeColor="text1"/>
                <w:sz w:val="24"/>
                <w:szCs w:val="24"/>
              </w:rPr>
              <w:fldChar w:fldCharType="separate"/>
            </w:r>
            <w:r w:rsidRPr="006B60BB">
              <w:rPr>
                <w:noProof/>
                <w:webHidden/>
                <w:color w:val="000000" w:themeColor="text1"/>
                <w:sz w:val="24"/>
                <w:szCs w:val="24"/>
              </w:rPr>
              <w:t>3</w:t>
            </w:r>
            <w:r w:rsidRPr="006B60BB">
              <w:rPr>
                <w:noProof/>
                <w:webHidden/>
                <w:color w:val="000000" w:themeColor="text1"/>
                <w:sz w:val="24"/>
                <w:szCs w:val="24"/>
              </w:rPr>
              <w:fldChar w:fldCharType="end"/>
            </w:r>
          </w:hyperlink>
        </w:p>
        <w:p w14:paraId="13DE80A8" w14:textId="77777777" w:rsidR="0086021B" w:rsidRPr="006B60BB" w:rsidRDefault="0086021B" w:rsidP="0086021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13680828" w:history="1">
            <w:r w:rsidRPr="006B60BB">
              <w:rPr>
                <w:rStyle w:val="Hyperlink"/>
                <w:noProof/>
                <w:color w:val="000000" w:themeColor="text1"/>
                <w:sz w:val="24"/>
                <w:szCs w:val="24"/>
                <w:lang w:val="en-GB"/>
              </w:rPr>
              <w:t>Demographic and Geopolitical Factors Influencing Labour Markets</w:t>
            </w:r>
            <w:r w:rsidRPr="006B60BB">
              <w:rPr>
                <w:noProof/>
                <w:webHidden/>
                <w:color w:val="000000" w:themeColor="text1"/>
                <w:sz w:val="24"/>
                <w:szCs w:val="24"/>
              </w:rPr>
              <w:tab/>
            </w:r>
            <w:r w:rsidRPr="006B60BB">
              <w:rPr>
                <w:noProof/>
                <w:webHidden/>
                <w:color w:val="000000" w:themeColor="text1"/>
                <w:sz w:val="24"/>
                <w:szCs w:val="24"/>
              </w:rPr>
              <w:fldChar w:fldCharType="begin"/>
            </w:r>
            <w:r w:rsidRPr="006B60BB">
              <w:rPr>
                <w:noProof/>
                <w:webHidden/>
                <w:color w:val="000000" w:themeColor="text1"/>
                <w:sz w:val="24"/>
                <w:szCs w:val="24"/>
              </w:rPr>
              <w:instrText xml:space="preserve"> PAGEREF _Toc213680828 \h </w:instrText>
            </w:r>
            <w:r w:rsidRPr="006B60BB">
              <w:rPr>
                <w:noProof/>
                <w:webHidden/>
                <w:color w:val="000000" w:themeColor="text1"/>
                <w:sz w:val="24"/>
                <w:szCs w:val="24"/>
              </w:rPr>
            </w:r>
            <w:r w:rsidRPr="006B60BB">
              <w:rPr>
                <w:noProof/>
                <w:webHidden/>
                <w:color w:val="000000" w:themeColor="text1"/>
                <w:sz w:val="24"/>
                <w:szCs w:val="24"/>
              </w:rPr>
              <w:fldChar w:fldCharType="separate"/>
            </w:r>
            <w:r w:rsidRPr="006B60BB">
              <w:rPr>
                <w:noProof/>
                <w:webHidden/>
                <w:color w:val="000000" w:themeColor="text1"/>
                <w:sz w:val="24"/>
                <w:szCs w:val="24"/>
              </w:rPr>
              <w:t>4</w:t>
            </w:r>
            <w:r w:rsidRPr="006B60BB">
              <w:rPr>
                <w:noProof/>
                <w:webHidden/>
                <w:color w:val="000000" w:themeColor="text1"/>
                <w:sz w:val="24"/>
                <w:szCs w:val="24"/>
              </w:rPr>
              <w:fldChar w:fldCharType="end"/>
            </w:r>
          </w:hyperlink>
        </w:p>
        <w:p w14:paraId="59FA59B0" w14:textId="77777777" w:rsidR="0086021B" w:rsidRPr="006B60BB" w:rsidRDefault="0086021B" w:rsidP="0086021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13680829" w:history="1">
            <w:r w:rsidRPr="006B60BB">
              <w:rPr>
                <w:rStyle w:val="Hyperlink"/>
                <w:noProof/>
                <w:color w:val="000000" w:themeColor="text1"/>
                <w:sz w:val="24"/>
                <w:szCs w:val="24"/>
                <w:lang w:val="en-GB"/>
              </w:rPr>
              <w:t>Addressing Skills Gaps and Talent Shortages through Strategic HRM</w:t>
            </w:r>
            <w:r w:rsidRPr="006B60BB">
              <w:rPr>
                <w:noProof/>
                <w:webHidden/>
                <w:color w:val="000000" w:themeColor="text1"/>
                <w:sz w:val="24"/>
                <w:szCs w:val="24"/>
              </w:rPr>
              <w:tab/>
            </w:r>
            <w:r w:rsidRPr="006B60BB">
              <w:rPr>
                <w:noProof/>
                <w:webHidden/>
                <w:color w:val="000000" w:themeColor="text1"/>
                <w:sz w:val="24"/>
                <w:szCs w:val="24"/>
              </w:rPr>
              <w:fldChar w:fldCharType="begin"/>
            </w:r>
            <w:r w:rsidRPr="006B60BB">
              <w:rPr>
                <w:noProof/>
                <w:webHidden/>
                <w:color w:val="000000" w:themeColor="text1"/>
                <w:sz w:val="24"/>
                <w:szCs w:val="24"/>
              </w:rPr>
              <w:instrText xml:space="preserve"> PAGEREF _Toc213680829 \h </w:instrText>
            </w:r>
            <w:r w:rsidRPr="006B60BB">
              <w:rPr>
                <w:noProof/>
                <w:webHidden/>
                <w:color w:val="000000" w:themeColor="text1"/>
                <w:sz w:val="24"/>
                <w:szCs w:val="24"/>
              </w:rPr>
            </w:r>
            <w:r w:rsidRPr="006B60BB">
              <w:rPr>
                <w:noProof/>
                <w:webHidden/>
                <w:color w:val="000000" w:themeColor="text1"/>
                <w:sz w:val="24"/>
                <w:szCs w:val="24"/>
              </w:rPr>
              <w:fldChar w:fldCharType="separate"/>
            </w:r>
            <w:r w:rsidRPr="006B60BB">
              <w:rPr>
                <w:noProof/>
                <w:webHidden/>
                <w:color w:val="000000" w:themeColor="text1"/>
                <w:sz w:val="24"/>
                <w:szCs w:val="24"/>
              </w:rPr>
              <w:t>6</w:t>
            </w:r>
            <w:r w:rsidRPr="006B60BB">
              <w:rPr>
                <w:noProof/>
                <w:webHidden/>
                <w:color w:val="000000" w:themeColor="text1"/>
                <w:sz w:val="24"/>
                <w:szCs w:val="24"/>
              </w:rPr>
              <w:fldChar w:fldCharType="end"/>
            </w:r>
          </w:hyperlink>
        </w:p>
        <w:p w14:paraId="744F98AA" w14:textId="77777777" w:rsidR="0086021B" w:rsidRPr="006B60BB" w:rsidRDefault="0086021B" w:rsidP="0086021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13680830" w:history="1">
            <w:r w:rsidRPr="006B60BB">
              <w:rPr>
                <w:rStyle w:val="Hyperlink"/>
                <w:noProof/>
                <w:color w:val="000000" w:themeColor="text1"/>
                <w:sz w:val="24"/>
                <w:szCs w:val="24"/>
                <w:lang w:val="en-GB"/>
              </w:rPr>
              <w:t>Reflective Report on My Capabilities in an International Context</w:t>
            </w:r>
            <w:r w:rsidRPr="006B60BB">
              <w:rPr>
                <w:noProof/>
                <w:webHidden/>
                <w:color w:val="000000" w:themeColor="text1"/>
                <w:sz w:val="24"/>
                <w:szCs w:val="24"/>
              </w:rPr>
              <w:tab/>
            </w:r>
            <w:r w:rsidRPr="006B60BB">
              <w:rPr>
                <w:noProof/>
                <w:webHidden/>
                <w:color w:val="000000" w:themeColor="text1"/>
                <w:sz w:val="24"/>
                <w:szCs w:val="24"/>
              </w:rPr>
              <w:fldChar w:fldCharType="begin"/>
            </w:r>
            <w:r w:rsidRPr="006B60BB">
              <w:rPr>
                <w:noProof/>
                <w:webHidden/>
                <w:color w:val="000000" w:themeColor="text1"/>
                <w:sz w:val="24"/>
                <w:szCs w:val="24"/>
              </w:rPr>
              <w:instrText xml:space="preserve"> PAGEREF _Toc213680830 \h </w:instrText>
            </w:r>
            <w:r w:rsidRPr="006B60BB">
              <w:rPr>
                <w:noProof/>
                <w:webHidden/>
                <w:color w:val="000000" w:themeColor="text1"/>
                <w:sz w:val="24"/>
                <w:szCs w:val="24"/>
              </w:rPr>
            </w:r>
            <w:r w:rsidRPr="006B60BB">
              <w:rPr>
                <w:noProof/>
                <w:webHidden/>
                <w:color w:val="000000" w:themeColor="text1"/>
                <w:sz w:val="24"/>
                <w:szCs w:val="24"/>
              </w:rPr>
              <w:fldChar w:fldCharType="separate"/>
            </w:r>
            <w:r w:rsidRPr="006B60BB">
              <w:rPr>
                <w:noProof/>
                <w:webHidden/>
                <w:color w:val="000000" w:themeColor="text1"/>
                <w:sz w:val="24"/>
                <w:szCs w:val="24"/>
              </w:rPr>
              <w:t>8</w:t>
            </w:r>
            <w:r w:rsidRPr="006B60BB">
              <w:rPr>
                <w:noProof/>
                <w:webHidden/>
                <w:color w:val="000000" w:themeColor="text1"/>
                <w:sz w:val="24"/>
                <w:szCs w:val="24"/>
              </w:rPr>
              <w:fldChar w:fldCharType="end"/>
            </w:r>
          </w:hyperlink>
        </w:p>
        <w:p w14:paraId="2CA0A8E5" w14:textId="77777777" w:rsidR="0086021B" w:rsidRPr="006B60BB" w:rsidRDefault="0086021B" w:rsidP="0086021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13680831" w:history="1">
            <w:r w:rsidRPr="006B60BB">
              <w:rPr>
                <w:rStyle w:val="Hyperlink"/>
                <w:noProof/>
                <w:color w:val="000000" w:themeColor="text1"/>
                <w:sz w:val="24"/>
                <w:szCs w:val="24"/>
                <w:lang w:val="en-GB"/>
              </w:rPr>
              <w:t>Conclusion</w:t>
            </w:r>
            <w:r w:rsidRPr="006B60BB">
              <w:rPr>
                <w:noProof/>
                <w:webHidden/>
                <w:color w:val="000000" w:themeColor="text1"/>
                <w:sz w:val="24"/>
                <w:szCs w:val="24"/>
              </w:rPr>
              <w:tab/>
            </w:r>
            <w:r w:rsidRPr="006B60BB">
              <w:rPr>
                <w:noProof/>
                <w:webHidden/>
                <w:color w:val="000000" w:themeColor="text1"/>
                <w:sz w:val="24"/>
                <w:szCs w:val="24"/>
              </w:rPr>
              <w:fldChar w:fldCharType="begin"/>
            </w:r>
            <w:r w:rsidRPr="006B60BB">
              <w:rPr>
                <w:noProof/>
                <w:webHidden/>
                <w:color w:val="000000" w:themeColor="text1"/>
                <w:sz w:val="24"/>
                <w:szCs w:val="24"/>
              </w:rPr>
              <w:instrText xml:space="preserve"> PAGEREF _Toc213680831 \h </w:instrText>
            </w:r>
            <w:r w:rsidRPr="006B60BB">
              <w:rPr>
                <w:noProof/>
                <w:webHidden/>
                <w:color w:val="000000" w:themeColor="text1"/>
                <w:sz w:val="24"/>
                <w:szCs w:val="24"/>
              </w:rPr>
            </w:r>
            <w:r w:rsidRPr="006B60BB">
              <w:rPr>
                <w:noProof/>
                <w:webHidden/>
                <w:color w:val="000000" w:themeColor="text1"/>
                <w:sz w:val="24"/>
                <w:szCs w:val="24"/>
              </w:rPr>
              <w:fldChar w:fldCharType="separate"/>
            </w:r>
            <w:r w:rsidRPr="006B60BB">
              <w:rPr>
                <w:noProof/>
                <w:webHidden/>
                <w:color w:val="000000" w:themeColor="text1"/>
                <w:sz w:val="24"/>
                <w:szCs w:val="24"/>
              </w:rPr>
              <w:t>12</w:t>
            </w:r>
            <w:r w:rsidRPr="006B60BB">
              <w:rPr>
                <w:noProof/>
                <w:webHidden/>
                <w:color w:val="000000" w:themeColor="text1"/>
                <w:sz w:val="24"/>
                <w:szCs w:val="24"/>
              </w:rPr>
              <w:fldChar w:fldCharType="end"/>
            </w:r>
          </w:hyperlink>
        </w:p>
        <w:p w14:paraId="2A7C2BD7" w14:textId="77777777" w:rsidR="0086021B" w:rsidRPr="006B60BB" w:rsidRDefault="0086021B" w:rsidP="0086021B">
          <w:pPr>
            <w:pStyle w:val="TOC1"/>
            <w:tabs>
              <w:tab w:val="right" w:leader="dot" w:pos="9350"/>
            </w:tabs>
            <w:rPr>
              <w:rFonts w:eastAsiaTheme="minorEastAsia"/>
              <w:noProof/>
              <w:color w:val="000000" w:themeColor="text1"/>
              <w:kern w:val="2"/>
              <w:sz w:val="24"/>
              <w:szCs w:val="24"/>
              <w:lang w:val="en-IN" w:bidi="bn-IN"/>
              <w14:ligatures w14:val="standardContextual"/>
            </w:rPr>
          </w:pPr>
          <w:hyperlink w:anchor="_Toc213680832" w:history="1">
            <w:r w:rsidRPr="006B60BB">
              <w:rPr>
                <w:rStyle w:val="Hyperlink"/>
                <w:noProof/>
                <w:color w:val="000000" w:themeColor="text1"/>
                <w:sz w:val="24"/>
                <w:szCs w:val="24"/>
                <w:lang w:val="en-GB"/>
              </w:rPr>
              <w:t>Reference</w:t>
            </w:r>
            <w:r w:rsidRPr="006B60BB">
              <w:rPr>
                <w:noProof/>
                <w:webHidden/>
                <w:color w:val="000000" w:themeColor="text1"/>
                <w:sz w:val="24"/>
                <w:szCs w:val="24"/>
              </w:rPr>
              <w:tab/>
            </w:r>
            <w:r w:rsidRPr="006B60BB">
              <w:rPr>
                <w:noProof/>
                <w:webHidden/>
                <w:color w:val="000000" w:themeColor="text1"/>
                <w:sz w:val="24"/>
                <w:szCs w:val="24"/>
              </w:rPr>
              <w:fldChar w:fldCharType="begin"/>
            </w:r>
            <w:r w:rsidRPr="006B60BB">
              <w:rPr>
                <w:noProof/>
                <w:webHidden/>
                <w:color w:val="000000" w:themeColor="text1"/>
                <w:sz w:val="24"/>
                <w:szCs w:val="24"/>
              </w:rPr>
              <w:instrText xml:space="preserve"> PAGEREF _Toc213680832 \h </w:instrText>
            </w:r>
            <w:r w:rsidRPr="006B60BB">
              <w:rPr>
                <w:noProof/>
                <w:webHidden/>
                <w:color w:val="000000" w:themeColor="text1"/>
                <w:sz w:val="24"/>
                <w:szCs w:val="24"/>
              </w:rPr>
            </w:r>
            <w:r w:rsidRPr="006B60BB">
              <w:rPr>
                <w:noProof/>
                <w:webHidden/>
                <w:color w:val="000000" w:themeColor="text1"/>
                <w:sz w:val="24"/>
                <w:szCs w:val="24"/>
              </w:rPr>
              <w:fldChar w:fldCharType="separate"/>
            </w:r>
            <w:r w:rsidRPr="006B60BB">
              <w:rPr>
                <w:noProof/>
                <w:webHidden/>
                <w:color w:val="000000" w:themeColor="text1"/>
                <w:sz w:val="24"/>
                <w:szCs w:val="24"/>
              </w:rPr>
              <w:t>13</w:t>
            </w:r>
            <w:r w:rsidRPr="006B60BB">
              <w:rPr>
                <w:noProof/>
                <w:webHidden/>
                <w:color w:val="000000" w:themeColor="text1"/>
                <w:sz w:val="24"/>
                <w:szCs w:val="24"/>
              </w:rPr>
              <w:fldChar w:fldCharType="end"/>
            </w:r>
          </w:hyperlink>
        </w:p>
        <w:p w14:paraId="78AA97FE" w14:textId="77777777" w:rsidR="0086021B" w:rsidRPr="00A12F9D" w:rsidRDefault="0086021B" w:rsidP="0086021B">
          <w:pPr>
            <w:spacing w:line="360" w:lineRule="auto"/>
            <w:rPr>
              <w:sz w:val="24"/>
              <w:lang w:val="en-GB"/>
            </w:rPr>
          </w:pPr>
          <w:r w:rsidRPr="006B60BB">
            <w:rPr>
              <w:b/>
              <w:bCs/>
              <w:noProof/>
              <w:color w:val="000000" w:themeColor="text1"/>
              <w:sz w:val="24"/>
              <w:lang w:val="en-GB"/>
            </w:rPr>
            <w:fldChar w:fldCharType="end"/>
          </w:r>
        </w:p>
      </w:sdtContent>
    </w:sdt>
    <w:p w14:paraId="4395D0A7" w14:textId="77777777" w:rsidR="0086021B" w:rsidRPr="00A12F9D" w:rsidRDefault="0086021B" w:rsidP="0086021B">
      <w:pPr>
        <w:spacing w:line="360" w:lineRule="auto"/>
        <w:jc w:val="center"/>
        <w:rPr>
          <w:rFonts w:eastAsia="Times New Roman"/>
          <w:b/>
          <w:sz w:val="24"/>
          <w:lang w:val="en-GB"/>
        </w:rPr>
      </w:pPr>
    </w:p>
    <w:p w14:paraId="6572675D" w14:textId="77777777" w:rsidR="0086021B" w:rsidRPr="00A12F9D" w:rsidRDefault="0086021B" w:rsidP="0086021B">
      <w:pPr>
        <w:spacing w:line="360" w:lineRule="auto"/>
        <w:jc w:val="both"/>
        <w:rPr>
          <w:rFonts w:eastAsia="Times New Roman"/>
          <w:b/>
          <w:sz w:val="24"/>
          <w:lang w:val="en-GB"/>
        </w:rPr>
      </w:pPr>
      <w:r w:rsidRPr="00A12F9D">
        <w:rPr>
          <w:rFonts w:eastAsia="Times New Roman"/>
          <w:b/>
          <w:sz w:val="24"/>
          <w:lang w:val="en-GB"/>
        </w:rPr>
        <w:br w:type="page"/>
      </w:r>
    </w:p>
    <w:p w14:paraId="70F44CAC" w14:textId="77777777" w:rsidR="0086021B" w:rsidRPr="00A14810" w:rsidRDefault="0086021B" w:rsidP="0086021B">
      <w:pPr>
        <w:pStyle w:val="Heading1"/>
        <w:spacing w:before="240" w:after="240" w:line="360" w:lineRule="auto"/>
        <w:jc w:val="both"/>
        <w:rPr>
          <w:rFonts w:ascii="Arial" w:hAnsi="Arial"/>
          <w:sz w:val="24"/>
        </w:rPr>
      </w:pPr>
      <w:bookmarkStart w:id="0" w:name="_Toc213680826"/>
      <w:r w:rsidRPr="00A14810">
        <w:rPr>
          <w:rFonts w:ascii="Arial" w:hAnsi="Arial"/>
          <w:sz w:val="24"/>
        </w:rPr>
        <w:lastRenderedPageBreak/>
        <w:t>Introduction</w:t>
      </w:r>
      <w:bookmarkEnd w:id="0"/>
    </w:p>
    <w:p w14:paraId="672E6648" w14:textId="77777777" w:rsidR="0086021B" w:rsidRPr="00A14810" w:rsidRDefault="0086021B" w:rsidP="0086021B">
      <w:pPr>
        <w:spacing w:before="240" w:after="240" w:line="360" w:lineRule="auto"/>
        <w:jc w:val="both"/>
        <w:rPr>
          <w:rFonts w:eastAsia="Times New Roman"/>
          <w:b/>
          <w:sz w:val="24"/>
          <w:lang w:val="en-GB"/>
        </w:rPr>
      </w:pPr>
      <w:r w:rsidRPr="00750AC5">
        <w:rPr>
          <w:rFonts w:eastAsia="Times New Roman"/>
          <w:sz w:val="24"/>
        </w:rPr>
        <w:t xml:space="preserve">National </w:t>
      </w:r>
      <w:r>
        <w:rPr>
          <w:rFonts w:eastAsia="Times New Roman"/>
          <w:sz w:val="24"/>
        </w:rPr>
        <w:t>&amp;</w:t>
      </w:r>
      <w:r w:rsidRPr="00750AC5">
        <w:rPr>
          <w:rFonts w:eastAsia="Times New Roman"/>
          <w:sz w:val="24"/>
        </w:rPr>
        <w:t xml:space="preserve"> international labor markets significantly influence</w:t>
      </w:r>
      <w:r>
        <w:rPr>
          <w:rFonts w:eastAsia="Times New Roman"/>
          <w:sz w:val="24"/>
        </w:rPr>
        <w:t xml:space="preserve"> strategies of </w:t>
      </w:r>
      <w:r w:rsidRPr="00750AC5">
        <w:rPr>
          <w:rFonts w:eastAsia="Times New Roman"/>
          <w:sz w:val="24"/>
        </w:rPr>
        <w:t xml:space="preserve">HRM </w:t>
      </w:r>
      <w:r>
        <w:rPr>
          <w:rFonts w:eastAsia="Times New Roman"/>
          <w:sz w:val="24"/>
        </w:rPr>
        <w:t>&amp;</w:t>
      </w:r>
      <w:r w:rsidRPr="00750AC5">
        <w:rPr>
          <w:rFonts w:eastAsia="Times New Roman"/>
          <w:sz w:val="24"/>
        </w:rPr>
        <w:t xml:space="preserve"> IHRM by shaping, legal requirements, economic conditions</w:t>
      </w:r>
      <w:r>
        <w:rPr>
          <w:rFonts w:eastAsia="Times New Roman"/>
          <w:sz w:val="24"/>
        </w:rPr>
        <w:t xml:space="preserve">, </w:t>
      </w:r>
      <w:r w:rsidRPr="00750AC5">
        <w:rPr>
          <w:rFonts w:eastAsia="Times New Roman"/>
          <w:sz w:val="24"/>
        </w:rPr>
        <w:t>cultural norms</w:t>
      </w:r>
      <w:r>
        <w:rPr>
          <w:rFonts w:eastAsia="Times New Roman"/>
          <w:sz w:val="24"/>
        </w:rPr>
        <w:t xml:space="preserve"> and </w:t>
      </w:r>
      <w:r w:rsidRPr="00750AC5">
        <w:rPr>
          <w:rFonts w:eastAsia="Times New Roman"/>
          <w:sz w:val="24"/>
        </w:rPr>
        <w:t>talent availability</w:t>
      </w:r>
      <w:r>
        <w:rPr>
          <w:rFonts w:eastAsia="Times New Roman"/>
          <w:sz w:val="24"/>
        </w:rPr>
        <w:t xml:space="preserve">. </w:t>
      </w:r>
      <w:r w:rsidRPr="00A14810">
        <w:rPr>
          <w:rFonts w:eastAsia="Times New Roman"/>
          <w:sz w:val="24"/>
          <w:lang w:val="en-GB"/>
        </w:rPr>
        <w:t xml:space="preserve">The technological changes in the form of AI, automation, robotics and digital labour platforms are transforming labour markets by changing the content of tasks, the occupational demands and the organisational work. Instead of merely replacing labour, there is modern evidence that there exists more of a mixed pattern of task reconfiguration. It comprises reduced routine tasks, non-routine cognitive tasks, increased interpersonal tasks and there are both displacement and complementary depending on sectors and level of skills. Synthesis provided by OECD and the World Bank show that this task-biased change is the core of the modern-day labour market transformation (OECD., 2025). </w:t>
      </w:r>
    </w:p>
    <w:p w14:paraId="7A16C579" w14:textId="77777777" w:rsidR="0086021B" w:rsidRPr="00A14810" w:rsidRDefault="0086021B" w:rsidP="0086021B">
      <w:pPr>
        <w:pStyle w:val="Heading1"/>
        <w:spacing w:before="240" w:after="240" w:line="360" w:lineRule="auto"/>
        <w:jc w:val="both"/>
        <w:rPr>
          <w:rFonts w:ascii="Arial" w:hAnsi="Arial"/>
          <w:sz w:val="24"/>
        </w:rPr>
      </w:pPr>
      <w:bookmarkStart w:id="1" w:name="_Toc213680827"/>
      <w:r w:rsidRPr="00A14810">
        <w:rPr>
          <w:rFonts w:ascii="Arial" w:hAnsi="Arial"/>
          <w:sz w:val="24"/>
        </w:rPr>
        <w:t>Technological Advancements and Their Impact on Labour Markets</w:t>
      </w:r>
      <w:bookmarkEnd w:id="1"/>
      <w:r w:rsidRPr="00A14810">
        <w:rPr>
          <w:rFonts w:ascii="Arial" w:hAnsi="Arial"/>
          <w:sz w:val="24"/>
        </w:rPr>
        <w:t xml:space="preserve"> </w:t>
      </w:r>
    </w:p>
    <w:p w14:paraId="56A2B3AF"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The functions of HR are to be changed as an administrative gatekeeper into a strategic capability builder. The adoption of technologies such as AI-assisted screening, chatbots and HR analytics will automate transactional HR (payroll, benefits, basic screening) and facilitate decision-making based on data when it comes to recruitment, performance and retention (</w:t>
      </w:r>
      <w:r w:rsidRPr="00A14810">
        <w:rPr>
          <w:rFonts w:eastAsia="Times New Roman"/>
          <w:color w:val="222222"/>
          <w:sz w:val="24"/>
          <w:highlight w:val="white"/>
          <w:lang w:val="en-GB"/>
        </w:rPr>
        <w:t>Nahar</w:t>
      </w:r>
      <w:r w:rsidRPr="00A14810">
        <w:rPr>
          <w:rFonts w:eastAsia="Times New Roman"/>
          <w:i/>
          <w:color w:val="222222"/>
          <w:sz w:val="24"/>
          <w:highlight w:val="white"/>
          <w:lang w:val="en-GB"/>
        </w:rPr>
        <w:t xml:space="preserve"> et al.</w:t>
      </w:r>
      <w:r w:rsidRPr="00A14810">
        <w:rPr>
          <w:rFonts w:eastAsia="Times New Roman"/>
          <w:color w:val="222222"/>
          <w:sz w:val="24"/>
          <w:highlight w:val="white"/>
          <w:lang w:val="en-GB"/>
        </w:rPr>
        <w:t>, 2024</w:t>
      </w:r>
      <w:r w:rsidRPr="00A14810">
        <w:rPr>
          <w:rFonts w:eastAsia="Times New Roman"/>
          <w:sz w:val="24"/>
          <w:lang w:val="en-GB"/>
        </w:rPr>
        <w:t xml:space="preserve">). This not only decreases the cost of operation but also increases strategic demands of HR by creating reskilling pipelines, making analytic ethics and organisational learning. Empirical research and expert reports point to quantifiable time-reductions as a result of AI implementation but also caution of inequality and governance dangers when companies do not invest in human resources as well as technology. </w:t>
      </w:r>
    </w:p>
    <w:p w14:paraId="3AD41CD0"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 xml:space="preserve">The international HR has to deal with cross-border talent flows in a world where remote employment and digital expatriation are merging the employment structure. Digital platforms and team virtual teams enable organisations to recruit talent anywhere around the world without relocation, introducing new forms of virtual mobility and digital-only assignments that are less expensive in terms of relocation but more expensive in terms of tax, employment law and cultural assimilation. According to macro analyses, IMF and OECD commentaries have shown that there </w:t>
      </w:r>
      <w:r w:rsidRPr="00A14810">
        <w:rPr>
          <w:rFonts w:eastAsia="Times New Roman"/>
          <w:sz w:val="24"/>
          <w:lang w:val="en-GB"/>
        </w:rPr>
        <w:lastRenderedPageBreak/>
        <w:t>are potential productivity benefits but also threats of job displacement that will be concentrated among routine jobs and also the risk of increasing inequality unless policy (reskilling, inclusive AI design) and employer responses are implemented (</w:t>
      </w:r>
      <w:r w:rsidRPr="00A14810">
        <w:rPr>
          <w:rFonts w:eastAsia="Times New Roman"/>
          <w:color w:val="222222"/>
          <w:sz w:val="24"/>
          <w:highlight w:val="white"/>
          <w:lang w:val="en-GB"/>
        </w:rPr>
        <w:t>Serrano, 2025</w:t>
      </w:r>
      <w:r w:rsidRPr="00A14810">
        <w:rPr>
          <w:rFonts w:eastAsia="Times New Roman"/>
          <w:sz w:val="24"/>
          <w:lang w:val="en-GB"/>
        </w:rPr>
        <w:t xml:space="preserve">). The distributional question is core to strategic HR as the companies that consider AI as an asset that can help employees achieve increased capabilities, can achieve a long-term competitive advantage whereas the companies that adopt automation as a means of cutting down the number of people may bear the moral, reputation and retention costs. </w:t>
      </w:r>
    </w:p>
    <w:p w14:paraId="7662220A"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The costs of adoption encompass investments in technologies, integration and data governance and training. The transition costs such as retraining, severance, compliance with legal regulations and possible regulatory scrutiny may offset the short-term gains in productivity. Therefore, there is a need to implement a gradual approach based on AI implementation in low-risk processes, introducing ethical management and integrating adoption with workforce re-skilling. The HR indicators must change to be capable of development such as reskilling rates or internal mobility, algorithmic fairness and cross-border compliance indicators rather than cost-per-hire. Altogether, technological advancements force HRM and IHRM to structure work that enhances human capabilities and deal with social, legal and strategic risks.</w:t>
      </w:r>
    </w:p>
    <w:p w14:paraId="2DC0C89A" w14:textId="77777777" w:rsidR="0086021B" w:rsidRPr="00A14810" w:rsidRDefault="0086021B" w:rsidP="0086021B">
      <w:pPr>
        <w:pStyle w:val="Heading1"/>
        <w:spacing w:before="240" w:after="240" w:line="360" w:lineRule="auto"/>
        <w:jc w:val="both"/>
        <w:rPr>
          <w:rFonts w:ascii="Arial" w:hAnsi="Arial"/>
          <w:sz w:val="24"/>
        </w:rPr>
      </w:pPr>
      <w:bookmarkStart w:id="2" w:name="_Toc213680828"/>
      <w:r w:rsidRPr="00A14810">
        <w:rPr>
          <w:rFonts w:ascii="Arial" w:hAnsi="Arial"/>
          <w:sz w:val="24"/>
        </w:rPr>
        <w:t>Demographic and Geopolitical Factors Influencing Labour Markets</w:t>
      </w:r>
      <w:bookmarkEnd w:id="2"/>
      <w:r w:rsidRPr="00A14810">
        <w:rPr>
          <w:rFonts w:ascii="Arial" w:hAnsi="Arial"/>
          <w:sz w:val="24"/>
        </w:rPr>
        <w:t xml:space="preserve"> </w:t>
      </w:r>
    </w:p>
    <w:p w14:paraId="57DC963C"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The national and international labour markets are also being fundamentally redefined by the demographic shifts and geopolitical turbulence that offer new talent opportunities as well as present a challenge to HRM. The HRM and IHRM have to work in a dynamic environment characterised by the aging population, youth unemployment, gender participation disparities and increasing geopolitical instabilities (</w:t>
      </w:r>
      <w:r w:rsidRPr="00A14810">
        <w:rPr>
          <w:rFonts w:eastAsia="Times New Roman"/>
          <w:color w:val="222222"/>
          <w:sz w:val="24"/>
          <w:highlight w:val="white"/>
          <w:lang w:val="en-GB"/>
        </w:rPr>
        <w:t xml:space="preserve">Farndale </w:t>
      </w:r>
      <w:r w:rsidRPr="00A14810">
        <w:rPr>
          <w:rFonts w:eastAsia="Times New Roman"/>
          <w:i/>
          <w:color w:val="222222"/>
          <w:sz w:val="24"/>
          <w:highlight w:val="white"/>
          <w:lang w:val="en-GB"/>
        </w:rPr>
        <w:t>et al</w:t>
      </w:r>
      <w:r w:rsidRPr="00A14810">
        <w:rPr>
          <w:rFonts w:eastAsia="Times New Roman"/>
          <w:color w:val="222222"/>
          <w:sz w:val="24"/>
          <w:highlight w:val="white"/>
          <w:lang w:val="en-GB"/>
        </w:rPr>
        <w:t>., 2025</w:t>
      </w:r>
      <w:r w:rsidRPr="00A14810">
        <w:rPr>
          <w:rFonts w:eastAsia="Times New Roman"/>
          <w:sz w:val="24"/>
          <w:lang w:val="en-GB"/>
        </w:rPr>
        <w:t xml:space="preserve">). These factors determine the criteria of skills, labour prices and the adoptable strategies to retain and develop global talents. </w:t>
      </w:r>
      <w:r w:rsidRPr="002458E0">
        <w:rPr>
          <w:rFonts w:eastAsia="Times New Roman"/>
          <w:sz w:val="24"/>
        </w:rPr>
        <w:t>Aging populations and labor migration trends contribute to shortages in specific sectors and a mismatch between available skills and industry needs.</w:t>
      </w:r>
    </w:p>
    <w:p w14:paraId="447C50EA"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Demographic dynamics and HRM implications</w:t>
      </w:r>
    </w:p>
    <w:p w14:paraId="70390808" w14:textId="77777777" w:rsidR="0086021B" w:rsidRPr="002E7745" w:rsidRDefault="0086021B" w:rsidP="0086021B">
      <w:pPr>
        <w:spacing w:before="240" w:after="240" w:line="360" w:lineRule="auto"/>
        <w:jc w:val="both"/>
        <w:rPr>
          <w:rFonts w:eastAsia="Times New Roman"/>
          <w:sz w:val="24"/>
          <w:lang w:val="en-GB"/>
        </w:rPr>
      </w:pPr>
      <w:r w:rsidRPr="00A14810">
        <w:rPr>
          <w:rFonts w:eastAsia="Times New Roman"/>
          <w:sz w:val="24"/>
          <w:lang w:val="en-GB"/>
        </w:rPr>
        <w:lastRenderedPageBreak/>
        <w:t>The advanced economies such as Japan and Germany are experiencing an aging workforce and declining labour pool as compared to emerging economies such as India and Nigeria that enjoy a youthful workforce. This unbalance promotes transnational talent wars and magnifies global mismatch of skills. Considering the Human Capital Theory, long-term investment in digital upskilling and lifelong learning is vital in order to remain productive with the retirement of older employees. Job redesign, reverse mentoring and hybrid work practices can be used by HRM to support intergenerational collaboration and maintain institutional knowledge. The Talent Management Model by Lewis and Heckman (2006) also elaborates on how organizations should strategically identify, nurture and retain key talent to deal with the demographic imbalances (</w:t>
      </w:r>
      <w:r w:rsidRPr="00A14810">
        <w:rPr>
          <w:rFonts w:eastAsia="Times New Roman"/>
          <w:color w:val="222222"/>
          <w:sz w:val="24"/>
          <w:highlight w:val="white"/>
          <w:lang w:val="en-GB"/>
        </w:rPr>
        <w:t>Nwaigwe, 2024</w:t>
      </w:r>
      <w:r w:rsidRPr="00A14810">
        <w:rPr>
          <w:rFonts w:eastAsia="Times New Roman"/>
          <w:sz w:val="24"/>
          <w:lang w:val="en-GB"/>
        </w:rPr>
        <w:t>). With the combination of talent segmentation and succession planning, HR leaders will be able to fill key positions in any part of the world with the right individuals. This paradigm supports the transformation of the conventional approach to managing the workforce to strategic talent pipelines that are able to adjust to the changes in demographics.</w:t>
      </w:r>
    </w:p>
    <w:p w14:paraId="56F611BE"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Geopolitical uncertainty and labour mobility</w:t>
      </w:r>
    </w:p>
    <w:p w14:paraId="39138329"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sz w:val="24"/>
          <w:lang w:val="en-GB"/>
        </w:rPr>
        <w:t>International labour flows have become more uncertain by geopolitical instability which has varied between Russia-Ukraine conflict to the US-China trade tensions (</w:t>
      </w:r>
      <w:r w:rsidRPr="00A14810">
        <w:rPr>
          <w:rFonts w:eastAsia="Times New Roman"/>
          <w:color w:val="222222"/>
          <w:sz w:val="24"/>
          <w:highlight w:val="white"/>
          <w:lang w:val="en-GB"/>
        </w:rPr>
        <w:t>Taheri Hosseinkhani, 2025</w:t>
      </w:r>
      <w:r w:rsidRPr="00A14810">
        <w:rPr>
          <w:rFonts w:eastAsia="Times New Roman"/>
          <w:sz w:val="24"/>
          <w:lang w:val="en-GB"/>
        </w:rPr>
        <w:t>). The increasing immigration policies and protectionist views have complicated the deployment of expatriates and IHRM has had to find a balance between localisation policies and development of global capabilities. The political and legal aspects (visa conditions and sanctions) with the PESTLE framework demonstrate that it has become the focal point in the development of the talent strategy. Organisations resort to decentralised hub-and-spoke staffing or virtual team designs to help them counter these challenges as it helps them maintain operational resilience in different regions.</w:t>
      </w:r>
    </w:p>
    <w:p w14:paraId="3C9B8D44"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Gender disparities in participation</w:t>
      </w:r>
    </w:p>
    <w:p w14:paraId="36874D95"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 xml:space="preserve">Gender inequalities exist even in a world where there are equality agendas. </w:t>
      </w:r>
      <w:r w:rsidRPr="00A14810">
        <w:rPr>
          <w:rFonts w:eastAsia="Times New Roman"/>
          <w:color w:val="222222"/>
          <w:sz w:val="24"/>
          <w:highlight w:val="white"/>
          <w:lang w:val="en-GB"/>
        </w:rPr>
        <w:t xml:space="preserve">Ahmed </w:t>
      </w:r>
      <w:r w:rsidRPr="00A14810">
        <w:rPr>
          <w:rFonts w:eastAsia="Times New Roman"/>
          <w:sz w:val="24"/>
          <w:lang w:val="en-GB"/>
        </w:rPr>
        <w:t>(</w:t>
      </w:r>
      <w:r w:rsidRPr="00A14810">
        <w:rPr>
          <w:rFonts w:eastAsia="Times New Roman"/>
          <w:color w:val="222222"/>
          <w:sz w:val="24"/>
          <w:highlight w:val="white"/>
          <w:lang w:val="en-GB"/>
        </w:rPr>
        <w:t>2024</w:t>
      </w:r>
      <w:r w:rsidRPr="00A14810">
        <w:rPr>
          <w:rFonts w:eastAsia="Times New Roman"/>
          <w:sz w:val="24"/>
          <w:lang w:val="en-GB"/>
        </w:rPr>
        <w:t xml:space="preserve">) states that the elimination of the gender gap would contribute trillions to the world GDP. Inclusive HRM </w:t>
      </w:r>
      <w:r w:rsidRPr="00A14810">
        <w:rPr>
          <w:rFonts w:eastAsia="Times New Roman"/>
          <w:sz w:val="24"/>
          <w:lang w:val="en-GB"/>
        </w:rPr>
        <w:lastRenderedPageBreak/>
        <w:t>practices including remote working, care delivery and mentoring females in leadership roles, should be in place as a way of exploiting unexploited labour potential.</w:t>
      </w:r>
    </w:p>
    <w:p w14:paraId="7FB82BD6"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Overall, demographic and geopolitical forces require a futuristic HRM strategy entailing a combination of strategic talent management, predictive analytics, and inclusive governance (</w:t>
      </w:r>
      <w:r w:rsidRPr="00A14810">
        <w:rPr>
          <w:rFonts w:eastAsia="Times New Roman"/>
          <w:color w:val="222222"/>
          <w:sz w:val="24"/>
          <w:highlight w:val="white"/>
          <w:lang w:val="en-GB"/>
        </w:rPr>
        <w:t>Arefin, 2025</w:t>
      </w:r>
      <w:r w:rsidRPr="00A14810">
        <w:rPr>
          <w:rFonts w:eastAsia="Times New Roman"/>
          <w:sz w:val="24"/>
          <w:lang w:val="en-GB"/>
        </w:rPr>
        <w:t>). IHRM has to predict bottlenecks in demographics, diversify teams worldwide, and introduce agility to the talent systems. It is through maintaining global competitiveness that organisations that align these people strategies with long-term business objectives are able to sail through volatility.</w:t>
      </w:r>
    </w:p>
    <w:p w14:paraId="5776A15C" w14:textId="77777777" w:rsidR="0086021B" w:rsidRPr="00A14810" w:rsidRDefault="0086021B" w:rsidP="0086021B">
      <w:pPr>
        <w:pStyle w:val="Heading1"/>
        <w:spacing w:before="240" w:after="240" w:line="360" w:lineRule="auto"/>
        <w:jc w:val="both"/>
        <w:rPr>
          <w:rFonts w:ascii="Arial" w:hAnsi="Arial"/>
          <w:sz w:val="24"/>
        </w:rPr>
      </w:pPr>
      <w:bookmarkStart w:id="3" w:name="_Toc213680829"/>
      <w:r w:rsidRPr="00A14810">
        <w:rPr>
          <w:rFonts w:ascii="Arial" w:hAnsi="Arial"/>
          <w:sz w:val="24"/>
        </w:rPr>
        <w:t>Addressing Skills Gaps and Talent Shortages through Strategic HRM</w:t>
      </w:r>
      <w:bookmarkEnd w:id="3"/>
      <w:r w:rsidRPr="00A14810">
        <w:rPr>
          <w:rFonts w:ascii="Arial" w:hAnsi="Arial"/>
          <w:sz w:val="24"/>
        </w:rPr>
        <w:t xml:space="preserve"> </w:t>
      </w:r>
    </w:p>
    <w:p w14:paraId="7D19208F"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The sustained skills shortages and talent gaps are an acute problem of contemporary organisations, especially in the area of technology, healthcare and hospitality. The current trend of accelerated automatization, AI and digitalisation has been at such a pace that it has exceeded the ability of the available workforce, resulting in a lack of match between the offered skills and the demand of the organisation. As such, strategic HRM needs to be no longer reactive but proactive and data-driven in terms of talent acquisition, development and retention.</w:t>
      </w:r>
      <w:r>
        <w:rPr>
          <w:rFonts w:eastAsia="Times New Roman"/>
          <w:sz w:val="24"/>
          <w:lang w:val="en-GB"/>
        </w:rPr>
        <w:t xml:space="preserve"> </w:t>
      </w:r>
      <w:r w:rsidRPr="00411980">
        <w:rPr>
          <w:rFonts w:eastAsia="Times New Roman"/>
          <w:sz w:val="24"/>
        </w:rPr>
        <w:t>This involves identifying skills gaps, investing in tailored training programs, and creating a culture that supports continuous learning to build a pipeline of skilled talent internally. </w:t>
      </w:r>
    </w:p>
    <w:p w14:paraId="4802FB7F"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Understanding the nature of skills gaps</w:t>
      </w:r>
    </w:p>
    <w:p w14:paraId="35770031"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sz w:val="24"/>
          <w:lang w:val="en-GB"/>
        </w:rPr>
        <w:t>The World Economic Forum (2025) reports that more than 35% of the employees in the world are expected to get a high level of reskilling by 2030 as a result of technology disruption. High-tech industries are not the only problems since in healthcare, a lack of digitally literate professionals occurs, and hospitality is challenged by the inability to attract and retain service talent after the pandemic. According to a Human Capital Theory, skills building is an investment as well as a strategic necessity, a firm that has invested in training and capability building improves its long-term productivity and innovativeness.</w:t>
      </w:r>
    </w:p>
    <w:p w14:paraId="314F3576" w14:textId="77777777" w:rsidR="0086021B" w:rsidRDefault="0086021B" w:rsidP="0086021B">
      <w:pPr>
        <w:rPr>
          <w:rFonts w:eastAsia="Times New Roman"/>
          <w:b/>
          <w:sz w:val="24"/>
          <w:lang w:val="en-GB"/>
        </w:rPr>
      </w:pPr>
      <w:r>
        <w:rPr>
          <w:rFonts w:eastAsia="Times New Roman"/>
          <w:b/>
          <w:sz w:val="24"/>
          <w:lang w:val="en-GB"/>
        </w:rPr>
        <w:br w:type="page"/>
      </w:r>
    </w:p>
    <w:p w14:paraId="46C2CBA7"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lastRenderedPageBreak/>
        <w:t>Application of the Talent Management Model</w:t>
      </w:r>
    </w:p>
    <w:p w14:paraId="3A0BB310" w14:textId="77777777" w:rsidR="0086021B" w:rsidRPr="00A14810" w:rsidRDefault="0086021B" w:rsidP="0086021B">
      <w:pPr>
        <w:spacing w:before="240" w:after="240" w:line="360" w:lineRule="auto"/>
        <w:jc w:val="center"/>
        <w:rPr>
          <w:rFonts w:eastAsia="Times New Roman"/>
          <w:b/>
          <w:sz w:val="24"/>
          <w:lang w:val="en-GB"/>
        </w:rPr>
      </w:pPr>
      <w:r w:rsidRPr="00A14810">
        <w:rPr>
          <w:rFonts w:eastAsia="Times New Roman"/>
          <w:b/>
          <w:noProof/>
          <w:sz w:val="24"/>
          <w:lang w:val="en-GB"/>
        </w:rPr>
        <w:drawing>
          <wp:inline distT="114300" distB="114300" distL="114300" distR="114300" wp14:anchorId="6F5A7036" wp14:editId="7B8FCAE3">
            <wp:extent cx="5943600" cy="3238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943600" cy="3238500"/>
                    </a:xfrm>
                    <a:prstGeom prst="rect">
                      <a:avLst/>
                    </a:prstGeom>
                    <a:ln/>
                  </pic:spPr>
                </pic:pic>
              </a:graphicData>
            </a:graphic>
          </wp:inline>
        </w:drawing>
      </w:r>
    </w:p>
    <w:p w14:paraId="6DE14E24" w14:textId="77777777" w:rsidR="0086021B" w:rsidRPr="00A14810" w:rsidRDefault="0086021B" w:rsidP="0086021B">
      <w:pPr>
        <w:spacing w:before="240" w:after="240" w:line="360" w:lineRule="auto"/>
        <w:jc w:val="center"/>
        <w:rPr>
          <w:rFonts w:eastAsia="Times New Roman"/>
          <w:b/>
          <w:sz w:val="24"/>
          <w:lang w:val="en-GB"/>
        </w:rPr>
      </w:pPr>
      <w:r w:rsidRPr="00A14810">
        <w:rPr>
          <w:rFonts w:eastAsia="Times New Roman"/>
          <w:b/>
          <w:sz w:val="24"/>
          <w:lang w:val="en-GB"/>
        </w:rPr>
        <w:t>Figure 1: The Talent Management Process</w:t>
      </w:r>
    </w:p>
    <w:p w14:paraId="777FB967" w14:textId="77777777" w:rsidR="0086021B" w:rsidRPr="00A14810" w:rsidRDefault="0086021B" w:rsidP="0086021B">
      <w:pPr>
        <w:spacing w:before="240" w:after="240" w:line="360" w:lineRule="auto"/>
        <w:jc w:val="center"/>
        <w:rPr>
          <w:rFonts w:eastAsia="Times New Roman"/>
          <w:sz w:val="24"/>
          <w:lang w:val="en-GB"/>
        </w:rPr>
      </w:pPr>
      <w:r w:rsidRPr="00A14810">
        <w:rPr>
          <w:rFonts w:eastAsia="Times New Roman"/>
          <w:sz w:val="24"/>
          <w:lang w:val="en-GB"/>
        </w:rPr>
        <w:t>(Source: Google.com., 2025)</w:t>
      </w:r>
    </w:p>
    <w:p w14:paraId="79F8AE35"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These deficits can be filled by the Talent Management Model (Lewis and Heckman, 2006) which offers a systematic way of getting workforce planning to meet the strategic needs of the business. This model has three major components such as talent identification, talent development and talent retention (</w:t>
      </w:r>
      <w:r w:rsidRPr="00A14810">
        <w:rPr>
          <w:rFonts w:eastAsia="Times New Roman"/>
          <w:color w:val="222222"/>
          <w:sz w:val="24"/>
          <w:highlight w:val="white"/>
          <w:lang w:val="en-GB"/>
        </w:rPr>
        <w:t xml:space="preserve">Masoumi </w:t>
      </w:r>
      <w:r w:rsidRPr="00A14810">
        <w:rPr>
          <w:rFonts w:eastAsia="Times New Roman"/>
          <w:i/>
          <w:color w:val="222222"/>
          <w:sz w:val="24"/>
          <w:highlight w:val="white"/>
          <w:lang w:val="en-GB"/>
        </w:rPr>
        <w:t xml:space="preserve">et al., </w:t>
      </w:r>
      <w:r w:rsidRPr="00A14810">
        <w:rPr>
          <w:rFonts w:eastAsia="Times New Roman"/>
          <w:color w:val="222222"/>
          <w:sz w:val="24"/>
          <w:highlight w:val="white"/>
          <w:lang w:val="en-GB"/>
        </w:rPr>
        <w:t>2022</w:t>
      </w:r>
      <w:r w:rsidRPr="00A14810">
        <w:rPr>
          <w:rFonts w:eastAsia="Times New Roman"/>
          <w:sz w:val="24"/>
          <w:lang w:val="en-GB"/>
        </w:rPr>
        <w:t>). Organisations can map the current competencies, future skill demands as well as bridging the gaps through specific learning interventions by undertaking systematic workforce analytics. As an illustration, predictive analytics are applied by technology companies to single out the employees who are most responsive to learning and offer them AI or cybersecurity training.</w:t>
      </w:r>
    </w:p>
    <w:p w14:paraId="544028F4"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sz w:val="24"/>
          <w:lang w:val="en-GB"/>
        </w:rPr>
        <w:t xml:space="preserve">Talent management is also about developing a long-term internal pipeline of high potential employees by mentoring, rotational assignments and leadership development programs. These plans lower the reliance on external labour markets and the long-term flexibility. International </w:t>
      </w:r>
      <w:r w:rsidRPr="00A14810">
        <w:rPr>
          <w:rFonts w:eastAsia="Times New Roman"/>
          <w:sz w:val="24"/>
          <w:lang w:val="en-GB"/>
        </w:rPr>
        <w:lastRenderedPageBreak/>
        <w:t>talent mobility and virtual work also enable companies in IHRM processes to exploit skills internationally, enabling skills to be mobilised where they are most appropriate.</w:t>
      </w:r>
    </w:p>
    <w:p w14:paraId="3C7002AA"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Strategic HRM and ecosystem partnerships</w:t>
      </w:r>
    </w:p>
    <w:p w14:paraId="30230E6C"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Organisations are also engaging educational institutions, government agencies and professional organisations to jointly design training programs that are in line with industry requirements for dealing with inherent skill gaps in the system. Strategic HRM models combine such partnerships with performance management systems to assess learning outcomes and the payback (</w:t>
      </w:r>
      <w:r w:rsidRPr="00A14810">
        <w:rPr>
          <w:rFonts w:eastAsia="Times New Roman"/>
          <w:color w:val="222222"/>
          <w:sz w:val="24"/>
          <w:highlight w:val="white"/>
          <w:lang w:val="en-GB"/>
        </w:rPr>
        <w:t>Song, 2024</w:t>
      </w:r>
      <w:r w:rsidRPr="00A14810">
        <w:rPr>
          <w:rFonts w:eastAsia="Times New Roman"/>
          <w:sz w:val="24"/>
          <w:lang w:val="en-GB"/>
        </w:rPr>
        <w:t>). An example is healthcare organisations that joined universities to prepare nurse practitioners on telemedicine as the training program and how talent management leads to resilience in the society and organisation.</w:t>
      </w:r>
    </w:p>
    <w:p w14:paraId="4BED16D5"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 xml:space="preserve">Finally, the skills gap can be successfully bridged by transitioning to the integrated strategic talent management instead of the currently practiced transactional HR. Through data analytics, perennial learning and inclusive development policies, HR leaders can develop agile and future-fit workforces, which can drive innovation and competitiveness in the changing global labour market. </w:t>
      </w:r>
    </w:p>
    <w:p w14:paraId="6191BBCC" w14:textId="77777777" w:rsidR="0086021B" w:rsidRPr="00A14810" w:rsidRDefault="0086021B" w:rsidP="0086021B">
      <w:pPr>
        <w:pStyle w:val="Heading1"/>
        <w:spacing w:before="240" w:after="240" w:line="360" w:lineRule="auto"/>
        <w:jc w:val="both"/>
        <w:rPr>
          <w:rFonts w:ascii="Arial" w:hAnsi="Arial"/>
          <w:sz w:val="24"/>
        </w:rPr>
      </w:pPr>
      <w:bookmarkStart w:id="4" w:name="_Toc213680830"/>
      <w:r w:rsidRPr="00A14810">
        <w:rPr>
          <w:rFonts w:ascii="Arial" w:hAnsi="Arial"/>
          <w:sz w:val="24"/>
        </w:rPr>
        <w:t>Reflective Report on My Capabilities in an International Context</w:t>
      </w:r>
      <w:bookmarkEnd w:id="4"/>
    </w:p>
    <w:p w14:paraId="2EDE79D2"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 xml:space="preserve">The adaptability, communication and leadership skills in cross-cultural environments are the core elements of professional success in a fast globalising and technology-based world. This reflective report critically presents a review of my current competencies in five areas including technology, communication, teamwork, leadership and self-directed learning relying upon the recent academic knowledge and experiences. Following the reflective models such as Experiential Learning Cycle (1984) by Kolb and Reflective Model (1988) by Gibbs, I can analyse my strengths and weaknesses and development plans to become more internationally employable. </w:t>
      </w:r>
    </w:p>
    <w:p w14:paraId="27F438AB" w14:textId="77777777" w:rsidR="0086021B" w:rsidRPr="00A14810" w:rsidRDefault="0086021B" w:rsidP="0086021B">
      <w:pPr>
        <w:spacing w:before="240" w:after="240" w:line="360" w:lineRule="auto"/>
        <w:jc w:val="center"/>
        <w:rPr>
          <w:rFonts w:eastAsia="Times New Roman"/>
          <w:sz w:val="24"/>
          <w:lang w:val="en-GB"/>
        </w:rPr>
      </w:pPr>
      <w:r w:rsidRPr="00A14810">
        <w:rPr>
          <w:rFonts w:eastAsia="Times New Roman"/>
          <w:noProof/>
          <w:sz w:val="24"/>
          <w:lang w:val="en-GB"/>
        </w:rPr>
        <w:lastRenderedPageBreak/>
        <w:drawing>
          <wp:inline distT="114300" distB="114300" distL="114300" distR="114300" wp14:anchorId="56676FA8" wp14:editId="59337059">
            <wp:extent cx="2786063" cy="27860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86063" cy="2786063"/>
                    </a:xfrm>
                    <a:prstGeom prst="rect">
                      <a:avLst/>
                    </a:prstGeom>
                    <a:ln/>
                  </pic:spPr>
                </pic:pic>
              </a:graphicData>
            </a:graphic>
          </wp:inline>
        </w:drawing>
      </w:r>
    </w:p>
    <w:p w14:paraId="5F2EC79E" w14:textId="77777777" w:rsidR="0086021B" w:rsidRPr="00A14810" w:rsidRDefault="0086021B" w:rsidP="0086021B">
      <w:pPr>
        <w:spacing w:before="240" w:after="240" w:line="360" w:lineRule="auto"/>
        <w:jc w:val="center"/>
        <w:rPr>
          <w:rFonts w:eastAsia="Times New Roman"/>
          <w:b/>
          <w:sz w:val="24"/>
          <w:lang w:val="en-GB"/>
        </w:rPr>
      </w:pPr>
      <w:r w:rsidRPr="00A14810">
        <w:rPr>
          <w:rFonts w:eastAsia="Times New Roman"/>
          <w:b/>
          <w:sz w:val="24"/>
          <w:lang w:val="en-GB"/>
        </w:rPr>
        <w:t>Figure 2: Kolb’s Experiential Learning Theory</w:t>
      </w:r>
    </w:p>
    <w:p w14:paraId="20ACEDE3" w14:textId="77777777" w:rsidR="0086021B" w:rsidRPr="00A14810" w:rsidRDefault="0086021B" w:rsidP="0086021B">
      <w:pPr>
        <w:spacing w:before="240" w:after="240" w:line="360" w:lineRule="auto"/>
        <w:jc w:val="center"/>
        <w:rPr>
          <w:rFonts w:eastAsia="Times New Roman"/>
          <w:sz w:val="24"/>
          <w:lang w:val="en-GB"/>
        </w:rPr>
      </w:pPr>
      <w:r w:rsidRPr="00A14810">
        <w:rPr>
          <w:rFonts w:eastAsia="Times New Roman"/>
          <w:sz w:val="24"/>
          <w:lang w:val="en-GB"/>
        </w:rPr>
        <w:t>(Source: Mcleod, 2025)</w:t>
      </w:r>
    </w:p>
    <w:p w14:paraId="252EF01D"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Technological Competence</w:t>
      </w:r>
    </w:p>
    <w:p w14:paraId="14BE496D"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 xml:space="preserve">The global work settings are becoming more technologically literate. During this period, I have been taking an active part in using digital tools to collaborate and manage projects virtually with Microsoft Teams, Slack and Trello. These experiences have made me strong in my belief in digital flexibility and distance communication. I have also participated in the use of AI-based research and data analytics systems which has improved my work efficiency in making decisions based on data. Nonetheless, a self-report on the Talent Management Model (2015) developed by the CIPD (2019) has shown that use of digital platforms but not many have been strategic applications of technology in innovation such as automating HR functions or using analytics to predict talent. I will explore online certification in digital HR and AI ethics. These will enhance my technological competence and equip me to face digital changes in the multi-cultural teams. </w:t>
      </w:r>
    </w:p>
    <w:p w14:paraId="6313999C"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Communication Skills</w:t>
      </w:r>
    </w:p>
    <w:p w14:paraId="01F8ECAA"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 xml:space="preserve">Communication, especially in a multicultural environment is a major finding of international success. The opportunity to work with a more diverse group of peers during my academic term </w:t>
      </w:r>
      <w:r w:rsidRPr="00A14810">
        <w:rPr>
          <w:rFonts w:eastAsia="Times New Roman"/>
          <w:sz w:val="24"/>
          <w:lang w:val="en-GB"/>
        </w:rPr>
        <w:lastRenderedPageBreak/>
        <w:t>enabled me to work across nationalities which led to fine-tuning my intercultural communications and empathy. Peer feedback revealed that I have good written and oral articulation abilities particularly in simplifying complicated concepts to various audiences. However, I occasionally could not understand non-verbal communication and confront conflicts in a polite way due to cultural differences. The applications of the Hofstede Cultural Dimensions Theory (1980) made the understanding that cultural preferences to communication differ depending on power distance and context sensitivity (</w:t>
      </w:r>
      <w:r w:rsidRPr="00A14810">
        <w:rPr>
          <w:rFonts w:eastAsia="Times New Roman"/>
          <w:color w:val="222222"/>
          <w:sz w:val="24"/>
          <w:highlight w:val="white"/>
          <w:lang w:val="en-GB"/>
        </w:rPr>
        <w:t>Balakrishnan, 2022</w:t>
      </w:r>
      <w:r w:rsidRPr="00A14810">
        <w:rPr>
          <w:rFonts w:eastAsia="Times New Roman"/>
          <w:sz w:val="24"/>
          <w:lang w:val="en-GB"/>
        </w:rPr>
        <w:t xml:space="preserve">). As a way to enhance it, I am planning to enhance active listening and participate more in international networking forums and intercultural workshops. </w:t>
      </w:r>
    </w:p>
    <w:p w14:paraId="459BD3F4"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Teamwork and Collaboration</w:t>
      </w:r>
    </w:p>
    <w:p w14:paraId="061F1934"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My learning experience has been based on collaborative teamwork. Having worked on a recent cross-border case study project, I successfully managed virtual meetings, worked on tasks and contributed to the process of integrating different perspectives. Nonetheless, it is found that there is a developmental requirement in handling virtual team dynamics when time zones and work ethics differ leading to time delay (</w:t>
      </w:r>
      <w:r w:rsidRPr="00A14810">
        <w:rPr>
          <w:rFonts w:eastAsia="Times New Roman"/>
          <w:color w:val="222222"/>
          <w:sz w:val="24"/>
          <w:highlight w:val="white"/>
          <w:lang w:val="en-GB"/>
        </w:rPr>
        <w:t>Varma, 2025</w:t>
      </w:r>
      <w:r w:rsidRPr="00A14810">
        <w:rPr>
          <w:rFonts w:eastAsia="Times New Roman"/>
          <w:sz w:val="24"/>
          <w:lang w:val="en-GB"/>
        </w:rPr>
        <w:t>). By using the lessons of the Learning Cycle as developed by Kolb, I was able to consider those difficulties and realise that I need to make more specific expectations and employ common dashboards as a means of accountability. In the future, I will apply collaborative tools such as Asana and Miro to enhance transparency and shared responsibility in global teams.</w:t>
      </w:r>
    </w:p>
    <w:p w14:paraId="72169709"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Leadership Capabilities</w:t>
      </w:r>
    </w:p>
    <w:p w14:paraId="67AD287B"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International leadership involves making culturally sensitive decisions, being adaptable and making ethical decisions. In my recent group assignment at the university where I volunteered to be the project leader, I was able to delegate tasks according to the strength of the members and that aspect enhanced our efficiency. However, I am inclined to overreact in conflicts by assuming too many responsibilities, which is a weakness that can be counterproductive towards team freedom. According to the Talent Management Model, leadership development must center on the need to balance between strategic direction and empowerment of talent (</w:t>
      </w:r>
      <w:r w:rsidRPr="00A14810">
        <w:rPr>
          <w:rFonts w:eastAsia="Times New Roman"/>
          <w:color w:val="222222"/>
          <w:sz w:val="24"/>
          <w:highlight w:val="white"/>
          <w:lang w:val="en-GB"/>
        </w:rPr>
        <w:t xml:space="preserve">Barkhuizen and </w:t>
      </w:r>
      <w:r w:rsidRPr="00A14810">
        <w:rPr>
          <w:rFonts w:eastAsia="Times New Roman"/>
          <w:color w:val="222222"/>
          <w:sz w:val="24"/>
          <w:highlight w:val="white"/>
          <w:lang w:val="en-GB"/>
        </w:rPr>
        <w:lastRenderedPageBreak/>
        <w:t>Masale, 2022</w:t>
      </w:r>
      <w:r w:rsidRPr="00A14810">
        <w:rPr>
          <w:rFonts w:eastAsia="Times New Roman"/>
          <w:sz w:val="24"/>
          <w:lang w:val="en-GB"/>
        </w:rPr>
        <w:t>). I will develop the coaching-based leadership style, promote the self-efficacy of the team members and retaining the collective responsibility. This balance will also be enhanced by attending leadership development workshops and mentoring programs provided by my institution.</w:t>
      </w:r>
    </w:p>
    <w:p w14:paraId="78F6EC65"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b/>
          <w:sz w:val="24"/>
          <w:lang w:val="en-GB"/>
        </w:rPr>
        <w:t>Self-Directed study and Adaptability</w:t>
      </w:r>
    </w:p>
    <w:p w14:paraId="33D7C63E"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The global labour market is rapidly changing in terms of technology and organisation which requires constant learning (</w:t>
      </w:r>
      <w:r w:rsidRPr="00A14810">
        <w:rPr>
          <w:rFonts w:eastAsia="Times New Roman"/>
          <w:color w:val="222222"/>
          <w:sz w:val="24"/>
          <w:highlight w:val="white"/>
          <w:lang w:val="en-GB"/>
        </w:rPr>
        <w:t>Barzaeva and Ilyasov, 2022</w:t>
      </w:r>
      <w:r w:rsidRPr="00A14810">
        <w:rPr>
          <w:rFonts w:eastAsia="Times New Roman"/>
          <w:sz w:val="24"/>
          <w:lang w:val="en-GB"/>
        </w:rPr>
        <w:t>). I consider self-directed learning as my best strength. During this semester, I have been pursuing MOOCs (Massive Open Online Courses) in AI and cross-cultural management independently and enriched the classroom teaching. Using the Self-Directed Learning Theory developed by Knowles (1975), I keep on self-evaluating my progress and abilities, learning goals, and self-evaluation progress.</w:t>
      </w:r>
    </w:p>
    <w:p w14:paraId="77DD138F" w14:textId="77777777" w:rsidR="0086021B" w:rsidRPr="00A14810" w:rsidRDefault="0086021B" w:rsidP="0086021B">
      <w:pPr>
        <w:spacing w:before="240" w:after="240" w:line="360" w:lineRule="auto"/>
        <w:jc w:val="both"/>
        <w:rPr>
          <w:rFonts w:eastAsia="Times New Roman"/>
          <w:b/>
          <w:sz w:val="24"/>
          <w:lang w:val="en-GB"/>
        </w:rPr>
      </w:pPr>
      <w:r w:rsidRPr="00A14810">
        <w:rPr>
          <w:rFonts w:eastAsia="Times New Roman"/>
          <w:b/>
          <w:sz w:val="24"/>
          <w:lang w:val="en-GB"/>
        </w:rPr>
        <w:t>Reflection and Strategy of Future Action</w:t>
      </w:r>
    </w:p>
    <w:p w14:paraId="77444962"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Making a conclusion based on these reflections, my strengths are the ability to be flexible and adaptable to technology, teamwork, and learning on my own. In order to exploit my strengths and work on these weaknesses, I intend to do the following.</w:t>
      </w:r>
    </w:p>
    <w:p w14:paraId="11C03F4C" w14:textId="77777777" w:rsidR="0086021B" w:rsidRPr="00E94C7C" w:rsidRDefault="0086021B" w:rsidP="0086021B">
      <w:pPr>
        <w:pStyle w:val="ListParagraph"/>
        <w:numPr>
          <w:ilvl w:val="0"/>
          <w:numId w:val="8"/>
        </w:numPr>
        <w:spacing w:before="240" w:after="240" w:line="360" w:lineRule="auto"/>
        <w:jc w:val="both"/>
        <w:rPr>
          <w:rFonts w:eastAsia="Times New Roman"/>
          <w:sz w:val="24"/>
          <w:lang w:val="en-GB"/>
        </w:rPr>
      </w:pPr>
      <w:r w:rsidRPr="00E94C7C">
        <w:rPr>
          <w:rFonts w:eastAsia="Times New Roman"/>
          <w:sz w:val="24"/>
          <w:lang w:val="en-GB"/>
        </w:rPr>
        <w:t>Engage in specific study of digital transformation, cross-cultural leadership and data analytics.</w:t>
      </w:r>
    </w:p>
    <w:p w14:paraId="1749027B" w14:textId="77777777" w:rsidR="0086021B" w:rsidRPr="00E94C7C" w:rsidRDefault="0086021B" w:rsidP="0086021B">
      <w:pPr>
        <w:pStyle w:val="ListParagraph"/>
        <w:numPr>
          <w:ilvl w:val="0"/>
          <w:numId w:val="8"/>
        </w:numPr>
        <w:spacing w:before="240" w:after="240" w:line="360" w:lineRule="auto"/>
        <w:jc w:val="both"/>
        <w:rPr>
          <w:rFonts w:eastAsia="Times New Roman"/>
          <w:sz w:val="24"/>
          <w:lang w:val="en-GB"/>
        </w:rPr>
      </w:pPr>
      <w:r w:rsidRPr="00E94C7C">
        <w:rPr>
          <w:rFonts w:eastAsia="Times New Roman"/>
          <w:sz w:val="24"/>
          <w:lang w:val="en-GB"/>
        </w:rPr>
        <w:t>Find guidance of practitioners of international HR and remote leadership.</w:t>
      </w:r>
    </w:p>
    <w:p w14:paraId="66F0E12D" w14:textId="77777777" w:rsidR="0086021B" w:rsidRPr="00E94C7C" w:rsidRDefault="0086021B" w:rsidP="0086021B">
      <w:pPr>
        <w:pStyle w:val="ListParagraph"/>
        <w:numPr>
          <w:ilvl w:val="0"/>
          <w:numId w:val="8"/>
        </w:numPr>
        <w:spacing w:before="240" w:after="240" w:line="360" w:lineRule="auto"/>
        <w:jc w:val="both"/>
        <w:rPr>
          <w:rFonts w:eastAsia="Times New Roman"/>
          <w:sz w:val="24"/>
          <w:lang w:val="en-GB"/>
        </w:rPr>
      </w:pPr>
      <w:r w:rsidRPr="00E94C7C">
        <w:rPr>
          <w:rFonts w:eastAsia="Times New Roman"/>
          <w:sz w:val="24"/>
          <w:lang w:val="en-GB"/>
        </w:rPr>
        <w:t>Systematically use Gibbs reflection cycle to reflect on group projects through reflective journaling.</w:t>
      </w:r>
    </w:p>
    <w:p w14:paraId="41FB79E7" w14:textId="77777777" w:rsidR="0086021B" w:rsidRPr="00E94C7C" w:rsidRDefault="0086021B" w:rsidP="0086021B">
      <w:pPr>
        <w:pStyle w:val="ListParagraph"/>
        <w:numPr>
          <w:ilvl w:val="0"/>
          <w:numId w:val="8"/>
        </w:numPr>
        <w:spacing w:before="240" w:after="240" w:line="360" w:lineRule="auto"/>
        <w:jc w:val="both"/>
        <w:rPr>
          <w:rFonts w:eastAsia="Times New Roman"/>
          <w:sz w:val="24"/>
          <w:lang w:val="en-GB"/>
        </w:rPr>
      </w:pPr>
      <w:r w:rsidRPr="00E94C7C">
        <w:rPr>
          <w:rFonts w:eastAsia="Times New Roman"/>
          <w:sz w:val="24"/>
          <w:lang w:val="en-GB"/>
        </w:rPr>
        <w:t>Increase relational awareness by enhancing emotional intelligence with the help of mindfulness and feedback loops.</w:t>
      </w:r>
    </w:p>
    <w:p w14:paraId="678064BD" w14:textId="77777777" w:rsidR="0086021B" w:rsidRPr="00A14810" w:rsidRDefault="0086021B" w:rsidP="0086021B">
      <w:pPr>
        <w:spacing w:before="240" w:after="240" w:line="360" w:lineRule="auto"/>
        <w:jc w:val="center"/>
        <w:rPr>
          <w:rFonts w:eastAsia="Times New Roman"/>
          <w:sz w:val="24"/>
          <w:lang w:val="en-GB"/>
        </w:rPr>
      </w:pPr>
      <w:r w:rsidRPr="00A14810">
        <w:rPr>
          <w:rFonts w:eastAsia="Times New Roman"/>
          <w:noProof/>
          <w:sz w:val="24"/>
          <w:lang w:val="en-GB"/>
        </w:rPr>
        <w:lastRenderedPageBreak/>
        <w:drawing>
          <wp:inline distT="114300" distB="114300" distL="114300" distR="114300" wp14:anchorId="2569EAE3" wp14:editId="6B64D729">
            <wp:extent cx="2404745" cy="23622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04994" cy="2362445"/>
                    </a:xfrm>
                    <a:prstGeom prst="rect">
                      <a:avLst/>
                    </a:prstGeom>
                    <a:ln/>
                  </pic:spPr>
                </pic:pic>
              </a:graphicData>
            </a:graphic>
          </wp:inline>
        </w:drawing>
      </w:r>
    </w:p>
    <w:p w14:paraId="43A58DFD" w14:textId="77777777" w:rsidR="0086021B" w:rsidRPr="00A14810" w:rsidRDefault="0086021B" w:rsidP="0086021B">
      <w:pPr>
        <w:spacing w:before="240" w:after="240" w:line="360" w:lineRule="auto"/>
        <w:jc w:val="center"/>
        <w:rPr>
          <w:rFonts w:eastAsia="Times New Roman"/>
          <w:b/>
          <w:sz w:val="24"/>
          <w:lang w:val="en-GB"/>
        </w:rPr>
      </w:pPr>
      <w:r w:rsidRPr="00A14810">
        <w:rPr>
          <w:rFonts w:eastAsia="Times New Roman"/>
          <w:b/>
          <w:sz w:val="24"/>
          <w:lang w:val="en-GB"/>
        </w:rPr>
        <w:t>Figure 3: Gibbs Reflective Cycle</w:t>
      </w:r>
    </w:p>
    <w:p w14:paraId="4144E8E5" w14:textId="77777777" w:rsidR="0086021B" w:rsidRPr="00A14810" w:rsidRDefault="0086021B" w:rsidP="0086021B">
      <w:pPr>
        <w:spacing w:before="240" w:after="240" w:line="360" w:lineRule="auto"/>
        <w:jc w:val="center"/>
        <w:rPr>
          <w:rFonts w:eastAsia="Times New Roman"/>
          <w:sz w:val="24"/>
          <w:lang w:val="en-GB"/>
        </w:rPr>
      </w:pPr>
      <w:r w:rsidRPr="00A14810">
        <w:rPr>
          <w:rFonts w:eastAsia="Times New Roman"/>
          <w:sz w:val="24"/>
          <w:lang w:val="en-GB"/>
        </w:rPr>
        <w:t>(Source: Google.com., 2025)</w:t>
      </w:r>
    </w:p>
    <w:p w14:paraId="0BA765B2"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Gibbs reflection cycle, (1988) promotes a systematic reflection procedure in six steps such as description, feelings, evaluation, analysis, conclusion and action plan. Using such a cyclic process, I will be able to critically analyze my experiences related to working in international settings, especially regarding the aspects of technology, communication, teamwork, and leadership as well as self-directed learning. It is a framework that will enable me not just to determine my existing strengths and weaknesses but also to turn the reflection into actionable plans regarding the constant professional development.</w:t>
      </w:r>
    </w:p>
    <w:p w14:paraId="2FF52299" w14:textId="77777777" w:rsidR="0086021B" w:rsidRPr="00A14810" w:rsidRDefault="0086021B" w:rsidP="0086021B">
      <w:pPr>
        <w:pStyle w:val="Heading1"/>
        <w:spacing w:before="240" w:after="240" w:line="360" w:lineRule="auto"/>
        <w:jc w:val="both"/>
        <w:rPr>
          <w:rFonts w:ascii="Arial" w:hAnsi="Arial"/>
          <w:sz w:val="24"/>
        </w:rPr>
      </w:pPr>
      <w:bookmarkStart w:id="5" w:name="_Toc213680831"/>
      <w:r w:rsidRPr="00A14810">
        <w:rPr>
          <w:rFonts w:ascii="Arial" w:hAnsi="Arial"/>
          <w:sz w:val="24"/>
        </w:rPr>
        <w:t>Conclusion</w:t>
      </w:r>
      <w:bookmarkEnd w:id="5"/>
    </w:p>
    <w:p w14:paraId="6A3D259D"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In conclusion, global competencies are achieved by efficient communication, technology adaptability, teamwork and leadership. These are essential in succeeding in a global workplace that is governed by innovation and intercultural cooperation.</w:t>
      </w:r>
    </w:p>
    <w:p w14:paraId="46D8F6AA" w14:textId="77777777" w:rsidR="0086021B" w:rsidRPr="00A14810" w:rsidRDefault="0086021B" w:rsidP="0086021B">
      <w:pPr>
        <w:spacing w:before="240" w:after="240" w:line="360" w:lineRule="auto"/>
        <w:jc w:val="both"/>
        <w:rPr>
          <w:rFonts w:eastAsia="Times New Roman"/>
          <w:b/>
          <w:sz w:val="24"/>
          <w:lang w:val="en-GB"/>
        </w:rPr>
      </w:pPr>
      <w:r w:rsidRPr="00A14810">
        <w:rPr>
          <w:sz w:val="24"/>
          <w:lang w:val="en-GB"/>
        </w:rPr>
        <w:br w:type="page"/>
      </w:r>
    </w:p>
    <w:p w14:paraId="0C7BB08D" w14:textId="77777777" w:rsidR="0086021B" w:rsidRPr="00A14810" w:rsidRDefault="0086021B" w:rsidP="0086021B">
      <w:pPr>
        <w:pStyle w:val="Heading1"/>
        <w:spacing w:before="240" w:after="240" w:line="360" w:lineRule="auto"/>
        <w:jc w:val="both"/>
        <w:rPr>
          <w:rFonts w:ascii="Arial" w:hAnsi="Arial"/>
          <w:sz w:val="24"/>
        </w:rPr>
      </w:pPr>
      <w:bookmarkStart w:id="6" w:name="_Toc213680832"/>
      <w:r w:rsidRPr="00A14810">
        <w:rPr>
          <w:rFonts w:ascii="Arial" w:hAnsi="Arial"/>
          <w:sz w:val="24"/>
        </w:rPr>
        <w:lastRenderedPageBreak/>
        <w:t>Reference</w:t>
      </w:r>
      <w:bookmarkEnd w:id="6"/>
    </w:p>
    <w:p w14:paraId="0030CE12"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Ahmed, D.M., 2024. The 3 Gs of Progress: Growth, Gender Gap, and GDP. </w:t>
      </w:r>
      <w:r w:rsidRPr="00A14810">
        <w:rPr>
          <w:rFonts w:eastAsia="Times New Roman"/>
          <w:i/>
          <w:color w:val="222222"/>
          <w:sz w:val="24"/>
          <w:highlight w:val="white"/>
          <w:lang w:val="en-GB"/>
        </w:rPr>
        <w:t>Saudi Journal of Business and Management Studies</w:t>
      </w:r>
      <w:r w:rsidRPr="00A14810">
        <w:rPr>
          <w:rFonts w:eastAsia="Times New Roman"/>
          <w:color w:val="222222"/>
          <w:sz w:val="24"/>
          <w:highlight w:val="white"/>
          <w:lang w:val="en-GB"/>
        </w:rPr>
        <w:t xml:space="preserve">, </w:t>
      </w:r>
      <w:r w:rsidRPr="00A14810">
        <w:rPr>
          <w:rFonts w:eastAsia="Times New Roman"/>
          <w:i/>
          <w:color w:val="222222"/>
          <w:sz w:val="24"/>
          <w:highlight w:val="white"/>
          <w:lang w:val="en-GB"/>
        </w:rPr>
        <w:t>9</w:t>
      </w:r>
      <w:r w:rsidRPr="00A14810">
        <w:rPr>
          <w:rFonts w:eastAsia="Times New Roman"/>
          <w:color w:val="222222"/>
          <w:sz w:val="24"/>
          <w:highlight w:val="white"/>
          <w:lang w:val="en-GB"/>
        </w:rPr>
        <w:t>(12), pp.10-36348.</w:t>
      </w:r>
      <w:hyperlink r:id="rId9">
        <w:r w:rsidRPr="00A14810">
          <w:rPr>
            <w:rFonts w:eastAsia="Times New Roman"/>
            <w:color w:val="1155CC"/>
            <w:sz w:val="24"/>
            <w:highlight w:val="white"/>
            <w:u w:val="single"/>
            <w:lang w:val="en-GB"/>
          </w:rPr>
          <w:t>https://papers.ssrn.com/sol3/Delivery.cfm?abstractid=5180795</w:t>
        </w:r>
      </w:hyperlink>
    </w:p>
    <w:p w14:paraId="6B5E2888"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Arefin, M.S., 2025. Adapting HRM Strategies to the Challenges of Global Logistics and Supply Chain Management. </w:t>
      </w:r>
      <w:r w:rsidRPr="00A14810">
        <w:rPr>
          <w:rFonts w:eastAsia="Times New Roman"/>
          <w:i/>
          <w:color w:val="222222"/>
          <w:sz w:val="24"/>
          <w:highlight w:val="white"/>
          <w:lang w:val="en-GB"/>
        </w:rPr>
        <w:t>International Journal of Research and Scientific Innovation</w:t>
      </w:r>
      <w:r w:rsidRPr="00A14810">
        <w:rPr>
          <w:rFonts w:eastAsia="Times New Roman"/>
          <w:color w:val="222222"/>
          <w:sz w:val="24"/>
          <w:highlight w:val="white"/>
          <w:lang w:val="en-GB"/>
        </w:rPr>
        <w:t xml:space="preserve">, </w:t>
      </w:r>
      <w:r w:rsidRPr="00A14810">
        <w:rPr>
          <w:rFonts w:eastAsia="Times New Roman"/>
          <w:i/>
          <w:color w:val="222222"/>
          <w:sz w:val="24"/>
          <w:highlight w:val="white"/>
          <w:lang w:val="en-GB"/>
        </w:rPr>
        <w:t>12</w:t>
      </w:r>
      <w:r w:rsidRPr="00A14810">
        <w:rPr>
          <w:rFonts w:eastAsia="Times New Roman"/>
          <w:color w:val="222222"/>
          <w:sz w:val="24"/>
          <w:highlight w:val="white"/>
          <w:lang w:val="en-GB"/>
        </w:rPr>
        <w:t>(2), pp.90-106.</w:t>
      </w:r>
      <w:hyperlink r:id="rId10">
        <w:r w:rsidRPr="00A14810">
          <w:rPr>
            <w:rFonts w:eastAsia="Times New Roman"/>
            <w:color w:val="1155CC"/>
            <w:sz w:val="24"/>
            <w:highlight w:val="white"/>
            <w:u w:val="single"/>
            <w:lang w:val="en-GB"/>
          </w:rPr>
          <w:t>https://gyaanarth.com/wp-content/uploads/2025/04/90-106.pdf</w:t>
        </w:r>
      </w:hyperlink>
    </w:p>
    <w:p w14:paraId="1645D8C1"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Balakrishnan, K., 2022. Influence of cultural dimensions on intercultural communication styles: Ethnicity in a moderating role. </w:t>
      </w:r>
      <w:r w:rsidRPr="00A14810">
        <w:rPr>
          <w:rFonts w:eastAsia="Times New Roman"/>
          <w:i/>
          <w:color w:val="222222"/>
          <w:sz w:val="24"/>
          <w:highlight w:val="white"/>
          <w:lang w:val="en-GB"/>
        </w:rPr>
        <w:t>Journal of Communication, Language and Culture</w:t>
      </w:r>
      <w:r w:rsidRPr="00A14810">
        <w:rPr>
          <w:rFonts w:eastAsia="Times New Roman"/>
          <w:color w:val="222222"/>
          <w:sz w:val="24"/>
          <w:highlight w:val="white"/>
          <w:lang w:val="en-GB"/>
        </w:rPr>
        <w:t xml:space="preserve">, </w:t>
      </w:r>
      <w:r w:rsidRPr="00A14810">
        <w:rPr>
          <w:rFonts w:eastAsia="Times New Roman"/>
          <w:i/>
          <w:color w:val="222222"/>
          <w:sz w:val="24"/>
          <w:highlight w:val="white"/>
          <w:lang w:val="en-GB"/>
        </w:rPr>
        <w:t>2</w:t>
      </w:r>
      <w:r w:rsidRPr="00A14810">
        <w:rPr>
          <w:rFonts w:eastAsia="Times New Roman"/>
          <w:color w:val="222222"/>
          <w:sz w:val="24"/>
          <w:highlight w:val="white"/>
          <w:lang w:val="en-GB"/>
        </w:rPr>
        <w:t>(1), pp.46-62.</w:t>
      </w:r>
      <w:hyperlink r:id="rId11">
        <w:r w:rsidRPr="00A14810">
          <w:rPr>
            <w:rFonts w:eastAsia="Times New Roman"/>
            <w:color w:val="1155CC"/>
            <w:sz w:val="24"/>
            <w:highlight w:val="white"/>
            <w:u w:val="single"/>
            <w:lang w:val="en-GB"/>
          </w:rPr>
          <w:t>https://www.researchgate.net/profile/Kavitha-Balakrishnan-3/publication/358751751_Influence_of_Cultural_Dimensions_on_Intercultural_Communication_Styles_Ethnicity_in_a_Moderating_Role/links/63d84bfd62d2a24f92decbf8/Influence-of-Cultural-Dimensions-on-Intercultural-Communication-Styles-Ethnicity-in-a-Moderating-Role.pdf</w:t>
        </w:r>
      </w:hyperlink>
    </w:p>
    <w:p w14:paraId="109922D5"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Barkhuizen, E.N. and Masale, R.L., 2022. Leadership talent mindset as a catalyst for talent management and talent retention: The case of a Botswana local government institution. </w:t>
      </w:r>
      <w:r w:rsidRPr="00A14810">
        <w:rPr>
          <w:rFonts w:eastAsia="Times New Roman"/>
          <w:i/>
          <w:color w:val="222222"/>
          <w:sz w:val="24"/>
          <w:highlight w:val="white"/>
          <w:lang w:val="en-GB"/>
        </w:rPr>
        <w:t>SA Journal of Human Resource Management</w:t>
      </w:r>
      <w:r w:rsidRPr="00A14810">
        <w:rPr>
          <w:rFonts w:eastAsia="Times New Roman"/>
          <w:color w:val="222222"/>
          <w:sz w:val="24"/>
          <w:highlight w:val="white"/>
          <w:lang w:val="en-GB"/>
        </w:rPr>
        <w:t xml:space="preserve">, </w:t>
      </w:r>
      <w:r w:rsidRPr="00A14810">
        <w:rPr>
          <w:rFonts w:eastAsia="Times New Roman"/>
          <w:i/>
          <w:color w:val="222222"/>
          <w:sz w:val="24"/>
          <w:highlight w:val="white"/>
          <w:lang w:val="en-GB"/>
        </w:rPr>
        <w:t>20</w:t>
      </w:r>
      <w:r w:rsidRPr="00A14810">
        <w:rPr>
          <w:rFonts w:eastAsia="Times New Roman"/>
          <w:color w:val="222222"/>
          <w:sz w:val="24"/>
          <w:highlight w:val="white"/>
          <w:lang w:val="en-GB"/>
        </w:rPr>
        <w:t>, p.1914.</w:t>
      </w:r>
      <w:hyperlink r:id="rId12">
        <w:r w:rsidRPr="00A14810">
          <w:rPr>
            <w:rFonts w:eastAsia="Times New Roman"/>
            <w:color w:val="1155CC"/>
            <w:sz w:val="24"/>
            <w:highlight w:val="white"/>
            <w:u w:val="single"/>
            <w:lang w:val="en-GB"/>
          </w:rPr>
          <w:t>https://sajhrm.co.za/index.php/sajhrm/article/download/1914/2996</w:t>
        </w:r>
      </w:hyperlink>
    </w:p>
    <w:p w14:paraId="5DD9FA20"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Barzaeva, M. and Ilyasov, R., 2022. Sustainable development of the global labor market in the context of the transformation of the industrial complex of the digital economy. </w:t>
      </w:r>
      <w:r w:rsidRPr="00A14810">
        <w:rPr>
          <w:rFonts w:eastAsia="Times New Roman"/>
          <w:i/>
          <w:color w:val="222222"/>
          <w:sz w:val="24"/>
          <w:highlight w:val="white"/>
          <w:lang w:val="en-GB"/>
        </w:rPr>
        <w:t>Reliability: Theory &amp; Applications</w:t>
      </w:r>
      <w:r w:rsidRPr="00A14810">
        <w:rPr>
          <w:rFonts w:eastAsia="Times New Roman"/>
          <w:color w:val="222222"/>
          <w:sz w:val="24"/>
          <w:highlight w:val="white"/>
          <w:lang w:val="en-GB"/>
        </w:rPr>
        <w:t xml:space="preserve">, </w:t>
      </w:r>
      <w:r w:rsidRPr="00A14810">
        <w:rPr>
          <w:rFonts w:eastAsia="Times New Roman"/>
          <w:i/>
          <w:color w:val="222222"/>
          <w:sz w:val="24"/>
          <w:highlight w:val="white"/>
          <w:lang w:val="en-GB"/>
        </w:rPr>
        <w:t>17</w:t>
      </w:r>
      <w:r w:rsidRPr="00A14810">
        <w:rPr>
          <w:rFonts w:eastAsia="Times New Roman"/>
          <w:color w:val="222222"/>
          <w:sz w:val="24"/>
          <w:highlight w:val="white"/>
          <w:lang w:val="en-GB"/>
        </w:rPr>
        <w:t>(SI 4 (70)), pp.476-484.</w:t>
      </w:r>
      <w:hyperlink r:id="rId13">
        <w:r w:rsidRPr="00A14810">
          <w:rPr>
            <w:rFonts w:eastAsia="Times New Roman"/>
            <w:color w:val="1155CC"/>
            <w:sz w:val="24"/>
            <w:highlight w:val="white"/>
            <w:u w:val="single"/>
            <w:lang w:val="en-GB"/>
          </w:rPr>
          <w:t>https://cyberleninka.ru/article/n/sustainable-development-of-the-global-labor-market-in-the-context-of-the-transformation-of-the-industrial-complex-of-the-digital</w:t>
        </w:r>
      </w:hyperlink>
    </w:p>
    <w:p w14:paraId="0E5D9909"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CIPD.</w:t>
      </w:r>
      <w:r>
        <w:rPr>
          <w:rFonts w:eastAsia="Times New Roman"/>
          <w:sz w:val="24"/>
          <w:lang w:val="en-GB"/>
        </w:rPr>
        <w:t xml:space="preserve">, </w:t>
      </w:r>
      <w:r w:rsidRPr="00A14810">
        <w:rPr>
          <w:rFonts w:eastAsia="Times New Roman"/>
          <w:sz w:val="24"/>
          <w:lang w:val="en-GB"/>
        </w:rPr>
        <w:t xml:space="preserve">2019. </w:t>
      </w:r>
      <w:r w:rsidRPr="00A14810">
        <w:rPr>
          <w:rFonts w:eastAsia="Times New Roman"/>
          <w:i/>
          <w:sz w:val="24"/>
          <w:lang w:val="en-GB"/>
        </w:rPr>
        <w:t>CIPD | Automating HR analytics</w:t>
      </w:r>
      <w:r w:rsidRPr="00A14810">
        <w:rPr>
          <w:rFonts w:eastAsia="Times New Roman"/>
          <w:sz w:val="24"/>
          <w:lang w:val="en-GB"/>
        </w:rPr>
        <w:t xml:space="preserve">. [online] Available at: </w:t>
      </w:r>
      <w:hyperlink r:id="rId14">
        <w:r w:rsidRPr="00A14810">
          <w:rPr>
            <w:rFonts w:eastAsia="Times New Roman"/>
            <w:color w:val="1155CC"/>
            <w:sz w:val="24"/>
            <w:u w:val="single"/>
            <w:lang w:val="en-GB"/>
          </w:rPr>
          <w:t>https://www.cipd.org/en/knowledge/bitesize-research/automating-hr-analytics/</w:t>
        </w:r>
      </w:hyperlink>
      <w:r w:rsidRPr="00A14810">
        <w:rPr>
          <w:rFonts w:eastAsia="Times New Roman"/>
          <w:sz w:val="24"/>
          <w:lang w:val="en-GB"/>
        </w:rPr>
        <w:t>.</w:t>
      </w:r>
    </w:p>
    <w:p w14:paraId="37C4A7F7"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Farndale, E., Horak, S., Piyanontalee, R., Puffer, S.M. and Vidović, M., 2025. Looking back to look forward: Disruption, innovation and future trends in international human resource management. </w:t>
      </w:r>
      <w:r w:rsidRPr="00A14810">
        <w:rPr>
          <w:rFonts w:eastAsia="Times New Roman"/>
          <w:i/>
          <w:color w:val="222222"/>
          <w:sz w:val="24"/>
          <w:highlight w:val="white"/>
          <w:lang w:val="en-GB"/>
        </w:rPr>
        <w:lastRenderedPageBreak/>
        <w:t>International Business Review</w:t>
      </w:r>
      <w:r w:rsidRPr="00A14810">
        <w:rPr>
          <w:rFonts w:eastAsia="Times New Roman"/>
          <w:color w:val="222222"/>
          <w:sz w:val="24"/>
          <w:highlight w:val="white"/>
          <w:lang w:val="en-GB"/>
        </w:rPr>
        <w:t xml:space="preserve">, </w:t>
      </w:r>
      <w:r w:rsidRPr="00A14810">
        <w:rPr>
          <w:rFonts w:eastAsia="Times New Roman"/>
          <w:i/>
          <w:color w:val="222222"/>
          <w:sz w:val="24"/>
          <w:highlight w:val="white"/>
          <w:lang w:val="en-GB"/>
        </w:rPr>
        <w:t>34</w:t>
      </w:r>
      <w:r w:rsidRPr="00A14810">
        <w:rPr>
          <w:rFonts w:eastAsia="Times New Roman"/>
          <w:color w:val="222222"/>
          <w:sz w:val="24"/>
          <w:highlight w:val="white"/>
          <w:lang w:val="en-GB"/>
        </w:rPr>
        <w:t>(1), p.102362.</w:t>
      </w:r>
      <w:hyperlink r:id="rId15">
        <w:r w:rsidRPr="00A14810">
          <w:rPr>
            <w:rFonts w:eastAsia="Times New Roman"/>
            <w:color w:val="1155CC"/>
            <w:sz w:val="24"/>
            <w:highlight w:val="white"/>
            <w:u w:val="single"/>
            <w:lang w:val="en-GB"/>
          </w:rPr>
          <w:t>https://www.researchgate.net/profile/Sven-Horak-2/publication/358191183_CfP_special_issue_International_Business_Review_Looking_Back_to_Look_Forward_Disruption_Innovation_and_Future_Trends_in_International_Human_Resource_Management/links/61f45f771e98d168d7d848d7/CfP-special-issue-International-Business-Review-Looking-Back-to-Look-Forward-Disruption-Innovation-and-Future-Trends-in-International-Human-Resource-Management.pdf</w:t>
        </w:r>
      </w:hyperlink>
    </w:p>
    <w:p w14:paraId="0E6C8354"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Google.com.</w:t>
      </w:r>
      <w:r>
        <w:rPr>
          <w:rFonts w:eastAsia="Times New Roman"/>
          <w:sz w:val="24"/>
          <w:lang w:val="en-GB"/>
        </w:rPr>
        <w:t xml:space="preserve">, </w:t>
      </w:r>
      <w:r w:rsidRPr="00A14810">
        <w:rPr>
          <w:rFonts w:eastAsia="Times New Roman"/>
          <w:sz w:val="24"/>
          <w:lang w:val="en-GB"/>
        </w:rPr>
        <w:t xml:space="preserve">2025. </w:t>
      </w:r>
      <w:r w:rsidRPr="00A14810">
        <w:rPr>
          <w:rFonts w:eastAsia="Times New Roman"/>
          <w:i/>
          <w:sz w:val="24"/>
          <w:lang w:val="en-GB"/>
        </w:rPr>
        <w:t>Redirect Notice</w:t>
      </w:r>
      <w:r w:rsidRPr="00A14810">
        <w:rPr>
          <w:rFonts w:eastAsia="Times New Roman"/>
          <w:sz w:val="24"/>
          <w:lang w:val="en-GB"/>
        </w:rPr>
        <w:t xml:space="preserve">. [online] Available at: </w:t>
      </w:r>
      <w:hyperlink r:id="rId16">
        <w:r w:rsidRPr="00A14810">
          <w:rPr>
            <w:rFonts w:eastAsia="Times New Roman"/>
            <w:color w:val="1155CC"/>
            <w:sz w:val="24"/>
            <w:u w:val="single"/>
            <w:lang w:val="en-GB"/>
          </w:rPr>
          <w:t>https://www.google.com/url?sa=i&amp;url=https%3A%2F%2Fuk.gigroup.com%2Fa-comprehensive-guide-to-talent-management-strategies-benefits-models-processes%2F&amp;psig=AOvVaw05YgvOIysXaS-tbfx--_uC&amp;ust=1762514727821000&amp;source=images&amp;cd=vfe&amp;opi=89978449&amp;ved=0CBgQjhxqFwoTCPDpxJa13ZADFQAAAAAdAAAAABAb</w:t>
        </w:r>
      </w:hyperlink>
      <w:r w:rsidRPr="00A14810">
        <w:rPr>
          <w:rFonts w:eastAsia="Times New Roman"/>
          <w:sz w:val="24"/>
          <w:lang w:val="en-GB"/>
        </w:rPr>
        <w:t xml:space="preserve"> [Accessed 6 Nov. 2025].</w:t>
      </w:r>
    </w:p>
    <w:p w14:paraId="73F6E3C3"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Google.com.</w:t>
      </w:r>
      <w:r>
        <w:rPr>
          <w:rFonts w:eastAsia="Times New Roman"/>
          <w:sz w:val="24"/>
          <w:lang w:val="en-GB"/>
        </w:rPr>
        <w:t xml:space="preserve">, </w:t>
      </w:r>
      <w:r w:rsidRPr="00A14810">
        <w:rPr>
          <w:rFonts w:eastAsia="Times New Roman"/>
          <w:sz w:val="24"/>
          <w:lang w:val="en-GB"/>
        </w:rPr>
        <w:t xml:space="preserve">2025. </w:t>
      </w:r>
      <w:r w:rsidRPr="00A14810">
        <w:rPr>
          <w:rFonts w:eastAsia="Times New Roman"/>
          <w:i/>
          <w:sz w:val="24"/>
          <w:lang w:val="en-GB"/>
        </w:rPr>
        <w:t>Redirect Notice</w:t>
      </w:r>
      <w:r w:rsidRPr="00A14810">
        <w:rPr>
          <w:rFonts w:eastAsia="Times New Roman"/>
          <w:sz w:val="24"/>
          <w:lang w:val="en-GB"/>
        </w:rPr>
        <w:t xml:space="preserve">. [online] Available at: </w:t>
      </w:r>
      <w:hyperlink r:id="rId17">
        <w:r w:rsidRPr="00A14810">
          <w:rPr>
            <w:rFonts w:eastAsia="Times New Roman"/>
            <w:color w:val="1155CC"/>
            <w:sz w:val="24"/>
            <w:u w:val="single"/>
            <w:lang w:val="en-GB"/>
          </w:rPr>
          <w:t>https://www.google.com/url?sa=i&amp;url=https%3A%2F%2Fwww.tsw.co.uk%2Fblog%2Fleadership-and-management%2Fgibbs-reflective-cycle%2F&amp;psig=AOvVaw1fmhmnnM0kBNfBxunD-MWW&amp;ust=1762517110352000&amp;source=images&amp;cd=vfe&amp;opi=89978449&amp;ved=0CBgQjhxqFwoTCJi40YS-3ZADFQAAAAAdAAAAABAJ</w:t>
        </w:r>
      </w:hyperlink>
      <w:r w:rsidRPr="00A14810">
        <w:rPr>
          <w:rFonts w:eastAsia="Times New Roman"/>
          <w:sz w:val="24"/>
          <w:lang w:val="en-GB"/>
        </w:rPr>
        <w:t xml:space="preserve"> [Accessed 6 Nov. 2025].</w:t>
      </w:r>
    </w:p>
    <w:p w14:paraId="618C9D29"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Masoumi, R., Bahloli, N., Beygzadeh, Y., Nejadhajiali Irani, F. and Eskandari, K., 2022. Design of a model for performance management based on components of talent management. </w:t>
      </w:r>
      <w:r w:rsidRPr="00A14810">
        <w:rPr>
          <w:rFonts w:eastAsia="Times New Roman"/>
          <w:i/>
          <w:color w:val="222222"/>
          <w:sz w:val="24"/>
          <w:highlight w:val="white"/>
          <w:lang w:val="en-GB"/>
        </w:rPr>
        <w:t>Iranian journal of educational sociology</w:t>
      </w:r>
      <w:r w:rsidRPr="00A14810">
        <w:rPr>
          <w:rFonts w:eastAsia="Times New Roman"/>
          <w:color w:val="222222"/>
          <w:sz w:val="24"/>
          <w:highlight w:val="white"/>
          <w:lang w:val="en-GB"/>
        </w:rPr>
        <w:t xml:space="preserve">, </w:t>
      </w:r>
      <w:r w:rsidRPr="00A14810">
        <w:rPr>
          <w:rFonts w:eastAsia="Times New Roman"/>
          <w:i/>
          <w:color w:val="222222"/>
          <w:sz w:val="24"/>
          <w:highlight w:val="white"/>
          <w:lang w:val="en-GB"/>
        </w:rPr>
        <w:t>5</w:t>
      </w:r>
      <w:r w:rsidRPr="00A14810">
        <w:rPr>
          <w:rFonts w:eastAsia="Times New Roman"/>
          <w:color w:val="222222"/>
          <w:sz w:val="24"/>
          <w:highlight w:val="white"/>
          <w:lang w:val="en-GB"/>
        </w:rPr>
        <w:t>(3), pp.176-194.</w:t>
      </w:r>
      <w:hyperlink r:id="rId18">
        <w:r w:rsidRPr="00A14810">
          <w:rPr>
            <w:rFonts w:eastAsia="Times New Roman"/>
            <w:color w:val="1155CC"/>
            <w:sz w:val="24"/>
            <w:highlight w:val="white"/>
            <w:u w:val="single"/>
            <w:lang w:val="en-GB"/>
          </w:rPr>
          <w:t>http://iase-idje.ir/files/site1/user_files_6d0946/bahloli-A-10-954-1-f973787.pdf</w:t>
        </w:r>
      </w:hyperlink>
    </w:p>
    <w:p w14:paraId="6A760855"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Mcleod, S.</w:t>
      </w:r>
      <w:r>
        <w:rPr>
          <w:rFonts w:eastAsia="Times New Roman"/>
          <w:sz w:val="24"/>
          <w:lang w:val="en-GB"/>
        </w:rPr>
        <w:t xml:space="preserve">, </w:t>
      </w:r>
      <w:r w:rsidRPr="00A14810">
        <w:rPr>
          <w:rFonts w:eastAsia="Times New Roman"/>
          <w:sz w:val="24"/>
          <w:lang w:val="en-GB"/>
        </w:rPr>
        <w:t xml:space="preserve">2025. </w:t>
      </w:r>
      <w:r w:rsidRPr="00A14810">
        <w:rPr>
          <w:rFonts w:eastAsia="Times New Roman"/>
          <w:i/>
          <w:sz w:val="24"/>
          <w:lang w:val="en-GB"/>
        </w:rPr>
        <w:t>Kolb’s Learning Styles and Experiential Learning Cycle</w:t>
      </w:r>
      <w:r w:rsidRPr="00A14810">
        <w:rPr>
          <w:rFonts w:eastAsia="Times New Roman"/>
          <w:sz w:val="24"/>
          <w:lang w:val="en-GB"/>
        </w:rPr>
        <w:t xml:space="preserve">. [online] Simply Psychology. Available at: </w:t>
      </w:r>
      <w:hyperlink r:id="rId19">
        <w:r w:rsidRPr="00A14810">
          <w:rPr>
            <w:rFonts w:eastAsia="Times New Roman"/>
            <w:color w:val="1155CC"/>
            <w:sz w:val="24"/>
            <w:u w:val="single"/>
            <w:lang w:val="en-GB"/>
          </w:rPr>
          <w:t>https://www.simplypsychology.org/learning-kolb.html</w:t>
        </w:r>
      </w:hyperlink>
      <w:r w:rsidRPr="00A14810">
        <w:rPr>
          <w:rFonts w:eastAsia="Times New Roman"/>
          <w:sz w:val="24"/>
          <w:lang w:val="en-GB"/>
        </w:rPr>
        <w:t>.</w:t>
      </w:r>
    </w:p>
    <w:p w14:paraId="4D2A87EF"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Nahar, K., Akhter, S. and Shaturaev, J., 2024. Impact of Artificial Intelligence on the Human Resources Management.</w:t>
      </w:r>
      <w:hyperlink r:id="rId20">
        <w:r w:rsidRPr="00A14810">
          <w:rPr>
            <w:rFonts w:eastAsia="Times New Roman"/>
            <w:color w:val="1155CC"/>
            <w:sz w:val="24"/>
            <w:highlight w:val="white"/>
            <w:u w:val="single"/>
            <w:lang w:val="en-GB"/>
          </w:rPr>
          <w:t>https://mpra.ub.uni-muenchen.de/120579/1/MPRA_paper_120579.pdf</w:t>
        </w:r>
      </w:hyperlink>
    </w:p>
    <w:p w14:paraId="73ADBA9B"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lastRenderedPageBreak/>
        <w:t>Nwaigwe, M., 2024. Talent Management and Talent Retention in SMEs in Emerging Markets: A case study of the Nigerian context.</w:t>
      </w:r>
      <w:hyperlink r:id="rId21">
        <w:r w:rsidRPr="00A14810">
          <w:rPr>
            <w:rFonts w:eastAsia="Times New Roman"/>
            <w:color w:val="1155CC"/>
            <w:sz w:val="24"/>
            <w:highlight w:val="white"/>
            <w:u w:val="single"/>
            <w:lang w:val="en-GB"/>
          </w:rPr>
          <w:t>https://hull-repository.worktribe.com/OutputFile/5087919</w:t>
        </w:r>
      </w:hyperlink>
    </w:p>
    <w:p w14:paraId="6ADCC3E4"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OECD.</w:t>
      </w:r>
      <w:r>
        <w:rPr>
          <w:rFonts w:eastAsia="Times New Roman"/>
          <w:sz w:val="24"/>
          <w:lang w:val="en-GB"/>
        </w:rPr>
        <w:t xml:space="preserve">, </w:t>
      </w:r>
      <w:r w:rsidRPr="00A14810">
        <w:rPr>
          <w:rFonts w:eastAsia="Times New Roman"/>
          <w:sz w:val="24"/>
          <w:lang w:val="en-GB"/>
        </w:rPr>
        <w:t xml:space="preserve">2025. </w:t>
      </w:r>
      <w:r w:rsidRPr="00A14810">
        <w:rPr>
          <w:rFonts w:eastAsia="Times New Roman"/>
          <w:i/>
          <w:sz w:val="24"/>
          <w:lang w:val="en-GB"/>
        </w:rPr>
        <w:t>The impact of Artificial Intelligence on the labour market</w:t>
      </w:r>
      <w:r w:rsidRPr="00A14810">
        <w:rPr>
          <w:rFonts w:eastAsia="Times New Roman"/>
          <w:sz w:val="24"/>
          <w:lang w:val="en-GB"/>
        </w:rPr>
        <w:t xml:space="preserve">. [online] Available at: </w:t>
      </w:r>
      <w:hyperlink r:id="rId22">
        <w:r w:rsidRPr="00A14810">
          <w:rPr>
            <w:rFonts w:eastAsia="Times New Roman"/>
            <w:color w:val="1155CC"/>
            <w:sz w:val="24"/>
            <w:u w:val="single"/>
            <w:lang w:val="en-GB"/>
          </w:rPr>
          <w:t>https://www.oecd.org/en/publications/2021/01/the-impact-of-artificial-intelligence-on-the-labour-market_a4b9cac2.html?utm_source=chatgpt.com</w:t>
        </w:r>
      </w:hyperlink>
      <w:r w:rsidRPr="00A14810">
        <w:rPr>
          <w:rFonts w:eastAsia="Times New Roman"/>
          <w:sz w:val="24"/>
          <w:lang w:val="en-GB"/>
        </w:rPr>
        <w:t>.</w:t>
      </w:r>
    </w:p>
    <w:p w14:paraId="3253FE23"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Serrano, A., 2025. UNLEASHING AI'S TRANSFORMATIVE POWER: RESHAPING PRODUCTIVITY, LABOR MARKETS AND POLICY IN THE GLOBAL ECONOMY. </w:t>
      </w:r>
      <w:r w:rsidRPr="00A14810">
        <w:rPr>
          <w:rFonts w:eastAsia="Times New Roman"/>
          <w:i/>
          <w:color w:val="222222"/>
          <w:sz w:val="24"/>
          <w:highlight w:val="white"/>
          <w:lang w:val="en-GB"/>
        </w:rPr>
        <w:t>Revista UNISCI</w:t>
      </w:r>
      <w:r w:rsidRPr="00A14810">
        <w:rPr>
          <w:rFonts w:eastAsia="Times New Roman"/>
          <w:color w:val="222222"/>
          <w:sz w:val="24"/>
          <w:highlight w:val="white"/>
          <w:lang w:val="en-GB"/>
        </w:rPr>
        <w:t>, (67).</w:t>
      </w:r>
      <w:hyperlink r:id="rId23">
        <w:r w:rsidRPr="00A14810">
          <w:rPr>
            <w:rFonts w:eastAsia="Times New Roman"/>
            <w:color w:val="1155CC"/>
            <w:sz w:val="24"/>
            <w:highlight w:val="white"/>
            <w:u w:val="single"/>
            <w:lang w:val="en-GB"/>
          </w:rPr>
          <w:t>https://www.unisci.es/wp-content/uploads/2025/01/UNISCIDP67-7SERRANO.pdf</w:t>
        </w:r>
      </w:hyperlink>
    </w:p>
    <w:p w14:paraId="5B494560"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Song, M., 2024. Revisiting Strategy in Strategic Human Resources Management: Theorizing, Identifying, and Analyzing HR Systems Parallelly Aligned with Organization Systems.</w:t>
      </w:r>
      <w:hyperlink r:id="rId24">
        <w:r w:rsidRPr="00A14810">
          <w:rPr>
            <w:rFonts w:eastAsia="Times New Roman"/>
            <w:color w:val="1155CC"/>
            <w:sz w:val="24"/>
            <w:highlight w:val="white"/>
            <w:u w:val="single"/>
            <w:lang w:val="en-GB"/>
          </w:rPr>
          <w:t>https://doi.org/10.7939/r3-vgsx-5v40</w:t>
        </w:r>
      </w:hyperlink>
    </w:p>
    <w:p w14:paraId="24F76AB7"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 xml:space="preserve">Taheri Hosseinkhani, N., 2025. Geopolitical Turmoil, Supply-Chain Realignment, and Inflation: Commodity Shocks, Trade Fragmentation, and Policy Responses. </w:t>
      </w:r>
      <w:r w:rsidRPr="00A14810">
        <w:rPr>
          <w:rFonts w:eastAsia="Times New Roman"/>
          <w:i/>
          <w:color w:val="222222"/>
          <w:sz w:val="24"/>
          <w:highlight w:val="white"/>
          <w:lang w:val="en-GB"/>
        </w:rPr>
        <w:t>Supply-Chain Realignment, and Inflation: Commodity Shocks, Trade Fragmentation, and Policy Responses (August 28, 2025)</w:t>
      </w:r>
      <w:r w:rsidRPr="00A14810">
        <w:rPr>
          <w:rFonts w:eastAsia="Times New Roman"/>
          <w:color w:val="222222"/>
          <w:sz w:val="24"/>
          <w:highlight w:val="white"/>
          <w:lang w:val="en-GB"/>
        </w:rPr>
        <w:t>.</w:t>
      </w:r>
      <w:hyperlink r:id="rId25">
        <w:r w:rsidRPr="00A14810">
          <w:rPr>
            <w:rFonts w:eastAsia="Times New Roman"/>
            <w:color w:val="1155CC"/>
            <w:sz w:val="24"/>
            <w:highlight w:val="white"/>
            <w:u w:val="single"/>
            <w:lang w:val="en-GB"/>
          </w:rPr>
          <w:t>https://dx.doi.org/10.2139/ssrn.5448354</w:t>
        </w:r>
      </w:hyperlink>
    </w:p>
    <w:p w14:paraId="42C5A51A" w14:textId="77777777" w:rsidR="0086021B" w:rsidRPr="00A14810" w:rsidRDefault="0086021B" w:rsidP="0086021B">
      <w:pPr>
        <w:spacing w:before="240" w:after="240" w:line="360" w:lineRule="auto"/>
        <w:jc w:val="both"/>
        <w:rPr>
          <w:rFonts w:eastAsia="Times New Roman"/>
          <w:color w:val="222222"/>
          <w:sz w:val="24"/>
          <w:highlight w:val="white"/>
          <w:lang w:val="en-GB"/>
        </w:rPr>
      </w:pPr>
      <w:r w:rsidRPr="00A14810">
        <w:rPr>
          <w:rFonts w:eastAsia="Times New Roman"/>
          <w:color w:val="222222"/>
          <w:sz w:val="24"/>
          <w:highlight w:val="white"/>
          <w:lang w:val="en-GB"/>
        </w:rPr>
        <w:t>Varma, S.C.G., 2025. Remote Work, Real Results: Managing Projects Across Time Zones.</w:t>
      </w:r>
      <w:hyperlink r:id="rId26">
        <w:r w:rsidRPr="00A14810">
          <w:rPr>
            <w:rFonts w:eastAsia="Times New Roman"/>
            <w:color w:val="1155CC"/>
            <w:sz w:val="24"/>
            <w:highlight w:val="white"/>
            <w:u w:val="single"/>
            <w:lang w:val="en-GB"/>
          </w:rPr>
          <w:t>https://www.researchgate.net/profile/Santhosh-Chitraju-Gopal-Varma/publication/390928784_Remote_Work_Real_Results_Managing_Projects_Across_Time_Zones/links/68029bcfded43315572ad18d/Remote-Work-Real-Results-Managing-Projects-Across-Time-Zones.pdf</w:t>
        </w:r>
      </w:hyperlink>
    </w:p>
    <w:p w14:paraId="335BC03F" w14:textId="77777777" w:rsidR="0086021B" w:rsidRPr="00A14810" w:rsidRDefault="0086021B" w:rsidP="0086021B">
      <w:pPr>
        <w:spacing w:before="240" w:after="240" w:line="360" w:lineRule="auto"/>
        <w:jc w:val="both"/>
        <w:rPr>
          <w:rFonts w:eastAsia="Times New Roman"/>
          <w:sz w:val="24"/>
          <w:lang w:val="en-GB"/>
        </w:rPr>
      </w:pPr>
      <w:r w:rsidRPr="00A14810">
        <w:rPr>
          <w:rFonts w:eastAsia="Times New Roman"/>
          <w:sz w:val="24"/>
          <w:lang w:val="en-GB"/>
        </w:rPr>
        <w:t>World Economic Forum</w:t>
      </w:r>
      <w:r>
        <w:rPr>
          <w:rFonts w:eastAsia="Times New Roman"/>
          <w:sz w:val="24"/>
          <w:lang w:val="en-GB"/>
        </w:rPr>
        <w:t xml:space="preserve">., </w:t>
      </w:r>
      <w:r w:rsidRPr="00A14810">
        <w:rPr>
          <w:rFonts w:eastAsia="Times New Roman"/>
          <w:sz w:val="24"/>
          <w:lang w:val="en-GB"/>
        </w:rPr>
        <w:t xml:space="preserve">2025. </w:t>
      </w:r>
      <w:r w:rsidRPr="00A14810">
        <w:rPr>
          <w:rFonts w:eastAsia="Times New Roman"/>
          <w:i/>
          <w:sz w:val="24"/>
          <w:lang w:val="en-GB"/>
        </w:rPr>
        <w:t>The Future of Jobs Report 2025</w:t>
      </w:r>
      <w:r w:rsidRPr="00A14810">
        <w:rPr>
          <w:rFonts w:eastAsia="Times New Roman"/>
          <w:sz w:val="24"/>
          <w:lang w:val="en-GB"/>
        </w:rPr>
        <w:t xml:space="preserve">. [online] World Economic Forum. Available at: </w:t>
      </w:r>
      <w:hyperlink r:id="rId27">
        <w:r w:rsidRPr="00A14810">
          <w:rPr>
            <w:rFonts w:eastAsia="Times New Roman"/>
            <w:color w:val="1155CC"/>
            <w:sz w:val="24"/>
            <w:u w:val="single"/>
            <w:lang w:val="en-GB"/>
          </w:rPr>
          <w:t>https://www.weforum.org/publications/the-future-of-jobs-report-2025/in-full/3-skills-outlook/</w:t>
        </w:r>
      </w:hyperlink>
      <w:r w:rsidRPr="00A14810">
        <w:rPr>
          <w:rFonts w:eastAsia="Times New Roman"/>
          <w:sz w:val="24"/>
          <w:lang w:val="en-GB"/>
        </w:rPr>
        <w:t>.</w:t>
      </w:r>
    </w:p>
    <w:p w14:paraId="2038E0E5" w14:textId="08D27BA0" w:rsidR="004D4139" w:rsidRPr="0086021B" w:rsidRDefault="004D4139" w:rsidP="0086021B"/>
    <w:sectPr w:rsidR="004D4139" w:rsidRPr="0086021B" w:rsidSect="0086021B">
      <w:footerReference w:type="default" r:id="rId28"/>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4777237"/>
      <w:docPartObj>
        <w:docPartGallery w:val="Page Numbers (Bottom of Page)"/>
        <w:docPartUnique/>
      </w:docPartObj>
    </w:sdtPr>
    <w:sdtEndPr>
      <w:rPr>
        <w:noProof/>
      </w:rPr>
    </w:sdtEndPr>
    <w:sdtContent>
      <w:p w14:paraId="169F31CA" w14:textId="77777777" w:rsidR="0086021B" w:rsidRDefault="008602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45C974" w14:textId="77777777" w:rsidR="0086021B" w:rsidRDefault="0086021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03C42"/>
    <w:multiLevelType w:val="hybridMultilevel"/>
    <w:tmpl w:val="F08E3B9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9411B71"/>
    <w:multiLevelType w:val="hybridMultilevel"/>
    <w:tmpl w:val="4D0E7DF8"/>
    <w:lvl w:ilvl="0" w:tplc="FFFFFFFF">
      <w:numFmt w:val="bullet"/>
      <w:lvlText w:val=""/>
      <w:lvlJc w:val="left"/>
      <w:pPr>
        <w:ind w:left="345" w:hanging="360"/>
      </w:pPr>
      <w:rPr>
        <w:rFonts w:ascii="Calibri" w:eastAsia="Calibri" w:hAnsi="Calibri" w:cs="Calibri" w:hint="default"/>
      </w:rPr>
    </w:lvl>
    <w:lvl w:ilvl="1" w:tplc="08090003" w:tentative="1">
      <w:start w:val="1"/>
      <w:numFmt w:val="bullet"/>
      <w:lvlText w:val="o"/>
      <w:lvlJc w:val="left"/>
      <w:pPr>
        <w:ind w:left="1065" w:hanging="360"/>
      </w:pPr>
      <w:rPr>
        <w:rFonts w:ascii="Courier New" w:hAnsi="Courier New" w:cs="Courier New" w:hint="default"/>
      </w:rPr>
    </w:lvl>
    <w:lvl w:ilvl="2" w:tplc="08090005" w:tentative="1">
      <w:start w:val="1"/>
      <w:numFmt w:val="bullet"/>
      <w:lvlText w:val=""/>
      <w:lvlJc w:val="left"/>
      <w:pPr>
        <w:ind w:left="1785" w:hanging="360"/>
      </w:pPr>
      <w:rPr>
        <w:rFonts w:ascii="Wingdings" w:hAnsi="Wingdings" w:hint="default"/>
      </w:rPr>
    </w:lvl>
    <w:lvl w:ilvl="3" w:tplc="08090001" w:tentative="1">
      <w:start w:val="1"/>
      <w:numFmt w:val="bullet"/>
      <w:lvlText w:val=""/>
      <w:lvlJc w:val="left"/>
      <w:pPr>
        <w:ind w:left="2505" w:hanging="360"/>
      </w:pPr>
      <w:rPr>
        <w:rFonts w:ascii="Symbol" w:hAnsi="Symbol" w:hint="default"/>
      </w:rPr>
    </w:lvl>
    <w:lvl w:ilvl="4" w:tplc="08090003" w:tentative="1">
      <w:start w:val="1"/>
      <w:numFmt w:val="bullet"/>
      <w:lvlText w:val="o"/>
      <w:lvlJc w:val="left"/>
      <w:pPr>
        <w:ind w:left="3225" w:hanging="360"/>
      </w:pPr>
      <w:rPr>
        <w:rFonts w:ascii="Courier New" w:hAnsi="Courier New" w:cs="Courier New" w:hint="default"/>
      </w:rPr>
    </w:lvl>
    <w:lvl w:ilvl="5" w:tplc="08090005" w:tentative="1">
      <w:start w:val="1"/>
      <w:numFmt w:val="bullet"/>
      <w:lvlText w:val=""/>
      <w:lvlJc w:val="left"/>
      <w:pPr>
        <w:ind w:left="3945" w:hanging="360"/>
      </w:pPr>
      <w:rPr>
        <w:rFonts w:ascii="Wingdings" w:hAnsi="Wingdings" w:hint="default"/>
      </w:rPr>
    </w:lvl>
    <w:lvl w:ilvl="6" w:tplc="08090001" w:tentative="1">
      <w:start w:val="1"/>
      <w:numFmt w:val="bullet"/>
      <w:lvlText w:val=""/>
      <w:lvlJc w:val="left"/>
      <w:pPr>
        <w:ind w:left="4665" w:hanging="360"/>
      </w:pPr>
      <w:rPr>
        <w:rFonts w:ascii="Symbol" w:hAnsi="Symbol" w:hint="default"/>
      </w:rPr>
    </w:lvl>
    <w:lvl w:ilvl="7" w:tplc="08090003" w:tentative="1">
      <w:start w:val="1"/>
      <w:numFmt w:val="bullet"/>
      <w:lvlText w:val="o"/>
      <w:lvlJc w:val="left"/>
      <w:pPr>
        <w:ind w:left="5385" w:hanging="360"/>
      </w:pPr>
      <w:rPr>
        <w:rFonts w:ascii="Courier New" w:hAnsi="Courier New" w:cs="Courier New" w:hint="default"/>
      </w:rPr>
    </w:lvl>
    <w:lvl w:ilvl="8" w:tplc="08090005" w:tentative="1">
      <w:start w:val="1"/>
      <w:numFmt w:val="bullet"/>
      <w:lvlText w:val=""/>
      <w:lvlJc w:val="left"/>
      <w:pPr>
        <w:ind w:left="6105" w:hanging="360"/>
      </w:pPr>
      <w:rPr>
        <w:rFonts w:ascii="Wingdings" w:hAnsi="Wingdings" w:hint="default"/>
      </w:rPr>
    </w:lvl>
  </w:abstractNum>
  <w:abstractNum w:abstractNumId="2" w15:restartNumberingAfterBreak="0">
    <w:nsid w:val="1C9950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FC3F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484E76"/>
    <w:multiLevelType w:val="hybridMultilevel"/>
    <w:tmpl w:val="FFFFFFFF"/>
    <w:lvl w:ilvl="0" w:tplc="B9FEDE9E">
      <w:start w:val="1"/>
      <w:numFmt w:val="bullet"/>
      <w:lvlText w:val="-"/>
      <w:lvlJc w:val="left"/>
      <w:pPr>
        <w:ind w:left="705"/>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lvl w:ilvl="1" w:tplc="E6E6A0C8">
      <w:start w:val="1"/>
      <w:numFmt w:val="bullet"/>
      <w:lvlText w:val="o"/>
      <w:lvlJc w:val="left"/>
      <w:pPr>
        <w:ind w:left="1440"/>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lvl w:ilvl="2" w:tplc="B394A922">
      <w:start w:val="1"/>
      <w:numFmt w:val="bullet"/>
      <w:lvlText w:val="▪"/>
      <w:lvlJc w:val="left"/>
      <w:pPr>
        <w:ind w:left="2160"/>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lvl w:ilvl="3" w:tplc="25F46FB2">
      <w:start w:val="1"/>
      <w:numFmt w:val="bullet"/>
      <w:lvlText w:val="•"/>
      <w:lvlJc w:val="left"/>
      <w:pPr>
        <w:ind w:left="2880"/>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lvl w:ilvl="4" w:tplc="8F46D812">
      <w:start w:val="1"/>
      <w:numFmt w:val="bullet"/>
      <w:lvlText w:val="o"/>
      <w:lvlJc w:val="left"/>
      <w:pPr>
        <w:ind w:left="3600"/>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lvl w:ilvl="5" w:tplc="D53E6DE6">
      <w:start w:val="1"/>
      <w:numFmt w:val="bullet"/>
      <w:lvlText w:val="▪"/>
      <w:lvlJc w:val="left"/>
      <w:pPr>
        <w:ind w:left="4320"/>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lvl w:ilvl="6" w:tplc="6B4A55A0">
      <w:start w:val="1"/>
      <w:numFmt w:val="bullet"/>
      <w:lvlText w:val="•"/>
      <w:lvlJc w:val="left"/>
      <w:pPr>
        <w:ind w:left="5040"/>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lvl w:ilvl="7" w:tplc="664E3904">
      <w:start w:val="1"/>
      <w:numFmt w:val="bullet"/>
      <w:lvlText w:val="o"/>
      <w:lvlJc w:val="left"/>
      <w:pPr>
        <w:ind w:left="5760"/>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lvl w:ilvl="8" w:tplc="9FE0C10A">
      <w:start w:val="1"/>
      <w:numFmt w:val="bullet"/>
      <w:lvlText w:val="▪"/>
      <w:lvlJc w:val="left"/>
      <w:pPr>
        <w:ind w:left="6480"/>
      </w:pPr>
      <w:rPr>
        <w:rFonts w:ascii="Times New Roman" w:eastAsia="Times New Roman" w:hAnsi="Times New Roman" w:cs="Times New Roman"/>
        <w:b w:val="0"/>
        <w:i w:val="0"/>
        <w:strike w:val="0"/>
        <w:dstrike w:val="0"/>
        <w:color w:val="323232"/>
        <w:sz w:val="24"/>
        <w:szCs w:val="24"/>
        <w:u w:val="none" w:color="000000"/>
        <w:bdr w:val="none" w:sz="0" w:space="0" w:color="auto"/>
        <w:shd w:val="clear" w:color="auto" w:fill="auto"/>
        <w:vertAlign w:val="baseline"/>
      </w:rPr>
    </w:lvl>
  </w:abstractNum>
  <w:abstractNum w:abstractNumId="5" w15:restartNumberingAfterBreak="0">
    <w:nsid w:val="5C17340B"/>
    <w:multiLevelType w:val="hybridMultilevel"/>
    <w:tmpl w:val="FFFFFFFF"/>
    <w:lvl w:ilvl="0" w:tplc="96769AE8">
      <w:start w:val="1"/>
      <w:numFmt w:val="bullet"/>
      <w:lvlText w:val="-"/>
      <w:lvlJc w:val="left"/>
      <w:pPr>
        <w:ind w:left="106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2B4799E">
      <w:start w:val="1"/>
      <w:numFmt w:val="bullet"/>
      <w:lvlText w:val="o"/>
      <w:lvlJc w:val="left"/>
      <w:pPr>
        <w:ind w:left="18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44E8DDA6">
      <w:start w:val="1"/>
      <w:numFmt w:val="bullet"/>
      <w:lvlText w:val="▪"/>
      <w:lvlJc w:val="left"/>
      <w:pPr>
        <w:ind w:left="25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D382DCFE">
      <w:start w:val="1"/>
      <w:numFmt w:val="bullet"/>
      <w:lvlText w:val="•"/>
      <w:lvlJc w:val="left"/>
      <w:pPr>
        <w:ind w:left="32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146B508">
      <w:start w:val="1"/>
      <w:numFmt w:val="bullet"/>
      <w:lvlText w:val="o"/>
      <w:lvlJc w:val="left"/>
      <w:pPr>
        <w:ind w:left="39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971473A0">
      <w:start w:val="1"/>
      <w:numFmt w:val="bullet"/>
      <w:lvlText w:val="▪"/>
      <w:lvlJc w:val="left"/>
      <w:pPr>
        <w:ind w:left="47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B128312">
      <w:start w:val="1"/>
      <w:numFmt w:val="bullet"/>
      <w:lvlText w:val="•"/>
      <w:lvlJc w:val="left"/>
      <w:pPr>
        <w:ind w:left="54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9DC8A1C">
      <w:start w:val="1"/>
      <w:numFmt w:val="bullet"/>
      <w:lvlText w:val="o"/>
      <w:lvlJc w:val="left"/>
      <w:pPr>
        <w:ind w:left="61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FC86DE4">
      <w:start w:val="1"/>
      <w:numFmt w:val="bullet"/>
      <w:lvlText w:val="▪"/>
      <w:lvlJc w:val="left"/>
      <w:pPr>
        <w:ind w:left="68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67492A49"/>
    <w:multiLevelType w:val="hybridMultilevel"/>
    <w:tmpl w:val="2F762F3A"/>
    <w:lvl w:ilvl="0" w:tplc="FFFFFFFF">
      <w:numFmt w:val="bullet"/>
      <w:lvlText w:val="-"/>
      <w:lvlJc w:val="left"/>
      <w:pPr>
        <w:ind w:left="580" w:hanging="360"/>
      </w:pPr>
      <w:rPr>
        <w:rFonts w:ascii="Calibri" w:eastAsia="Calibri" w:hAnsi="Calibri" w:cs="Calibri" w:hint="default"/>
        <w:color w:val="323232"/>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abstractNum w:abstractNumId="7" w15:restartNumberingAfterBreak="0">
    <w:nsid w:val="7DA170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2487475">
    <w:abstractNumId w:val="4"/>
  </w:num>
  <w:num w:numId="2" w16cid:durableId="352659316">
    <w:abstractNumId w:val="5"/>
  </w:num>
  <w:num w:numId="3" w16cid:durableId="1000278508">
    <w:abstractNumId w:val="2"/>
  </w:num>
  <w:num w:numId="4" w16cid:durableId="875895821">
    <w:abstractNumId w:val="3"/>
  </w:num>
  <w:num w:numId="5" w16cid:durableId="1592927574">
    <w:abstractNumId w:val="6"/>
  </w:num>
  <w:num w:numId="6" w16cid:durableId="2125151967">
    <w:abstractNumId w:val="1"/>
  </w:num>
  <w:num w:numId="7" w16cid:durableId="920674433">
    <w:abstractNumId w:val="7"/>
  </w:num>
  <w:num w:numId="8" w16cid:durableId="1195190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139"/>
    <w:rsid w:val="00030D19"/>
    <w:rsid w:val="000407AA"/>
    <w:rsid w:val="000C0265"/>
    <w:rsid w:val="000E0496"/>
    <w:rsid w:val="000E09C6"/>
    <w:rsid w:val="0011390F"/>
    <w:rsid w:val="00113B5B"/>
    <w:rsid w:val="00114BC1"/>
    <w:rsid w:val="001873EC"/>
    <w:rsid w:val="0019074C"/>
    <w:rsid w:val="001907E7"/>
    <w:rsid w:val="00193862"/>
    <w:rsid w:val="001A52B3"/>
    <w:rsid w:val="001B581D"/>
    <w:rsid w:val="001C3975"/>
    <w:rsid w:val="0021179B"/>
    <w:rsid w:val="00261D4B"/>
    <w:rsid w:val="00271B0B"/>
    <w:rsid w:val="00294AF1"/>
    <w:rsid w:val="00296851"/>
    <w:rsid w:val="002A2448"/>
    <w:rsid w:val="002D01C5"/>
    <w:rsid w:val="002E260B"/>
    <w:rsid w:val="003117B0"/>
    <w:rsid w:val="00356B3B"/>
    <w:rsid w:val="003636ED"/>
    <w:rsid w:val="0037674F"/>
    <w:rsid w:val="00395A82"/>
    <w:rsid w:val="003A3248"/>
    <w:rsid w:val="003E4F5F"/>
    <w:rsid w:val="00410A49"/>
    <w:rsid w:val="00441E8B"/>
    <w:rsid w:val="00495664"/>
    <w:rsid w:val="004A64D9"/>
    <w:rsid w:val="004C177B"/>
    <w:rsid w:val="004D4139"/>
    <w:rsid w:val="0052636A"/>
    <w:rsid w:val="005475E8"/>
    <w:rsid w:val="00560823"/>
    <w:rsid w:val="00597D9A"/>
    <w:rsid w:val="005A388A"/>
    <w:rsid w:val="005B1574"/>
    <w:rsid w:val="005D0747"/>
    <w:rsid w:val="00615520"/>
    <w:rsid w:val="00636E60"/>
    <w:rsid w:val="00661675"/>
    <w:rsid w:val="00687CF8"/>
    <w:rsid w:val="006B5627"/>
    <w:rsid w:val="006D47FD"/>
    <w:rsid w:val="006F7C65"/>
    <w:rsid w:val="00712766"/>
    <w:rsid w:val="00734F25"/>
    <w:rsid w:val="007B3908"/>
    <w:rsid w:val="007C3482"/>
    <w:rsid w:val="007E7229"/>
    <w:rsid w:val="007F7618"/>
    <w:rsid w:val="00804F0E"/>
    <w:rsid w:val="00840B0C"/>
    <w:rsid w:val="0086021B"/>
    <w:rsid w:val="0086465E"/>
    <w:rsid w:val="008A5E47"/>
    <w:rsid w:val="008A64B9"/>
    <w:rsid w:val="008E45F4"/>
    <w:rsid w:val="00923D59"/>
    <w:rsid w:val="00924021"/>
    <w:rsid w:val="0095040C"/>
    <w:rsid w:val="0096018A"/>
    <w:rsid w:val="00970A90"/>
    <w:rsid w:val="00980E6F"/>
    <w:rsid w:val="00996F4D"/>
    <w:rsid w:val="00A10607"/>
    <w:rsid w:val="00A25C82"/>
    <w:rsid w:val="00A3374C"/>
    <w:rsid w:val="00A75D61"/>
    <w:rsid w:val="00A90ADD"/>
    <w:rsid w:val="00AB5F2A"/>
    <w:rsid w:val="00AC5EF2"/>
    <w:rsid w:val="00AF4E0F"/>
    <w:rsid w:val="00B06FB1"/>
    <w:rsid w:val="00B51389"/>
    <w:rsid w:val="00B5655E"/>
    <w:rsid w:val="00B60456"/>
    <w:rsid w:val="00B954C8"/>
    <w:rsid w:val="00BB6394"/>
    <w:rsid w:val="00BB667D"/>
    <w:rsid w:val="00BC6F01"/>
    <w:rsid w:val="00C01BFB"/>
    <w:rsid w:val="00C505B0"/>
    <w:rsid w:val="00C656EE"/>
    <w:rsid w:val="00CA4229"/>
    <w:rsid w:val="00CA58B6"/>
    <w:rsid w:val="00CE18D1"/>
    <w:rsid w:val="00D3747D"/>
    <w:rsid w:val="00D80586"/>
    <w:rsid w:val="00D841FD"/>
    <w:rsid w:val="00DA5477"/>
    <w:rsid w:val="00DD7DF1"/>
    <w:rsid w:val="00DE7696"/>
    <w:rsid w:val="00DE7BF8"/>
    <w:rsid w:val="00E32873"/>
    <w:rsid w:val="00E3667A"/>
    <w:rsid w:val="00E40732"/>
    <w:rsid w:val="00E50C96"/>
    <w:rsid w:val="00E51B0C"/>
    <w:rsid w:val="00E71DBD"/>
    <w:rsid w:val="00E76C6C"/>
    <w:rsid w:val="00E979EB"/>
    <w:rsid w:val="00EE1FB3"/>
    <w:rsid w:val="00EF100C"/>
    <w:rsid w:val="00F0055C"/>
    <w:rsid w:val="00F10976"/>
    <w:rsid w:val="00F239A5"/>
    <w:rsid w:val="00F2572C"/>
    <w:rsid w:val="00F402A1"/>
    <w:rsid w:val="00F46C96"/>
    <w:rsid w:val="00FB456D"/>
    <w:rsid w:val="00FE598E"/>
    <w:rsid w:val="00FE7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57514"/>
  <w15:docId w15:val="{3D50EC2E-9578-DF4F-BA71-365283B5D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lang w:val="en-US" w:eastAsia="en-US" w:bidi="en-US"/>
    </w:rPr>
  </w:style>
  <w:style w:type="paragraph" w:styleId="Heading1">
    <w:name w:val="heading 1"/>
    <w:next w:val="Normal"/>
    <w:link w:val="Heading1Char"/>
    <w:uiPriority w:val="9"/>
    <w:qFormat/>
    <w:pPr>
      <w:keepNext/>
      <w:keepLines/>
      <w:spacing w:after="0" w:line="259" w:lineRule="auto"/>
      <w:ind w:right="13"/>
      <w:jc w:val="center"/>
      <w:outlineLvl w:val="0"/>
    </w:pPr>
    <w:rPr>
      <w:rFonts w:ascii="Times New Roman" w:eastAsia="Times New Roman" w:hAnsi="Times New Roman" w:cs="Times New Roman"/>
      <w:b/>
      <w:color w:val="000000"/>
      <w:sz w:val="40"/>
    </w:rPr>
  </w:style>
  <w:style w:type="paragraph" w:styleId="Heading2">
    <w:name w:val="heading 2"/>
    <w:next w:val="Normal"/>
    <w:link w:val="Heading2Char"/>
    <w:uiPriority w:val="9"/>
    <w:unhideWhenUsed/>
    <w:qFormat/>
    <w:pPr>
      <w:keepNext/>
      <w:keepLines/>
      <w:spacing w:after="96" w:line="259" w:lineRule="auto"/>
      <w:ind w:left="10" w:hanging="10"/>
      <w:outlineLvl w:val="1"/>
    </w:pPr>
    <w:rPr>
      <w:rFonts w:ascii="Calibri" w:eastAsia="Calibri" w:hAnsi="Calibri" w:cs="Calibri"/>
      <w:b/>
      <w:color w:val="000000"/>
      <w:sz w:val="3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30"/>
      <w:u w:val="single" w:color="000000"/>
    </w:rPr>
  </w:style>
  <w:style w:type="character" w:customStyle="1" w:styleId="Heading1Char">
    <w:name w:val="Heading 1 Char"/>
    <w:link w:val="Heading1"/>
    <w:rPr>
      <w:rFonts w:ascii="Times New Roman" w:eastAsia="Times New Roman" w:hAnsi="Times New Roman" w:cs="Times New Roman"/>
      <w:b/>
      <w:color w:val="000000"/>
      <w:sz w:val="40"/>
    </w:rPr>
  </w:style>
  <w:style w:type="paragraph" w:customStyle="1" w:styleId="p1">
    <w:name w:val="p1"/>
    <w:basedOn w:val="Normal"/>
    <w:rsid w:val="00FB456D"/>
    <w:pPr>
      <w:spacing w:after="0" w:line="240" w:lineRule="auto"/>
    </w:pPr>
    <w:rPr>
      <w:rFonts w:ascii="Times New Roman" w:eastAsiaTheme="minorEastAsia" w:hAnsi="Times New Roman" w:cs="Times New Roman"/>
      <w:kern w:val="0"/>
      <w:sz w:val="18"/>
      <w:szCs w:val="18"/>
      <w:lang w:val="en-GB" w:eastAsia="en-GB" w:bidi="ar-SA"/>
      <w14:ligatures w14:val="none"/>
    </w:rPr>
  </w:style>
  <w:style w:type="character" w:customStyle="1" w:styleId="s1">
    <w:name w:val="s1"/>
    <w:basedOn w:val="DefaultParagraphFont"/>
    <w:rsid w:val="00FB456D"/>
    <w:rPr>
      <w:rFonts w:ascii="Times New Roman" w:hAnsi="Times New Roman" w:cs="Times New Roman" w:hint="default"/>
      <w:b w:val="0"/>
      <w:bCs w:val="0"/>
      <w:i w:val="0"/>
      <w:iCs w:val="0"/>
      <w:sz w:val="18"/>
      <w:szCs w:val="18"/>
    </w:rPr>
  </w:style>
  <w:style w:type="character" w:customStyle="1" w:styleId="s2">
    <w:name w:val="s2"/>
    <w:basedOn w:val="DefaultParagraphFont"/>
    <w:rsid w:val="00734F25"/>
    <w:rPr>
      <w:rFonts w:ascii="Times New Roman" w:hAnsi="Times New Roman" w:cs="Times New Roman" w:hint="default"/>
      <w:b w:val="0"/>
      <w:bCs w:val="0"/>
      <w:i w:val="0"/>
      <w:iCs w:val="0"/>
      <w:sz w:val="21"/>
      <w:szCs w:val="21"/>
    </w:rPr>
  </w:style>
  <w:style w:type="character" w:customStyle="1" w:styleId="s3">
    <w:name w:val="s3"/>
    <w:basedOn w:val="DefaultParagraphFont"/>
    <w:rsid w:val="00734F25"/>
    <w:rPr>
      <w:rFonts w:ascii="Helvetica" w:hAnsi="Helvetica" w:hint="default"/>
      <w:b w:val="0"/>
      <w:bCs w:val="0"/>
      <w:i w:val="0"/>
      <w:iCs w:val="0"/>
      <w:sz w:val="21"/>
      <w:szCs w:val="21"/>
    </w:rPr>
  </w:style>
  <w:style w:type="character" w:customStyle="1" w:styleId="apple-converted-space">
    <w:name w:val="apple-converted-space"/>
    <w:basedOn w:val="DefaultParagraphFont"/>
    <w:rsid w:val="00734F25"/>
  </w:style>
  <w:style w:type="paragraph" w:styleId="ListParagraph">
    <w:name w:val="List Paragraph"/>
    <w:basedOn w:val="Normal"/>
    <w:uiPriority w:val="34"/>
    <w:qFormat/>
    <w:rsid w:val="00734F25"/>
    <w:pPr>
      <w:ind w:left="720"/>
      <w:contextualSpacing/>
    </w:pPr>
  </w:style>
  <w:style w:type="paragraph" w:customStyle="1" w:styleId="p2">
    <w:name w:val="p2"/>
    <w:basedOn w:val="Normal"/>
    <w:rsid w:val="00E50C96"/>
    <w:pPr>
      <w:spacing w:after="0" w:line="240" w:lineRule="auto"/>
    </w:pPr>
    <w:rPr>
      <w:rFonts w:ascii="Helvetica" w:eastAsiaTheme="minorEastAsia" w:hAnsi="Helvetica" w:cs="Times New Roman"/>
      <w:color w:val="323232"/>
      <w:kern w:val="0"/>
      <w:sz w:val="18"/>
      <w:szCs w:val="18"/>
      <w:lang w:val="en-GB" w:eastAsia="en-GB" w:bidi="ar-SA"/>
      <w14:ligatures w14:val="none"/>
    </w:rPr>
  </w:style>
  <w:style w:type="character" w:customStyle="1" w:styleId="s4">
    <w:name w:val="s4"/>
    <w:basedOn w:val="DefaultParagraphFont"/>
    <w:rsid w:val="00E50C96"/>
    <w:rPr>
      <w:rFonts w:ascii="Helvetica" w:hAnsi="Helvetica" w:hint="default"/>
      <w:b w:val="0"/>
      <w:bCs w:val="0"/>
      <w:i w:val="0"/>
      <w:iCs w:val="0"/>
      <w:sz w:val="18"/>
      <w:szCs w:val="18"/>
    </w:rPr>
  </w:style>
  <w:style w:type="paragraph" w:customStyle="1" w:styleId="li1">
    <w:name w:val="li1"/>
    <w:basedOn w:val="Normal"/>
    <w:rsid w:val="001907E7"/>
    <w:pPr>
      <w:spacing w:after="0" w:line="240" w:lineRule="auto"/>
    </w:pPr>
    <w:rPr>
      <w:rFonts w:ascii="Helvetica" w:eastAsiaTheme="minorEastAsia" w:hAnsi="Helvetica" w:cs="Times New Roman"/>
      <w:color w:val="auto"/>
      <w:kern w:val="0"/>
      <w:sz w:val="18"/>
      <w:szCs w:val="18"/>
      <w:lang w:val="en-GB" w:eastAsia="en-GB" w:bidi="ar-SA"/>
      <w14:ligatures w14:val="none"/>
    </w:rPr>
  </w:style>
  <w:style w:type="paragraph" w:customStyle="1" w:styleId="s5">
    <w:name w:val="s5"/>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customStyle="1" w:styleId="s7">
    <w:name w:val="s7"/>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character" w:customStyle="1" w:styleId="bumpedfont15">
    <w:name w:val="bumpedfont15"/>
    <w:basedOn w:val="DefaultParagraphFont"/>
    <w:rsid w:val="00DA5477"/>
  </w:style>
  <w:style w:type="paragraph" w:customStyle="1" w:styleId="s9">
    <w:name w:val="s9"/>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customStyle="1" w:styleId="s13">
    <w:name w:val="s13"/>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styleId="NormalWeb">
    <w:name w:val="Normal (Web)"/>
    <w:basedOn w:val="Normal"/>
    <w:uiPriority w:val="99"/>
    <w:semiHidden/>
    <w:unhideWhenUsed/>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customStyle="1" w:styleId="s16">
    <w:name w:val="s16"/>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customStyle="1" w:styleId="s19">
    <w:name w:val="s19"/>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customStyle="1" w:styleId="s21">
    <w:name w:val="s21"/>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customStyle="1" w:styleId="s24">
    <w:name w:val="s24"/>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customStyle="1" w:styleId="s27">
    <w:name w:val="s27"/>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customStyle="1" w:styleId="s28">
    <w:name w:val="s28"/>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character" w:customStyle="1" w:styleId="s30">
    <w:name w:val="s30"/>
    <w:basedOn w:val="DefaultParagraphFont"/>
    <w:rsid w:val="00DA5477"/>
  </w:style>
  <w:style w:type="paragraph" w:customStyle="1" w:styleId="s34">
    <w:name w:val="s34"/>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character" w:customStyle="1" w:styleId="s36">
    <w:name w:val="s36"/>
    <w:basedOn w:val="DefaultParagraphFont"/>
    <w:rsid w:val="00DA5477"/>
  </w:style>
  <w:style w:type="paragraph" w:customStyle="1" w:styleId="s37">
    <w:name w:val="s37"/>
    <w:basedOn w:val="Normal"/>
    <w:rsid w:val="00DA5477"/>
    <w:pPr>
      <w:spacing w:before="100" w:beforeAutospacing="1" w:after="100" w:afterAutospacing="1" w:line="240" w:lineRule="auto"/>
    </w:pPr>
    <w:rPr>
      <w:rFonts w:ascii="Times New Roman" w:eastAsiaTheme="minorEastAsia" w:hAnsi="Times New Roman" w:cs="Times New Roman"/>
      <w:color w:val="auto"/>
      <w:kern w:val="0"/>
      <w:sz w:val="24"/>
      <w:lang w:val="en-GB" w:eastAsia="en-GB" w:bidi="ar-SA"/>
      <w14:ligatures w14:val="none"/>
    </w:rPr>
  </w:style>
  <w:style w:type="paragraph" w:styleId="Title">
    <w:name w:val="Title"/>
    <w:basedOn w:val="Normal"/>
    <w:next w:val="Normal"/>
    <w:link w:val="TitleChar"/>
    <w:uiPriority w:val="10"/>
    <w:qFormat/>
    <w:rsid w:val="0086021B"/>
    <w:pPr>
      <w:keepNext/>
      <w:keepLines/>
      <w:spacing w:after="60" w:line="276" w:lineRule="auto"/>
    </w:pPr>
    <w:rPr>
      <w:rFonts w:ascii="Arial" w:eastAsia="Arial" w:hAnsi="Arial" w:cs="Arial"/>
      <w:color w:val="auto"/>
      <w:kern w:val="0"/>
      <w:sz w:val="52"/>
      <w:szCs w:val="52"/>
      <w:lang w:val="en" w:eastAsia="en-IN" w:bidi="ar-SA"/>
      <w14:ligatures w14:val="none"/>
    </w:rPr>
  </w:style>
  <w:style w:type="character" w:customStyle="1" w:styleId="TitleChar">
    <w:name w:val="Title Char"/>
    <w:basedOn w:val="DefaultParagraphFont"/>
    <w:link w:val="Title"/>
    <w:uiPriority w:val="10"/>
    <w:rsid w:val="0086021B"/>
    <w:rPr>
      <w:rFonts w:ascii="Arial" w:eastAsia="Arial" w:hAnsi="Arial" w:cs="Arial"/>
      <w:kern w:val="0"/>
      <w:sz w:val="52"/>
      <w:szCs w:val="52"/>
      <w:lang w:val="en" w:eastAsia="en-IN"/>
      <w14:ligatures w14:val="none"/>
    </w:rPr>
  </w:style>
  <w:style w:type="paragraph" w:styleId="Footer">
    <w:name w:val="footer"/>
    <w:basedOn w:val="Normal"/>
    <w:link w:val="FooterChar"/>
    <w:uiPriority w:val="99"/>
    <w:unhideWhenUsed/>
    <w:rsid w:val="0086021B"/>
    <w:pPr>
      <w:tabs>
        <w:tab w:val="center" w:pos="4513"/>
        <w:tab w:val="right" w:pos="9026"/>
      </w:tabs>
      <w:spacing w:after="0" w:line="240" w:lineRule="auto"/>
    </w:pPr>
    <w:rPr>
      <w:rFonts w:ascii="Arial" w:eastAsia="Arial" w:hAnsi="Arial" w:cs="Arial"/>
      <w:color w:val="auto"/>
      <w:kern w:val="0"/>
      <w:szCs w:val="22"/>
      <w:lang w:val="en" w:eastAsia="en-IN" w:bidi="ar-SA"/>
      <w14:ligatures w14:val="none"/>
    </w:rPr>
  </w:style>
  <w:style w:type="character" w:customStyle="1" w:styleId="FooterChar">
    <w:name w:val="Footer Char"/>
    <w:basedOn w:val="DefaultParagraphFont"/>
    <w:link w:val="Footer"/>
    <w:uiPriority w:val="99"/>
    <w:rsid w:val="0086021B"/>
    <w:rPr>
      <w:rFonts w:ascii="Arial" w:eastAsia="Arial" w:hAnsi="Arial" w:cs="Arial"/>
      <w:kern w:val="0"/>
      <w:sz w:val="22"/>
      <w:szCs w:val="22"/>
      <w:lang w:val="en" w:eastAsia="en-IN"/>
      <w14:ligatures w14:val="none"/>
    </w:rPr>
  </w:style>
  <w:style w:type="paragraph" w:styleId="TOCHeading">
    <w:name w:val="TOC Heading"/>
    <w:basedOn w:val="Heading1"/>
    <w:next w:val="Normal"/>
    <w:uiPriority w:val="39"/>
    <w:unhideWhenUsed/>
    <w:qFormat/>
    <w:rsid w:val="0086021B"/>
    <w:pPr>
      <w:spacing w:before="240"/>
      <w:ind w:right="0"/>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86021B"/>
    <w:pPr>
      <w:spacing w:after="100" w:line="276" w:lineRule="auto"/>
    </w:pPr>
    <w:rPr>
      <w:rFonts w:ascii="Arial" w:eastAsia="Arial" w:hAnsi="Arial" w:cs="Arial"/>
      <w:color w:val="auto"/>
      <w:kern w:val="0"/>
      <w:szCs w:val="22"/>
      <w:lang w:val="en" w:eastAsia="en-IN" w:bidi="ar-SA"/>
      <w14:ligatures w14:val="none"/>
    </w:rPr>
  </w:style>
  <w:style w:type="character" w:styleId="Hyperlink">
    <w:name w:val="Hyperlink"/>
    <w:basedOn w:val="DefaultParagraphFont"/>
    <w:uiPriority w:val="99"/>
    <w:unhideWhenUsed/>
    <w:rsid w:val="008602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cyberleninka.ru/article/n/sustainable-development-of-the-global-labor-market-in-the-context-of-the-transformation-of-the-industrial-complex-of-the-digital" TargetMode="External"/><Relationship Id="rId18" Type="http://schemas.openxmlformats.org/officeDocument/2006/relationships/hyperlink" Target="http://iase-idje.ir/files/site1/user_files_6d0946/bahloli-A-10-954-1-f973787.pdf" TargetMode="External"/><Relationship Id="rId26" Type="http://schemas.openxmlformats.org/officeDocument/2006/relationships/hyperlink" Target="https://www.researchgate.net/profile/Santhosh-Chitraju-Gopal-Varma/publication/390928784_Remote_Work_Real_Results_Managing_Projects_Across_Time_Zones/links/68029bcfded43315572ad18d/Remote-Work-Real-Results-Managing-Projects-Across-Time-Zones.pdf" TargetMode="External"/><Relationship Id="rId3" Type="http://schemas.openxmlformats.org/officeDocument/2006/relationships/settings" Target="settings.xml"/><Relationship Id="rId21" Type="http://schemas.openxmlformats.org/officeDocument/2006/relationships/hyperlink" Target="https://hull-repository.worktribe.com/OutputFile/5087919" TargetMode="External"/><Relationship Id="rId7" Type="http://schemas.openxmlformats.org/officeDocument/2006/relationships/image" Target="media/image3.png"/><Relationship Id="rId12" Type="http://schemas.openxmlformats.org/officeDocument/2006/relationships/hyperlink" Target="https://sajhrm.co.za/index.php/sajhrm/article/download/1914/2996" TargetMode="External"/><Relationship Id="rId17" Type="http://schemas.openxmlformats.org/officeDocument/2006/relationships/hyperlink" Target="https://www.tsw.co.uk/blog/leadership-and-management/gibbs-reflective-cycle/" TargetMode="External"/><Relationship Id="rId25" Type="http://schemas.openxmlformats.org/officeDocument/2006/relationships/hyperlink" Target="https://dx.doi.org/10.2139/ssrn.5448354" TargetMode="External"/><Relationship Id="rId2" Type="http://schemas.openxmlformats.org/officeDocument/2006/relationships/styles" Target="styles.xml"/><Relationship Id="rId16" Type="http://schemas.openxmlformats.org/officeDocument/2006/relationships/hyperlink" Target="https://uk.gigroup.com/a-comprehensive-guide-to-talent-management-strategies-benefits-models-processes/" TargetMode="External"/><Relationship Id="rId20" Type="http://schemas.openxmlformats.org/officeDocument/2006/relationships/hyperlink" Target="https://mpra.ub.uni-muenchen.de/120579/1/MPRA_paper_120579.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researchgate.net/profile/Kavitha-Balakrishnan-3/publication/358751751_Influence_of_Cultural_Dimensions_on_Intercultural_Communication_Styles_Ethnicity_in_a_Moderating_Role/links/63d84bfd62d2a24f92decbf8/Influence-of-Cultural-Dimensions-on-Intercultural-Communication-Styles-Ethnicity-in-a-Moderating-Role.pdf" TargetMode="External"/><Relationship Id="rId24" Type="http://schemas.openxmlformats.org/officeDocument/2006/relationships/hyperlink" Target="https://doi.org/10.7939/r3-vgsx-5v40" TargetMode="External"/><Relationship Id="rId5" Type="http://schemas.openxmlformats.org/officeDocument/2006/relationships/image" Target="media/image1.png"/><Relationship Id="rId15" Type="http://schemas.openxmlformats.org/officeDocument/2006/relationships/hyperlink" Target="https://www.researchgate.net/profile/Sven-Horak-2/publication/358191183_CfP_special_issue_International_Business_Review_Looking_Back_to_Look_Forward_Disruption_Innovation_and_Future_Trends_in_International_Human_Resource_Management/links/61f45f771e98d168d7d848d7/CfP-special-issue-International-Business-Review-Looking-Back-to-Look-Forward-Disruption-Innovation-and-Future-Trends-in-International-Human-Resource-Management.pdf" TargetMode="External"/><Relationship Id="rId23" Type="http://schemas.openxmlformats.org/officeDocument/2006/relationships/hyperlink" Target="https://www.unisci.es/wp-content/uploads/2025/01/UNISCIDP67-7SERRANO.pdf" TargetMode="External"/><Relationship Id="rId28" Type="http://schemas.openxmlformats.org/officeDocument/2006/relationships/footer" Target="footer1.xml"/><Relationship Id="rId10" Type="http://schemas.openxmlformats.org/officeDocument/2006/relationships/hyperlink" Target="https://gyaanarth.com/wp-content/uploads/2025/04/90-106.pdf" TargetMode="External"/><Relationship Id="rId19" Type="http://schemas.openxmlformats.org/officeDocument/2006/relationships/hyperlink" Target="https://www.simplypsychology.org/learning-kolb.html" TargetMode="External"/><Relationship Id="rId4" Type="http://schemas.openxmlformats.org/officeDocument/2006/relationships/webSettings" Target="webSettings.xml"/><Relationship Id="rId9" Type="http://schemas.openxmlformats.org/officeDocument/2006/relationships/hyperlink" Target="https://papers.ssrn.com/sol3/Delivery.cfm?abstractid=5180795" TargetMode="External"/><Relationship Id="rId14" Type="http://schemas.openxmlformats.org/officeDocument/2006/relationships/hyperlink" Target="https://www.cipd.org/en/knowledge/bitesize-research/automating-hr-analytics/" TargetMode="External"/><Relationship Id="rId22" Type="http://schemas.openxmlformats.org/officeDocument/2006/relationships/hyperlink" Target="https://www.oecd.org/en/publications/2021/01/the-impact-of-artificial-intelligence-on-the-labour-market_a4b9cac2.html?utm_source=chatgpt.com" TargetMode="External"/><Relationship Id="rId27" Type="http://schemas.openxmlformats.org/officeDocument/2006/relationships/hyperlink" Target="https://www.weforum.org/publications/the-future-of-jobs-report-2025/in-full/3-skills-outloo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4044</Words>
  <Characters>23057</Characters>
  <Application>Microsoft Office Word</Application>
  <DocSecurity>0</DocSecurity>
  <Lines>192</Lines>
  <Paragraphs>54</Paragraphs>
  <ScaleCrop>false</ScaleCrop>
  <Company/>
  <LinksUpToDate>false</LinksUpToDate>
  <CharactersWithSpaces>27047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919825550033</dc:creator>
  <cp:keywords/>
  <cp:lastModifiedBy>Aniket Patel</cp:lastModifiedBy>
  <cp:revision>3</cp:revision>
  <dcterms:created xsi:type="dcterms:W3CDTF">2025-11-13T10:56:00Z</dcterms:created>
  <dcterms:modified xsi:type="dcterms:W3CDTF">2025-11-01T09:42:00Z</dcterms:modified>
</cp:coreProperties>
</file>