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B9348A" w14:textId="55D66FEF" w:rsidR="0043456F" w:rsidRPr="003642D7" w:rsidRDefault="00812EF1" w:rsidP="00812EF1">
      <w:pPr>
        <w:jc w:val="cente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Hamstring Strains within Elite Football</w:t>
      </w:r>
    </w:p>
    <w:p w14:paraId="194747D9" w14:textId="77777777" w:rsidR="00812EF1" w:rsidRPr="003642D7" w:rsidRDefault="00812EF1">
      <w:pPr>
        <w:rPr>
          <w:rFonts w:ascii="Times New Roman" w:hAnsi="Times New Roman" w:cs="Times New Roman"/>
          <w:sz w:val="24"/>
          <w:szCs w:val="24"/>
        </w:rPr>
      </w:pPr>
    </w:p>
    <w:p w14:paraId="58D54F85" w14:textId="4184A82F" w:rsidR="00BE6FC7" w:rsidRPr="003642D7" w:rsidRDefault="007C3452" w:rsidP="007C3452">
      <w:pP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1.</w:t>
      </w:r>
      <w:r w:rsidR="001C601E" w:rsidRPr="003642D7">
        <w:rPr>
          <w:rFonts w:ascii="Times New Roman" w:hAnsi="Times New Roman" w:cs="Times New Roman"/>
          <w:b/>
          <w:bCs/>
          <w:sz w:val="24"/>
          <w:szCs w:val="24"/>
          <w:u w:val="single"/>
        </w:rPr>
        <w:t xml:space="preserve"> </w:t>
      </w:r>
      <w:r w:rsidR="00BE6FC7" w:rsidRPr="003642D7">
        <w:rPr>
          <w:rFonts w:ascii="Times New Roman" w:hAnsi="Times New Roman" w:cs="Times New Roman"/>
          <w:b/>
          <w:bCs/>
          <w:sz w:val="24"/>
          <w:szCs w:val="24"/>
          <w:u w:val="single"/>
        </w:rPr>
        <w:t xml:space="preserve">Introduction </w:t>
      </w:r>
    </w:p>
    <w:p w14:paraId="0A58783D" w14:textId="6D03B295" w:rsidR="00BE6FC7" w:rsidRPr="003642D7" w:rsidRDefault="00BE6FC7" w:rsidP="00BE6FC7">
      <w:pPr>
        <w:rPr>
          <w:rFonts w:ascii="Times New Roman" w:hAnsi="Times New Roman" w:cs="Times New Roman"/>
          <w:sz w:val="24"/>
          <w:szCs w:val="24"/>
        </w:rPr>
      </w:pPr>
      <w:r w:rsidRPr="003642D7">
        <w:rPr>
          <w:rFonts w:ascii="Times New Roman" w:hAnsi="Times New Roman" w:cs="Times New Roman"/>
          <w:sz w:val="24"/>
          <w:szCs w:val="24"/>
        </w:rPr>
        <w:t>Hamstring injuries very commonly occur in sports that involve muscle lengthening skills or movement patterns, kicking, sprinting</w:t>
      </w:r>
      <w:r w:rsidR="00EC0F5C" w:rsidRPr="003642D7">
        <w:rPr>
          <w:rFonts w:ascii="Times New Roman" w:hAnsi="Times New Roman" w:cs="Times New Roman"/>
          <w:sz w:val="24"/>
          <w:szCs w:val="24"/>
        </w:rPr>
        <w:t>,</w:t>
      </w:r>
      <w:r w:rsidRPr="003642D7">
        <w:rPr>
          <w:rFonts w:ascii="Times New Roman" w:hAnsi="Times New Roman" w:cs="Times New Roman"/>
          <w:sz w:val="24"/>
          <w:szCs w:val="24"/>
        </w:rPr>
        <w:t xml:space="preserve"> and high-speed movements with hip flexion and knee extension (Erikson and Sherry, 2017). These movements and skills are where the hamstring is most vulnerable due to the elongation of the muscle. Not all hamstring tears require surgery, the majority are nonoperative. However, in extreme cases such as the tendon tearing from the bone surgery is usually required. In football, hamstring injuries are very prevalent (Ekstrand et al., 2023). In a study based on men's professional football, UEFA elite clubs, 2636 hamstring injuries were noted. Of all injuries, this number accounted for 19%. From the first season to the most recent season the proportion of injuries increased from 12% to 24%. In that period, hamstring injuries that caused days of absence increased to 20% from 10% (Ekstrand et al., 2022).</w:t>
      </w:r>
    </w:p>
    <w:p w14:paraId="7F09643E" w14:textId="77777777" w:rsidR="00BE6FC7" w:rsidRPr="003642D7" w:rsidRDefault="00BE6FC7" w:rsidP="00BE6FC7">
      <w:pPr>
        <w:rPr>
          <w:rFonts w:ascii="Times New Roman" w:hAnsi="Times New Roman" w:cs="Times New Roman"/>
          <w:sz w:val="24"/>
          <w:szCs w:val="24"/>
        </w:rPr>
      </w:pPr>
    </w:p>
    <w:p w14:paraId="2657A58C" w14:textId="6FD3FD4E" w:rsidR="00BE6FC7" w:rsidRPr="003642D7" w:rsidRDefault="009747C7" w:rsidP="00BE6FC7">
      <w:pP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2.</w:t>
      </w:r>
      <w:r w:rsidR="007C3452" w:rsidRPr="003642D7">
        <w:rPr>
          <w:rFonts w:ascii="Times New Roman" w:hAnsi="Times New Roman" w:cs="Times New Roman"/>
          <w:b/>
          <w:bCs/>
          <w:sz w:val="24"/>
          <w:szCs w:val="24"/>
          <w:u w:val="single"/>
        </w:rPr>
        <w:t xml:space="preserve"> </w:t>
      </w:r>
      <w:r w:rsidR="00BE6FC7" w:rsidRPr="003642D7">
        <w:rPr>
          <w:rFonts w:ascii="Times New Roman" w:hAnsi="Times New Roman" w:cs="Times New Roman"/>
          <w:b/>
          <w:bCs/>
          <w:sz w:val="24"/>
          <w:szCs w:val="24"/>
          <w:u w:val="single"/>
        </w:rPr>
        <w:t>Classifications</w:t>
      </w:r>
    </w:p>
    <w:p w14:paraId="52B48DD4" w14:textId="77777777" w:rsidR="009747C7" w:rsidRPr="003642D7" w:rsidRDefault="00BE6FC7" w:rsidP="00BE6FC7">
      <w:pPr>
        <w:rPr>
          <w:rFonts w:ascii="Times New Roman" w:hAnsi="Times New Roman" w:cs="Times New Roman"/>
          <w:sz w:val="24"/>
          <w:szCs w:val="24"/>
        </w:rPr>
      </w:pPr>
      <w:r w:rsidRPr="003642D7">
        <w:rPr>
          <w:rFonts w:ascii="Times New Roman" w:hAnsi="Times New Roman" w:cs="Times New Roman"/>
          <w:sz w:val="24"/>
          <w:szCs w:val="24"/>
        </w:rPr>
        <w:t xml:space="preserve">Hamstring grades are classified into different grades. A grade 1 is where microscopic tearing of the muscle is seen, with slight swelling and pain. This type of tear will show that the athlete has little or no loss of strength. An obvious weakness can be seen along with a partial tear of the muscle in a grade 2 hamstring tear. This type of tera will be more painful and tender it may present with swelling and bruising around the area. A grade 3 tear is a total rupture of the hamstring resulting in loss of function (Larson et al., 2023). Grade I and II hamstring tears can be treated nonoperatively. They are treated commonly by following a three-phase plan.  </w:t>
      </w:r>
    </w:p>
    <w:p w14:paraId="0B76ABA0" w14:textId="6755A44B" w:rsidR="00BE6FC7" w:rsidRPr="003642D7" w:rsidRDefault="00BE6FC7" w:rsidP="00BE6FC7">
      <w:pPr>
        <w:rPr>
          <w:rFonts w:ascii="Times New Roman" w:hAnsi="Times New Roman" w:cs="Times New Roman"/>
          <w:sz w:val="24"/>
          <w:szCs w:val="24"/>
        </w:rPr>
      </w:pPr>
      <w:r w:rsidRPr="003642D7">
        <w:rPr>
          <w:rFonts w:ascii="Times New Roman" w:hAnsi="Times New Roman" w:cs="Times New Roman"/>
          <w:sz w:val="24"/>
          <w:szCs w:val="24"/>
        </w:rPr>
        <w:t xml:space="preserve">Phase One occurs from the day of injury to up to 4 weeks. During this phase, the aims are to prohibit scar formation and </w:t>
      </w:r>
      <w:r w:rsidR="009747C7" w:rsidRPr="003642D7">
        <w:rPr>
          <w:rFonts w:ascii="Times New Roman" w:hAnsi="Times New Roman" w:cs="Times New Roman"/>
          <w:sz w:val="24"/>
          <w:szCs w:val="24"/>
        </w:rPr>
        <w:t>minimize</w:t>
      </w:r>
      <w:r w:rsidRPr="003642D7">
        <w:rPr>
          <w:rFonts w:ascii="Times New Roman" w:hAnsi="Times New Roman" w:cs="Times New Roman"/>
          <w:sz w:val="24"/>
          <w:szCs w:val="24"/>
        </w:rPr>
        <w:t xml:space="preserve"> muscle atrophy in the surrounding structures. High-impact exercises are avoided in this stage, and the use of isometric exercises within the bounds of the range of motion available is important in phase one to minimize atrophy whilst avoiding eccentric contractions that could cause pain (Larsen et al., 2023). There would be a slow introduction to concentric strength work in this phase. From week 2 to week 6, phase 2 takes place. A gradual return to the full range of motion, avoiding overpressure at the end of the range is targeted. Submaximal eccentric strengthening would begin in phase 2 to strengthen the hamstring when it is most vulnerable in a lengthened position, agility, and trunk stabilization and strength. Phase 3 occurs between 4 to 8 weeks and 8 weeks onwards. It incorporates sport-specific drills, high-speed running, sprinting</w:t>
      </w:r>
      <w:r w:rsidR="009747C7" w:rsidRPr="003642D7">
        <w:rPr>
          <w:rFonts w:ascii="Times New Roman" w:hAnsi="Times New Roman" w:cs="Times New Roman"/>
          <w:sz w:val="24"/>
          <w:szCs w:val="24"/>
        </w:rPr>
        <w:t>,</w:t>
      </w:r>
      <w:r w:rsidRPr="003642D7">
        <w:rPr>
          <w:rFonts w:ascii="Times New Roman" w:hAnsi="Times New Roman" w:cs="Times New Roman"/>
          <w:sz w:val="24"/>
          <w:szCs w:val="24"/>
        </w:rPr>
        <w:t xml:space="preserve"> and position-specific movements. Eccentric strengthening progresses to maximal effort also (Larsen et al., 2023). </w:t>
      </w:r>
    </w:p>
    <w:p w14:paraId="62A2E2B4" w14:textId="77777777" w:rsidR="00BE6FC7" w:rsidRPr="003642D7" w:rsidRDefault="00BE6FC7" w:rsidP="00BE6FC7">
      <w:pPr>
        <w:rPr>
          <w:rFonts w:ascii="Times New Roman" w:hAnsi="Times New Roman" w:cs="Times New Roman"/>
          <w:sz w:val="24"/>
          <w:szCs w:val="24"/>
        </w:rPr>
      </w:pPr>
    </w:p>
    <w:p w14:paraId="4118BF4F" w14:textId="13EC6B10" w:rsidR="009747C7" w:rsidRPr="003642D7" w:rsidRDefault="009747C7" w:rsidP="00BE6FC7">
      <w:pP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3.</w:t>
      </w:r>
      <w:r w:rsidR="007C3452" w:rsidRPr="003642D7">
        <w:rPr>
          <w:rFonts w:ascii="Times New Roman" w:hAnsi="Times New Roman" w:cs="Times New Roman"/>
          <w:b/>
          <w:bCs/>
          <w:sz w:val="24"/>
          <w:szCs w:val="24"/>
          <w:u w:val="single"/>
        </w:rPr>
        <w:t xml:space="preserve"> </w:t>
      </w:r>
      <w:r w:rsidR="00BE6FC7" w:rsidRPr="003642D7">
        <w:rPr>
          <w:rFonts w:ascii="Times New Roman" w:hAnsi="Times New Roman" w:cs="Times New Roman"/>
          <w:b/>
          <w:bCs/>
          <w:sz w:val="24"/>
          <w:szCs w:val="24"/>
          <w:u w:val="single"/>
        </w:rPr>
        <w:t>Risk Factors</w:t>
      </w:r>
    </w:p>
    <w:p w14:paraId="25CB3CEC" w14:textId="13E7149F" w:rsidR="009747C7" w:rsidRPr="003642D7" w:rsidRDefault="009747C7" w:rsidP="00BE6FC7">
      <w:pPr>
        <w:rPr>
          <w:rFonts w:ascii="Times New Roman" w:hAnsi="Times New Roman" w:cs="Times New Roman"/>
          <w:i/>
          <w:iCs/>
          <w:sz w:val="24"/>
          <w:szCs w:val="24"/>
        </w:rPr>
      </w:pPr>
      <w:r w:rsidRPr="003642D7">
        <w:rPr>
          <w:rFonts w:ascii="Times New Roman" w:hAnsi="Times New Roman" w:cs="Times New Roman"/>
          <w:sz w:val="24"/>
          <w:szCs w:val="24"/>
        </w:rPr>
        <w:t>3.1</w:t>
      </w:r>
      <w:r w:rsidR="00BE6FC7" w:rsidRPr="003642D7">
        <w:rPr>
          <w:rFonts w:ascii="Times New Roman" w:hAnsi="Times New Roman" w:cs="Times New Roman"/>
          <w:sz w:val="24"/>
          <w:szCs w:val="24"/>
        </w:rPr>
        <w:t xml:space="preserve"> </w:t>
      </w:r>
      <w:r w:rsidRPr="003642D7">
        <w:rPr>
          <w:rFonts w:ascii="Times New Roman" w:hAnsi="Times New Roman" w:cs="Times New Roman"/>
          <w:i/>
          <w:iCs/>
          <w:sz w:val="24"/>
          <w:szCs w:val="24"/>
        </w:rPr>
        <w:t>Intrinsic Risks</w:t>
      </w:r>
    </w:p>
    <w:p w14:paraId="2CA26138" w14:textId="77777777" w:rsidR="009747C7" w:rsidRPr="003642D7" w:rsidRDefault="00BE6FC7" w:rsidP="00BE6FC7">
      <w:pPr>
        <w:rPr>
          <w:rFonts w:ascii="Times New Roman" w:hAnsi="Times New Roman" w:cs="Times New Roman"/>
          <w:sz w:val="24"/>
          <w:szCs w:val="24"/>
        </w:rPr>
      </w:pPr>
      <w:r w:rsidRPr="003642D7">
        <w:rPr>
          <w:rFonts w:ascii="Times New Roman" w:hAnsi="Times New Roman" w:cs="Times New Roman"/>
          <w:sz w:val="24"/>
          <w:szCs w:val="24"/>
        </w:rPr>
        <w:t>There are several risk factors for hamstring injuries, intrinsic and extrinsic factors. Intrinsic factors are</w:t>
      </w:r>
      <w:r w:rsidR="009747C7" w:rsidRPr="003642D7">
        <w:rPr>
          <w:rFonts w:ascii="Times New Roman" w:hAnsi="Times New Roman" w:cs="Times New Roman"/>
          <w:sz w:val="24"/>
          <w:szCs w:val="24"/>
        </w:rPr>
        <w:t xml:space="preserve"> </w:t>
      </w:r>
      <w:r w:rsidRPr="003642D7">
        <w:rPr>
          <w:rFonts w:ascii="Times New Roman" w:hAnsi="Times New Roman" w:cs="Times New Roman"/>
          <w:sz w:val="24"/>
          <w:szCs w:val="24"/>
        </w:rPr>
        <w:t xml:space="preserve">based on the player's fitness, decisions, and lifestyle. It is stated that residual </w:t>
      </w:r>
      <w:r w:rsidRPr="003642D7">
        <w:rPr>
          <w:rFonts w:ascii="Times New Roman" w:hAnsi="Times New Roman" w:cs="Times New Roman"/>
          <w:sz w:val="24"/>
          <w:szCs w:val="24"/>
        </w:rPr>
        <w:lastRenderedPageBreak/>
        <w:t xml:space="preserve">weakness from a previous injury and strength asymmetry of the hamstrings are a risk factor for a hamstring tear. Lack of strength and weakness could result in the muscle not being able to tolerate the load placed upon it, for example, velocity running (Ekstrand et al., 2023).  When discussing strength, the primary issue is the lack of hamstring eccentric strength. During a match eccentric hamstring strength is noted to decrease especially during the second half of the match. During the second half of the match and during or after an overloaded match period where the player has little to no time to recover. </w:t>
      </w:r>
    </w:p>
    <w:p w14:paraId="30ACE651" w14:textId="0799A6D8" w:rsidR="00892014" w:rsidRPr="003642D7" w:rsidRDefault="009747C7" w:rsidP="00BE6FC7">
      <w:pPr>
        <w:rPr>
          <w:rFonts w:ascii="Times New Roman" w:hAnsi="Times New Roman" w:cs="Times New Roman"/>
          <w:sz w:val="24"/>
          <w:szCs w:val="24"/>
        </w:rPr>
      </w:pPr>
      <w:r w:rsidRPr="003642D7">
        <w:rPr>
          <w:rFonts w:ascii="Times New Roman" w:hAnsi="Times New Roman" w:cs="Times New Roman"/>
          <w:sz w:val="24"/>
          <w:szCs w:val="24"/>
        </w:rPr>
        <w:t>Player fatigue is another main risk factor. Fatigue can be caused by several components, for example, excessive training, too many matches in a week, and overloading. Specific muscle groups like the hamstring can fatigue quickly when it is underloaded due to lack of specific exercise prescription, causing dysfunctions like lack of eccentric strength. This predisposes the hamstring to potential injury in the eccentric phases of skill/ movement (Ekstrand et al., 2023). Poor lumbopelvic control </w:t>
      </w:r>
      <w:r w:rsidRPr="003642D7">
        <w:rPr>
          <w:rStyle w:val="Strong"/>
          <w:rFonts w:ascii="Times New Roman" w:hAnsi="Times New Roman" w:cs="Times New Roman"/>
          <w:b w:val="0"/>
          <w:bCs w:val="0"/>
          <w:color w:val="0E101A"/>
          <w:sz w:val="24"/>
          <w:szCs w:val="24"/>
        </w:rPr>
        <w:t>affects the functionality and kinematics of the lower limb muscles. Poor Lumbopelvic control can contribute to the possibility of a hamstring injury </w:t>
      </w:r>
      <w:r w:rsidRPr="003642D7">
        <w:rPr>
          <w:rFonts w:ascii="Times New Roman" w:hAnsi="Times New Roman" w:cs="Times New Roman"/>
          <w:b/>
          <w:bCs/>
          <w:sz w:val="24"/>
          <w:szCs w:val="24"/>
        </w:rPr>
        <w:t>(</w:t>
      </w:r>
      <w:r w:rsidRPr="003642D7">
        <w:rPr>
          <w:rFonts w:ascii="Times New Roman" w:hAnsi="Times New Roman" w:cs="Times New Roman"/>
          <w:sz w:val="24"/>
          <w:szCs w:val="24"/>
        </w:rPr>
        <w:t xml:space="preserve">Fadaei </w:t>
      </w:r>
      <w:proofErr w:type="spellStart"/>
      <w:r w:rsidRPr="003642D7">
        <w:rPr>
          <w:rFonts w:ascii="Times New Roman" w:hAnsi="Times New Roman" w:cs="Times New Roman"/>
          <w:sz w:val="24"/>
          <w:szCs w:val="24"/>
        </w:rPr>
        <w:t>Dehcheshmeh</w:t>
      </w:r>
      <w:proofErr w:type="spellEnd"/>
      <w:r w:rsidRPr="003642D7">
        <w:rPr>
          <w:rFonts w:ascii="Times New Roman" w:hAnsi="Times New Roman" w:cs="Times New Roman"/>
          <w:sz w:val="24"/>
          <w:szCs w:val="24"/>
        </w:rPr>
        <w:t xml:space="preserve">, </w:t>
      </w:r>
      <w:proofErr w:type="spellStart"/>
      <w:r w:rsidRPr="003642D7">
        <w:rPr>
          <w:rFonts w:ascii="Times New Roman" w:hAnsi="Times New Roman" w:cs="Times New Roman"/>
          <w:sz w:val="24"/>
          <w:szCs w:val="24"/>
        </w:rPr>
        <w:t>Gandomi</w:t>
      </w:r>
      <w:proofErr w:type="spellEnd"/>
      <w:r w:rsidRPr="003642D7">
        <w:rPr>
          <w:rFonts w:ascii="Times New Roman" w:hAnsi="Times New Roman" w:cs="Times New Roman"/>
          <w:sz w:val="24"/>
          <w:szCs w:val="24"/>
        </w:rPr>
        <w:t xml:space="preserve">, and </w:t>
      </w:r>
      <w:proofErr w:type="spellStart"/>
      <w:r w:rsidRPr="003642D7">
        <w:rPr>
          <w:rFonts w:ascii="Times New Roman" w:hAnsi="Times New Roman" w:cs="Times New Roman"/>
          <w:sz w:val="24"/>
          <w:szCs w:val="24"/>
        </w:rPr>
        <w:t>Maffulli</w:t>
      </w:r>
      <w:proofErr w:type="spellEnd"/>
      <w:r w:rsidRPr="003642D7">
        <w:rPr>
          <w:rFonts w:ascii="Times New Roman" w:hAnsi="Times New Roman" w:cs="Times New Roman"/>
          <w:sz w:val="24"/>
          <w:szCs w:val="24"/>
        </w:rPr>
        <w:t>, 2021). Poor coordination and flexibility are also risk factors due to the lack of range available and jerky, unstable movements that put the muscle at risk (Ekstrand et al., 2023). There's also the effect of player wellness, their sleep patterns, relationships, mental state, and nutrition. </w:t>
      </w:r>
    </w:p>
    <w:p w14:paraId="6060E1CD" w14:textId="2560F6E5" w:rsidR="007C3452" w:rsidRPr="003642D7" w:rsidRDefault="007C3452" w:rsidP="00BE6FC7">
      <w:pPr>
        <w:rPr>
          <w:rFonts w:ascii="Times New Roman" w:hAnsi="Times New Roman" w:cs="Times New Roman"/>
          <w:sz w:val="24"/>
          <w:szCs w:val="24"/>
        </w:rPr>
      </w:pPr>
      <w:r w:rsidRPr="003642D7">
        <w:rPr>
          <w:rFonts w:ascii="Times New Roman" w:hAnsi="Times New Roman" w:cs="Times New Roman"/>
          <w:i/>
          <w:iCs/>
          <w:sz w:val="24"/>
          <w:szCs w:val="24"/>
        </w:rPr>
        <w:t xml:space="preserve">3.2 Extrinsic Factors                                                                                                                                                               </w:t>
      </w:r>
      <w:r w:rsidRPr="003642D7">
        <w:rPr>
          <w:rFonts w:ascii="Times New Roman" w:hAnsi="Times New Roman" w:cs="Times New Roman"/>
          <w:sz w:val="24"/>
          <w:szCs w:val="24"/>
        </w:rPr>
        <w:t xml:space="preserve">Although several risks come from the players some risks can be out of their control, these are known as extrinsic factors. Lack of correct training is a major issue within many clubs, specifically lower league clubs, semi-pro and below. Within this risk factor, several branches can amount to an injury. For example, lack of exposure to high-speed football during training and specific strength training (isometric, concentric, and eccentric contractions) are potential risk factors for an injury (Ekstrand et al., 2023). It is important for training to mimic gameplay so that the hamstrings are prepared for similar moves at the same velocity they would use within a game. </w:t>
      </w:r>
    </w:p>
    <w:p w14:paraId="292A69B8" w14:textId="770C13CF" w:rsidR="00892014" w:rsidRPr="003642D7" w:rsidRDefault="007C3452" w:rsidP="00BE6FC7">
      <w:pPr>
        <w:rPr>
          <w:rFonts w:ascii="Times New Roman" w:hAnsi="Times New Roman" w:cs="Times New Roman"/>
          <w:sz w:val="24"/>
          <w:szCs w:val="24"/>
        </w:rPr>
      </w:pPr>
      <w:r w:rsidRPr="003642D7">
        <w:rPr>
          <w:rFonts w:ascii="Times New Roman" w:hAnsi="Times New Roman" w:cs="Times New Roman"/>
          <w:sz w:val="24"/>
          <w:szCs w:val="24"/>
        </w:rPr>
        <w:t>Whilst running active deceleration is the hamstrings' primary role during the terminal swing phase. Not mimicking deceleration during training can cause potential fatigue of the hamstring when a game is played and lack of effect deceleration. A primary risk is the lack of strategies put in place and the lack of interest in prevention strategies within the club. Disuse of movement health to target the specific tissue as part of training to stay on top of the range of movement and strength (Ekstrand et al., 2023). Prevention strategies can also be known as prehabilitation, building the area/ muscle of weakness where a possible injury has already occurred or could occur to make it less likely to happen.</w:t>
      </w:r>
    </w:p>
    <w:p w14:paraId="4AC861E5" w14:textId="77777777" w:rsidR="007C3452" w:rsidRPr="003642D7" w:rsidRDefault="007C3452" w:rsidP="00BE6FC7">
      <w:pPr>
        <w:rPr>
          <w:rFonts w:ascii="Times New Roman" w:hAnsi="Times New Roman" w:cs="Times New Roman"/>
          <w:sz w:val="24"/>
          <w:szCs w:val="24"/>
        </w:rPr>
      </w:pPr>
    </w:p>
    <w:p w14:paraId="1B1CEF67" w14:textId="77777777" w:rsidR="00791B47" w:rsidRPr="003642D7" w:rsidRDefault="00791B47" w:rsidP="00791B47">
      <w:pP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 xml:space="preserve">4. Management of Return to Sport                                      </w:t>
      </w:r>
    </w:p>
    <w:p w14:paraId="5418DDAE" w14:textId="77777777" w:rsidR="00791B47" w:rsidRPr="003642D7" w:rsidRDefault="00791B47" w:rsidP="00791B47">
      <w:pPr>
        <w:rPr>
          <w:rFonts w:ascii="Times New Roman" w:hAnsi="Times New Roman" w:cs="Times New Roman"/>
          <w:sz w:val="24"/>
          <w:szCs w:val="24"/>
        </w:rPr>
      </w:pPr>
      <w:r w:rsidRPr="003642D7">
        <w:rPr>
          <w:rFonts w:ascii="Times New Roman" w:hAnsi="Times New Roman" w:cs="Times New Roman"/>
          <w:sz w:val="24"/>
          <w:szCs w:val="24"/>
        </w:rPr>
        <w:t xml:space="preserve">Late and return to play rehabilitation is split into four stages in professional football. A study that included a survey of 131 premier league teams deemed these four stages as highly important and necessary for hamstring injuries. Phase one is to return to high-speed running. High-speed running occurs after the player has been cleared to run on the field. Slow and gradual increases in their speed based on their pre-injury speed results (Dunlop et al., 2019). </w:t>
      </w:r>
      <w:r w:rsidRPr="003642D7">
        <w:rPr>
          <w:rFonts w:ascii="Times New Roman" w:hAnsi="Times New Roman" w:cs="Times New Roman"/>
          <w:sz w:val="24"/>
          <w:szCs w:val="24"/>
        </w:rPr>
        <w:lastRenderedPageBreak/>
        <w:t xml:space="preserve">To progress from this stage there should be an absence of pain as well as full strength of the hamstrings. </w:t>
      </w:r>
    </w:p>
    <w:p w14:paraId="644909C4" w14:textId="70D69F45" w:rsidR="00791B47" w:rsidRPr="003642D7" w:rsidRDefault="00791B47" w:rsidP="00791B47">
      <w:pPr>
        <w:rPr>
          <w:rFonts w:ascii="Times New Roman" w:hAnsi="Times New Roman" w:cs="Times New Roman"/>
          <w:sz w:val="24"/>
          <w:szCs w:val="24"/>
        </w:rPr>
      </w:pPr>
      <w:r w:rsidRPr="003642D7">
        <w:rPr>
          <w:rFonts w:ascii="Times New Roman" w:hAnsi="Times New Roman" w:cs="Times New Roman"/>
          <w:sz w:val="24"/>
          <w:szCs w:val="24"/>
        </w:rPr>
        <w:t xml:space="preserve">Phase two is the return to training. At this stage player should be able to sprint at max speed without pain or discomfort. They should be comfortable and natural with sharp changes of direction, acceleration, and deceleration, they should be able to complete these with specific football skills involved. During the return to the training, they will start restricted, for example, no contact and gradually build to full contact through drills (Dunlop et al., 2019). When a player has returned to training with no restrictions, still at full hamstring strength and asymmetry in strength of both legs they can progress to the next stage. Their training load should also be back to where it was before the injury before progressing. </w:t>
      </w:r>
    </w:p>
    <w:p w14:paraId="61088CCD" w14:textId="77777777" w:rsidR="00791B47" w:rsidRPr="003642D7" w:rsidRDefault="00791B47" w:rsidP="00791B47">
      <w:pPr>
        <w:rPr>
          <w:rFonts w:ascii="Times New Roman" w:hAnsi="Times New Roman" w:cs="Times New Roman"/>
          <w:sz w:val="24"/>
          <w:szCs w:val="24"/>
        </w:rPr>
      </w:pPr>
    </w:p>
    <w:p w14:paraId="0793456E" w14:textId="69313C0D" w:rsidR="00791B47" w:rsidRPr="003642D7" w:rsidRDefault="00791B47" w:rsidP="00791B47">
      <w:pPr>
        <w:rPr>
          <w:rFonts w:ascii="Times New Roman" w:hAnsi="Times New Roman" w:cs="Times New Roman"/>
          <w:sz w:val="24"/>
          <w:szCs w:val="24"/>
        </w:rPr>
      </w:pPr>
      <w:r w:rsidRPr="003642D7">
        <w:rPr>
          <w:rFonts w:ascii="Times New Roman" w:hAnsi="Times New Roman" w:cs="Times New Roman"/>
          <w:sz w:val="24"/>
          <w:szCs w:val="24"/>
        </w:rPr>
        <w:t>Phase three is the return to play. This is where the player is cleared for match play. At this stage, the player's decision-making should be sharp and clean without any hesitation and their training load should be at the same level or above than their pre-injury training load. When returning to play, the athlete should not play a full game straight away. Small playing time should be prescribed to begin, for example, 20 minutes for the first game, then progress to half a game. Players' GPS benchmarks should be achieved, and their position-specific metrics for maximum speed, sprint number</w:t>
      </w:r>
      <w:r w:rsidR="00683579" w:rsidRPr="003642D7">
        <w:rPr>
          <w:rFonts w:ascii="Times New Roman" w:hAnsi="Times New Roman" w:cs="Times New Roman"/>
          <w:sz w:val="24"/>
          <w:szCs w:val="24"/>
        </w:rPr>
        <w:t>,</w:t>
      </w:r>
      <w:r w:rsidRPr="003642D7">
        <w:rPr>
          <w:rFonts w:ascii="Times New Roman" w:hAnsi="Times New Roman" w:cs="Times New Roman"/>
          <w:sz w:val="24"/>
          <w:szCs w:val="24"/>
        </w:rPr>
        <w:t xml:space="preserve"> and high-speed distance running (Dunlop et al., 2019). </w:t>
      </w:r>
    </w:p>
    <w:p w14:paraId="5ACC061A" w14:textId="58FD46D5" w:rsidR="00791B47" w:rsidRPr="003642D7" w:rsidRDefault="00791B47" w:rsidP="00791B47">
      <w:pPr>
        <w:rPr>
          <w:rFonts w:ascii="Times New Roman" w:hAnsi="Times New Roman" w:cs="Times New Roman"/>
          <w:sz w:val="24"/>
          <w:szCs w:val="24"/>
        </w:rPr>
      </w:pPr>
      <w:r w:rsidRPr="003642D7">
        <w:rPr>
          <w:rFonts w:ascii="Times New Roman" w:hAnsi="Times New Roman" w:cs="Times New Roman"/>
          <w:sz w:val="24"/>
          <w:szCs w:val="24"/>
        </w:rPr>
        <w:t>The final stage, that not all clubs follow/ progress to is the return to performance. This stage is where the player is fully fit and functional back to where they were before the injury without any awareness or differences in the muscle. In this stage, they should feel 100% confident within themself and continue to progress further past their pre-injury fitness/functional levels. However, hindrances may occur during these stages due to other considerations like mental state and psychological blocks (Dunlop et al., 2019).</w:t>
      </w:r>
    </w:p>
    <w:p w14:paraId="146DB145" w14:textId="77777777" w:rsidR="005F2F33" w:rsidRPr="003642D7" w:rsidRDefault="005F2F33" w:rsidP="00BE6FC7">
      <w:pPr>
        <w:rPr>
          <w:rFonts w:ascii="Times New Roman" w:hAnsi="Times New Roman" w:cs="Times New Roman"/>
          <w:sz w:val="24"/>
          <w:szCs w:val="24"/>
        </w:rPr>
      </w:pPr>
    </w:p>
    <w:p w14:paraId="56616446" w14:textId="099D7270" w:rsidR="001C601E" w:rsidRPr="003642D7" w:rsidRDefault="00A2760B" w:rsidP="001C601E">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5. </w:t>
      </w:r>
      <w:r w:rsidR="001C601E" w:rsidRPr="003642D7">
        <w:rPr>
          <w:rFonts w:ascii="Times New Roman" w:hAnsi="Times New Roman" w:cs="Times New Roman"/>
          <w:b/>
          <w:bCs/>
          <w:sz w:val="24"/>
          <w:szCs w:val="24"/>
          <w:u w:val="single"/>
        </w:rPr>
        <w:t>Screening Protocol</w:t>
      </w:r>
    </w:p>
    <w:p w14:paraId="49560906" w14:textId="270B0021" w:rsidR="001C601E" w:rsidRDefault="001C601E" w:rsidP="001C601E">
      <w:pPr>
        <w:rPr>
          <w:rFonts w:ascii="Times New Roman" w:hAnsi="Times New Roman" w:cs="Times New Roman"/>
          <w:sz w:val="24"/>
          <w:szCs w:val="24"/>
        </w:rPr>
      </w:pPr>
      <w:r w:rsidRPr="003642D7">
        <w:rPr>
          <w:rFonts w:ascii="Times New Roman" w:hAnsi="Times New Roman" w:cs="Times New Roman"/>
          <w:sz w:val="24"/>
          <w:szCs w:val="24"/>
        </w:rPr>
        <w:t xml:space="preserve">A study by Lahti et al, (2020) stated that screening for hamstring injuries, should be completed once at the beginning of pre-season, once at the end of pre-season/beginning of the season, and a final test mid-season. The protocol followed is the Football Hamstring Screening (FHS), which is split into 3 categories: Lumbopelvic control, range of movement, and strength assessments.  For lumbopelvic control, a walk test is completed to provide 3D kinematics of the pelvis during walking.  As well as a 30m sprint test to see 2D sagittal plane sprinting kinematics. It assesses lumbopelvic movement </w:t>
      </w:r>
      <w:proofErr w:type="spellStart"/>
      <w:r w:rsidRPr="003642D7">
        <w:rPr>
          <w:rFonts w:ascii="Times New Roman" w:hAnsi="Times New Roman" w:cs="Times New Roman"/>
          <w:sz w:val="24"/>
          <w:szCs w:val="24"/>
        </w:rPr>
        <w:t>suboptimally</w:t>
      </w:r>
      <w:proofErr w:type="spellEnd"/>
      <w:r w:rsidRPr="003642D7">
        <w:rPr>
          <w:rFonts w:ascii="Times New Roman" w:hAnsi="Times New Roman" w:cs="Times New Roman"/>
          <w:sz w:val="24"/>
          <w:szCs w:val="24"/>
        </w:rPr>
        <w:t xml:space="preserve"> in the sagittal plane. Range of movement testing consists of active straight leg raises and the </w:t>
      </w:r>
      <w:proofErr w:type="spellStart"/>
      <w:r w:rsidRPr="003642D7">
        <w:rPr>
          <w:rFonts w:ascii="Times New Roman" w:hAnsi="Times New Roman" w:cs="Times New Roman"/>
          <w:sz w:val="24"/>
          <w:szCs w:val="24"/>
        </w:rPr>
        <w:t>Jurdan</w:t>
      </w:r>
      <w:proofErr w:type="spellEnd"/>
      <w:r w:rsidRPr="003642D7">
        <w:rPr>
          <w:rFonts w:ascii="Times New Roman" w:hAnsi="Times New Roman" w:cs="Times New Roman"/>
          <w:sz w:val="24"/>
          <w:szCs w:val="24"/>
        </w:rPr>
        <w:t xml:space="preserve"> test. The </w:t>
      </w:r>
      <w:proofErr w:type="spellStart"/>
      <w:r w:rsidRPr="003642D7">
        <w:rPr>
          <w:rFonts w:ascii="Times New Roman" w:hAnsi="Times New Roman" w:cs="Times New Roman"/>
          <w:sz w:val="24"/>
          <w:szCs w:val="24"/>
        </w:rPr>
        <w:t>Jurdan</w:t>
      </w:r>
      <w:proofErr w:type="spellEnd"/>
      <w:r w:rsidRPr="003642D7">
        <w:rPr>
          <w:rFonts w:ascii="Times New Roman" w:hAnsi="Times New Roman" w:cs="Times New Roman"/>
          <w:sz w:val="24"/>
          <w:szCs w:val="24"/>
        </w:rPr>
        <w:t xml:space="preserve"> test is a combination of a modified Thomas test and active knee extension (Lahti et al., 2020). It assesses the difference in angle between the opposite legs' passive thigh and the lengthened leg shin. Strength is measured in the posterior chain through isometric hip extensors and knee flexor strength using a dynamometer. The second test is a sprint output test. a 30m maximum sprint sequence that involves football practice (Lahti et al., 2020). Sprint mechanical output and maximum velocity are combined to provide an individual linear sprint force-velocity profile of the player.</w:t>
      </w:r>
    </w:p>
    <w:p w14:paraId="5C1BF330" w14:textId="77777777" w:rsidR="003642D7" w:rsidRPr="003642D7" w:rsidRDefault="003642D7" w:rsidP="001C601E">
      <w:pPr>
        <w:rPr>
          <w:rFonts w:ascii="Times New Roman" w:hAnsi="Times New Roman" w:cs="Times New Roman"/>
          <w:sz w:val="24"/>
          <w:szCs w:val="24"/>
        </w:rPr>
      </w:pPr>
    </w:p>
    <w:p w14:paraId="71EBEB20" w14:textId="2E723DC9" w:rsidR="005F2F33" w:rsidRPr="003642D7" w:rsidRDefault="00A2760B" w:rsidP="00BE6FC7">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6. </w:t>
      </w:r>
      <w:r w:rsidR="00D9375E" w:rsidRPr="003642D7">
        <w:rPr>
          <w:rFonts w:ascii="Times New Roman" w:hAnsi="Times New Roman" w:cs="Times New Roman"/>
          <w:b/>
          <w:bCs/>
          <w:sz w:val="24"/>
          <w:szCs w:val="24"/>
          <w:u w:val="single"/>
        </w:rPr>
        <w:t>High-Speed Running and Sprint Mechanics</w:t>
      </w:r>
    </w:p>
    <w:p w14:paraId="274F2820" w14:textId="04134C15" w:rsidR="00D9375E" w:rsidRPr="003642D7" w:rsidRDefault="00D9375E" w:rsidP="00D9375E">
      <w:pPr>
        <w:rPr>
          <w:rFonts w:ascii="Times New Roman" w:hAnsi="Times New Roman" w:cs="Times New Roman"/>
          <w:sz w:val="24"/>
          <w:szCs w:val="24"/>
        </w:rPr>
      </w:pPr>
      <w:r w:rsidRPr="003642D7">
        <w:rPr>
          <w:rFonts w:ascii="Times New Roman" w:hAnsi="Times New Roman" w:cs="Times New Roman"/>
          <w:sz w:val="24"/>
          <w:szCs w:val="24"/>
        </w:rPr>
        <w:t xml:space="preserve">During rehabilitation, the control chaos continuum is taken into consideration (Taberner et al., 2020). It has 5 stages: High control, Moderate control, control over chaos, Moderate chaos, and high chaos. It uses player chronic running loads (GPS) in conjunction with average tissue healing times. During high control, the goal is to have low-impact forces and build the players' confidence in running. For an early return to running, it is suggested that running at lower speeds and implementing a gradual increase in the volume, whilst limiting the exposure to high-speed running (less than 60% of max speed) and decreasing the demands on the body.  In this stage, primarily linear running at lower speeds is recommended, it prevents high and fast acceleration and deceleration levels (Taberner, Allen and Cohen,2019). Sport-specific skills are limited to avoid movement unpredictability. </w:t>
      </w:r>
    </w:p>
    <w:p w14:paraId="22C30B00" w14:textId="77777777" w:rsidR="00D9375E" w:rsidRPr="003642D7" w:rsidRDefault="00D9375E" w:rsidP="00D9375E">
      <w:pPr>
        <w:rPr>
          <w:rFonts w:ascii="Times New Roman" w:hAnsi="Times New Roman" w:cs="Times New Roman"/>
          <w:sz w:val="24"/>
          <w:szCs w:val="24"/>
        </w:rPr>
      </w:pPr>
    </w:p>
    <w:p w14:paraId="2F89BB65" w14:textId="77777777" w:rsidR="00D9375E" w:rsidRPr="003642D7" w:rsidRDefault="00D9375E" w:rsidP="00D9375E">
      <w:pPr>
        <w:rPr>
          <w:rFonts w:ascii="Times New Roman" w:hAnsi="Times New Roman" w:cs="Times New Roman"/>
          <w:sz w:val="24"/>
          <w:szCs w:val="24"/>
        </w:rPr>
      </w:pPr>
      <w:r w:rsidRPr="003642D7">
        <w:rPr>
          <w:rFonts w:ascii="Times New Roman" w:hAnsi="Times New Roman" w:cs="Times New Roman"/>
          <w:sz w:val="24"/>
          <w:szCs w:val="24"/>
        </w:rPr>
        <w:t>Moderate control introduces a change of direction and sport-specific tasks with the ball. Acceleration and deceleration levels are determined in this phase based on the player's status and types of change of direction. Starting with S bends where a change of direction is not sharp and quick, this would progress to sharp changes of direction using Z bends and T bends. A progression of explosive distance that involves accelerations and deceleration will be implemented based on player position and their pre-injury demands.</w:t>
      </w:r>
    </w:p>
    <w:p w14:paraId="51E6D49A" w14:textId="77777777" w:rsidR="00D9375E" w:rsidRPr="003642D7" w:rsidRDefault="00D9375E" w:rsidP="00D9375E">
      <w:pPr>
        <w:rPr>
          <w:rFonts w:ascii="Times New Roman" w:hAnsi="Times New Roman" w:cs="Times New Roman"/>
          <w:sz w:val="24"/>
          <w:szCs w:val="24"/>
        </w:rPr>
      </w:pPr>
    </w:p>
    <w:p w14:paraId="1F76F9A7" w14:textId="1A8F0D02" w:rsidR="00D9375E" w:rsidRPr="003642D7" w:rsidRDefault="00D9375E" w:rsidP="00D9375E">
      <w:pPr>
        <w:rPr>
          <w:rFonts w:ascii="Times New Roman" w:hAnsi="Times New Roman" w:cs="Times New Roman"/>
          <w:sz w:val="24"/>
          <w:szCs w:val="24"/>
        </w:rPr>
      </w:pPr>
      <w:r w:rsidRPr="003642D7">
        <w:rPr>
          <w:rFonts w:ascii="Times New Roman" w:hAnsi="Times New Roman" w:cs="Times New Roman"/>
          <w:sz w:val="24"/>
          <w:szCs w:val="24"/>
        </w:rPr>
        <w:t>Control to chaos stage targets football-specific structure.  overload. This targets game-specific demands that provide the passage from control to chaos It integrates technical aspects that move from the player being in control to increasing levels of chaos. Passing and movement drills used are more reactive, adding another player can be useful (Taberner, Allen and Cohen,2019). They are position-specific and are used to reproduce speed, acceleration, deceleration, and explosive movement that would occur in a match. The use of larger areas to cover more distance at high speeds is introduced in this stage.</w:t>
      </w:r>
    </w:p>
    <w:p w14:paraId="3254501D" w14:textId="77777777" w:rsidR="00D9375E" w:rsidRPr="003642D7" w:rsidRDefault="00D9375E" w:rsidP="00D9375E">
      <w:pPr>
        <w:rPr>
          <w:rFonts w:ascii="Times New Roman" w:hAnsi="Times New Roman" w:cs="Times New Roman"/>
          <w:sz w:val="24"/>
          <w:szCs w:val="24"/>
        </w:rPr>
      </w:pPr>
    </w:p>
    <w:p w14:paraId="66F9330B" w14:textId="7974BA75" w:rsidR="00D9375E" w:rsidRPr="003642D7" w:rsidRDefault="00D9375E" w:rsidP="00D9375E">
      <w:pPr>
        <w:rPr>
          <w:rFonts w:ascii="Times New Roman" w:hAnsi="Times New Roman" w:cs="Times New Roman"/>
          <w:sz w:val="24"/>
          <w:szCs w:val="24"/>
        </w:rPr>
      </w:pPr>
      <w:r w:rsidRPr="003642D7">
        <w:rPr>
          <w:rFonts w:ascii="Times New Roman" w:hAnsi="Times New Roman" w:cs="Times New Roman"/>
          <w:sz w:val="24"/>
          <w:szCs w:val="24"/>
        </w:rPr>
        <w:t>Moderate chaos is the introduction of sport-specific skills at higher speeds that match gameplay. It includes sub-directional movements. Sprint distance is also increased, based on position-specific demands of distance covered in a game. High chaos occurs when the players return to their weekly training demands (Taberner, Allen</w:t>
      </w:r>
      <w:r w:rsidR="002F794B" w:rsidRPr="003642D7">
        <w:rPr>
          <w:rFonts w:ascii="Times New Roman" w:hAnsi="Times New Roman" w:cs="Times New Roman"/>
          <w:sz w:val="24"/>
          <w:szCs w:val="24"/>
        </w:rPr>
        <w:t>,</w:t>
      </w:r>
      <w:r w:rsidRPr="003642D7">
        <w:rPr>
          <w:rFonts w:ascii="Times New Roman" w:hAnsi="Times New Roman" w:cs="Times New Roman"/>
          <w:sz w:val="24"/>
          <w:szCs w:val="24"/>
        </w:rPr>
        <w:t xml:space="preserve"> and Cohen, 2019). During this final phase, the drills are increasingly more chaotic where the worst possible case scenarios are created into a drill to prepare the athlete for little to no control. Skills will match what they achieve in-game day under similar conditions. For example, two players challenging for a header and tackling. Position-specific training is considered here, as speed volume, distance volume, and technical skills under game situations, to prepare the player and their body for the demands of a game (Taberner, Allen</w:t>
      </w:r>
      <w:r w:rsidR="002F794B" w:rsidRPr="003642D7">
        <w:rPr>
          <w:rFonts w:ascii="Times New Roman" w:hAnsi="Times New Roman" w:cs="Times New Roman"/>
          <w:sz w:val="24"/>
          <w:szCs w:val="24"/>
        </w:rPr>
        <w:t>,</w:t>
      </w:r>
      <w:r w:rsidRPr="003642D7">
        <w:rPr>
          <w:rFonts w:ascii="Times New Roman" w:hAnsi="Times New Roman" w:cs="Times New Roman"/>
          <w:sz w:val="24"/>
          <w:szCs w:val="24"/>
        </w:rPr>
        <w:t xml:space="preserve"> and Cohen, 2019).  See the control chaos continuum below (Table 1).</w:t>
      </w:r>
    </w:p>
    <w:p w14:paraId="043E69B5" w14:textId="77777777" w:rsidR="005F2F33" w:rsidRPr="003642D7" w:rsidRDefault="005F2F33" w:rsidP="00BE6FC7">
      <w:pPr>
        <w:rPr>
          <w:rFonts w:ascii="Times New Roman" w:hAnsi="Times New Roman" w:cs="Times New Roman"/>
          <w:sz w:val="24"/>
          <w:szCs w:val="24"/>
        </w:rPr>
      </w:pPr>
    </w:p>
    <w:p w14:paraId="77CE3AFD" w14:textId="11483B38" w:rsidR="00A748D9" w:rsidRPr="003642D7" w:rsidRDefault="002F794B" w:rsidP="00BE6FC7">
      <w:pPr>
        <w:rPr>
          <w:rFonts w:ascii="Times New Roman" w:hAnsi="Times New Roman" w:cs="Times New Roman"/>
          <w:sz w:val="24"/>
          <w:szCs w:val="24"/>
        </w:rPr>
      </w:pPr>
      <w:r w:rsidRPr="003642D7">
        <w:rPr>
          <w:rFonts w:ascii="Times New Roman" w:hAnsi="Times New Roman" w:cs="Times New Roman"/>
          <w:sz w:val="24"/>
          <w:szCs w:val="24"/>
        </w:rPr>
        <w:t xml:space="preserve">Table 1: </w:t>
      </w:r>
      <w:r w:rsidRPr="003642D7">
        <w:rPr>
          <w:rFonts w:ascii="Times New Roman" w:hAnsi="Times New Roman" w:cs="Times New Roman"/>
          <w:i/>
          <w:iCs/>
          <w:sz w:val="24"/>
          <w:szCs w:val="24"/>
        </w:rPr>
        <w:t>A diagram of the Control Chaos Continuum. Demonstrating the progression in rehabilitation when players are returning to maximum speed running. Prescriptions and exercises are stated within.</w:t>
      </w:r>
    </w:p>
    <w:p w14:paraId="6BE2976B" w14:textId="77777777" w:rsidR="003642D7" w:rsidRDefault="003642D7" w:rsidP="002F794B">
      <w:pPr>
        <w:rPr>
          <w:rFonts w:ascii="Times New Roman" w:hAnsi="Times New Roman" w:cs="Times New Roman"/>
          <w:sz w:val="24"/>
          <w:szCs w:val="24"/>
        </w:rPr>
      </w:pPr>
      <w:r w:rsidRPr="003642D7">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22BA6BC6" wp14:editId="47A2340A">
            <wp:simplePos x="0" y="0"/>
            <wp:positionH relativeFrom="margin">
              <wp:align>center</wp:align>
            </wp:positionH>
            <wp:positionV relativeFrom="paragraph">
              <wp:posOffset>1162050</wp:posOffset>
            </wp:positionV>
            <wp:extent cx="9121775" cy="6808470"/>
            <wp:effectExtent l="0" t="5397" r="0" b="0"/>
            <wp:wrapSquare wrapText="bothSides"/>
            <wp:docPr id="85091426" name="Picture 1" descr="A group of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91426" name="Picture 1" descr="A group of boxes with text&#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rot="5400000">
                      <a:off x="0" y="0"/>
                      <a:ext cx="9121775" cy="6808470"/>
                    </a:xfrm>
                    <a:prstGeom prst="rect">
                      <a:avLst/>
                    </a:prstGeom>
                  </pic:spPr>
                </pic:pic>
              </a:graphicData>
            </a:graphic>
            <wp14:sizeRelH relativeFrom="margin">
              <wp14:pctWidth>0</wp14:pctWidth>
            </wp14:sizeRelH>
            <wp14:sizeRelV relativeFrom="margin">
              <wp14:pctHeight>0</wp14:pctHeight>
            </wp14:sizeRelV>
          </wp:anchor>
        </w:drawing>
      </w:r>
    </w:p>
    <w:p w14:paraId="0FF078A7" w14:textId="2AAE399B" w:rsidR="002F794B" w:rsidRPr="003642D7" w:rsidRDefault="00A2760B" w:rsidP="002F794B">
      <w:pPr>
        <w:rPr>
          <w:rFonts w:ascii="Times New Roman" w:hAnsi="Times New Roman" w:cs="Times New Roman"/>
          <w:sz w:val="24"/>
          <w:szCs w:val="24"/>
        </w:rPr>
      </w:pPr>
      <w:r>
        <w:rPr>
          <w:rFonts w:ascii="Times New Roman" w:hAnsi="Times New Roman" w:cs="Times New Roman"/>
          <w:b/>
          <w:bCs/>
          <w:sz w:val="24"/>
          <w:szCs w:val="24"/>
          <w:u w:val="single"/>
        </w:rPr>
        <w:lastRenderedPageBreak/>
        <w:t xml:space="preserve">7. </w:t>
      </w:r>
      <w:r w:rsidR="002F794B" w:rsidRPr="003642D7">
        <w:rPr>
          <w:rFonts w:ascii="Times New Roman" w:hAnsi="Times New Roman" w:cs="Times New Roman"/>
          <w:b/>
          <w:bCs/>
          <w:sz w:val="24"/>
          <w:szCs w:val="24"/>
          <w:u w:val="single"/>
        </w:rPr>
        <w:t xml:space="preserve">Neuromuscular Control </w:t>
      </w:r>
    </w:p>
    <w:p w14:paraId="67F4606D" w14:textId="6ED7CE31" w:rsidR="002F794B" w:rsidRDefault="002F794B" w:rsidP="002F794B">
      <w:pPr>
        <w:rPr>
          <w:rFonts w:ascii="Times New Roman" w:hAnsi="Times New Roman" w:cs="Times New Roman"/>
          <w:sz w:val="24"/>
          <w:szCs w:val="24"/>
        </w:rPr>
      </w:pPr>
      <w:r w:rsidRPr="003642D7">
        <w:rPr>
          <w:rFonts w:ascii="Times New Roman" w:hAnsi="Times New Roman" w:cs="Times New Roman"/>
          <w:sz w:val="24"/>
          <w:szCs w:val="24"/>
        </w:rPr>
        <w:t>Neuromuscular control, specifically of the lumbopelvic area has been specified as one of the most important components for hamstring optimal functionality (Erickson and Sherry, 2017). It is the muscles' unconscious response to a signal provided by joint dynamic stability (</w:t>
      </w:r>
      <w:proofErr w:type="spellStart"/>
      <w:r w:rsidRPr="003642D7">
        <w:rPr>
          <w:rFonts w:ascii="Times New Roman" w:hAnsi="Times New Roman" w:cs="Times New Roman"/>
          <w:sz w:val="24"/>
          <w:szCs w:val="24"/>
        </w:rPr>
        <w:t>Kerspuy</w:t>
      </w:r>
      <w:proofErr w:type="spellEnd"/>
      <w:r w:rsidRPr="003642D7">
        <w:rPr>
          <w:rFonts w:ascii="Times New Roman" w:hAnsi="Times New Roman" w:cs="Times New Roman"/>
          <w:sz w:val="24"/>
          <w:szCs w:val="24"/>
        </w:rPr>
        <w:t>, 2023). Lack of optimal function will hinder the pelvic rings' magnitude to transfer load between the lower limbs and trunk (</w:t>
      </w:r>
      <w:proofErr w:type="spellStart"/>
      <w:r w:rsidRPr="003642D7">
        <w:rPr>
          <w:rFonts w:ascii="Times New Roman" w:hAnsi="Times New Roman" w:cs="Times New Roman"/>
          <w:sz w:val="24"/>
          <w:szCs w:val="24"/>
        </w:rPr>
        <w:t>Kerspuy</w:t>
      </w:r>
      <w:proofErr w:type="spellEnd"/>
      <w:r w:rsidRPr="003642D7">
        <w:rPr>
          <w:rFonts w:ascii="Times New Roman" w:hAnsi="Times New Roman" w:cs="Times New Roman"/>
          <w:sz w:val="24"/>
          <w:szCs w:val="24"/>
        </w:rPr>
        <w:t>, 2023). F</w:t>
      </w:r>
      <w:r w:rsidR="003642D7" w:rsidRPr="003642D7">
        <w:rPr>
          <w:rFonts w:ascii="Times New Roman" w:hAnsi="Times New Roman" w:cs="Times New Roman"/>
          <w:sz w:val="24"/>
          <w:szCs w:val="24"/>
        </w:rPr>
        <w:t>a</w:t>
      </w:r>
      <w:r w:rsidRPr="003642D7">
        <w:rPr>
          <w:rFonts w:ascii="Times New Roman" w:hAnsi="Times New Roman" w:cs="Times New Roman"/>
          <w:sz w:val="24"/>
          <w:szCs w:val="24"/>
        </w:rPr>
        <w:t>ll and landing retraining is part of neuromuscular control. Exercises would progress from stepping onto a box to jumping onto a box. Jumping off and landing from the box would be the next progression as gravity affects bringing the athlete to the ground. Progression from landing on two feet to 1 foot and adding a change of direction (</w:t>
      </w:r>
      <w:proofErr w:type="spellStart"/>
      <w:r w:rsidRPr="003642D7">
        <w:rPr>
          <w:rFonts w:ascii="Times New Roman" w:hAnsi="Times New Roman" w:cs="Times New Roman"/>
          <w:sz w:val="24"/>
          <w:szCs w:val="24"/>
        </w:rPr>
        <w:t>Kerspuy</w:t>
      </w:r>
      <w:proofErr w:type="spellEnd"/>
      <w:r w:rsidRPr="003642D7">
        <w:rPr>
          <w:rFonts w:ascii="Times New Roman" w:hAnsi="Times New Roman" w:cs="Times New Roman"/>
          <w:sz w:val="24"/>
          <w:szCs w:val="24"/>
        </w:rPr>
        <w:t>, 2023). Jumping exercises in different planes of motion is an essential component of the stretch-shortening cycle (</w:t>
      </w:r>
      <w:proofErr w:type="spellStart"/>
      <w:r w:rsidRPr="003642D7">
        <w:rPr>
          <w:rFonts w:ascii="Times New Roman" w:hAnsi="Times New Roman" w:cs="Times New Roman"/>
          <w:sz w:val="24"/>
          <w:szCs w:val="24"/>
        </w:rPr>
        <w:t>Mendiguchia</w:t>
      </w:r>
      <w:proofErr w:type="spellEnd"/>
      <w:r w:rsidRPr="003642D7">
        <w:rPr>
          <w:rFonts w:ascii="Times New Roman" w:hAnsi="Times New Roman" w:cs="Times New Roman"/>
          <w:sz w:val="24"/>
          <w:szCs w:val="24"/>
        </w:rPr>
        <w:t xml:space="preserve"> et al., 2023).  Poor neuromuscular control will </w:t>
      </w:r>
      <w:r w:rsidR="003642D7" w:rsidRPr="003642D7">
        <w:rPr>
          <w:rFonts w:ascii="Times New Roman" w:hAnsi="Times New Roman" w:cs="Times New Roman"/>
          <w:sz w:val="24"/>
          <w:szCs w:val="24"/>
        </w:rPr>
        <w:t>negatively impact</w:t>
      </w:r>
      <w:r w:rsidRPr="003642D7">
        <w:rPr>
          <w:rFonts w:ascii="Times New Roman" w:hAnsi="Times New Roman" w:cs="Times New Roman"/>
          <w:sz w:val="24"/>
          <w:szCs w:val="24"/>
        </w:rPr>
        <w:t xml:space="preserve"> balance and coordination.</w:t>
      </w:r>
    </w:p>
    <w:p w14:paraId="55F59716" w14:textId="77777777" w:rsidR="003642D7" w:rsidRPr="003642D7" w:rsidRDefault="003642D7" w:rsidP="002F794B">
      <w:pPr>
        <w:rPr>
          <w:rFonts w:ascii="Times New Roman" w:hAnsi="Times New Roman" w:cs="Times New Roman"/>
          <w:sz w:val="24"/>
          <w:szCs w:val="24"/>
        </w:rPr>
      </w:pPr>
    </w:p>
    <w:p w14:paraId="0C4C0E62" w14:textId="7AC396F5" w:rsidR="003642D7" w:rsidRPr="003642D7" w:rsidRDefault="00A2760B" w:rsidP="002F794B">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8. </w:t>
      </w:r>
      <w:r w:rsidR="003642D7" w:rsidRPr="003642D7">
        <w:rPr>
          <w:rFonts w:ascii="Times New Roman" w:hAnsi="Times New Roman" w:cs="Times New Roman"/>
          <w:b/>
          <w:bCs/>
          <w:sz w:val="24"/>
          <w:szCs w:val="24"/>
          <w:u w:val="single"/>
        </w:rPr>
        <w:t>Plyometrics</w:t>
      </w:r>
    </w:p>
    <w:p w14:paraId="7B428031" w14:textId="2FEF5992" w:rsidR="002F794B" w:rsidRPr="003642D7" w:rsidRDefault="002F794B" w:rsidP="002F794B">
      <w:pPr>
        <w:rPr>
          <w:rFonts w:ascii="Times New Roman" w:hAnsi="Times New Roman" w:cs="Times New Roman"/>
          <w:sz w:val="24"/>
          <w:szCs w:val="24"/>
        </w:rPr>
      </w:pPr>
      <w:r w:rsidRPr="003642D7">
        <w:rPr>
          <w:rFonts w:ascii="Times New Roman" w:hAnsi="Times New Roman" w:cs="Times New Roman"/>
          <w:sz w:val="24"/>
          <w:szCs w:val="24"/>
        </w:rPr>
        <w:t xml:space="preserve">Landing and fall training are important for plyometric exercises as they are explosive movements that generate maximum force in short cycles and have a time frame of taking off and landing. For example, before moving on to sprinting the player should be able to do exercises such as polygons, bounding, jump squats, and box jumps (Van de Hoef et al., 2018).  Plyometrics tend to be sport-specific in rehabilitation and aid in the return to sprinting (Lauti et al, 2021). Lauti et al. (2021) study stated that plyometric exercises such as </w:t>
      </w:r>
      <w:r w:rsidR="003642D7" w:rsidRPr="003642D7">
        <w:rPr>
          <w:rFonts w:ascii="Times New Roman" w:hAnsi="Times New Roman" w:cs="Times New Roman"/>
          <w:sz w:val="24"/>
          <w:szCs w:val="24"/>
        </w:rPr>
        <w:t>pogo,</w:t>
      </w:r>
      <w:r w:rsidRPr="003642D7">
        <w:rPr>
          <w:rFonts w:ascii="Times New Roman" w:hAnsi="Times New Roman" w:cs="Times New Roman"/>
          <w:sz w:val="24"/>
          <w:szCs w:val="24"/>
        </w:rPr>
        <w:t xml:space="preserve"> and bounding were used in their sprint training drills.</w:t>
      </w:r>
    </w:p>
    <w:p w14:paraId="413CCC17" w14:textId="77777777" w:rsidR="002F794B" w:rsidRPr="003642D7" w:rsidRDefault="002F794B" w:rsidP="002F794B">
      <w:pPr>
        <w:rPr>
          <w:rFonts w:ascii="Times New Roman" w:hAnsi="Times New Roman" w:cs="Times New Roman"/>
          <w:sz w:val="24"/>
          <w:szCs w:val="24"/>
        </w:rPr>
      </w:pPr>
    </w:p>
    <w:p w14:paraId="39D4AB96" w14:textId="1DFC4B0C" w:rsidR="003642D7" w:rsidRPr="003642D7" w:rsidRDefault="00A2760B" w:rsidP="002F794B">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9. </w:t>
      </w:r>
      <w:r w:rsidR="003642D7" w:rsidRPr="003642D7">
        <w:rPr>
          <w:rFonts w:ascii="Times New Roman" w:hAnsi="Times New Roman" w:cs="Times New Roman"/>
          <w:b/>
          <w:bCs/>
          <w:sz w:val="24"/>
          <w:szCs w:val="24"/>
          <w:u w:val="single"/>
        </w:rPr>
        <w:t xml:space="preserve">Strength </w:t>
      </w:r>
    </w:p>
    <w:p w14:paraId="16462241" w14:textId="5E27D9A0" w:rsidR="00A748D9" w:rsidRPr="003642D7" w:rsidRDefault="002F794B" w:rsidP="002F794B">
      <w:pPr>
        <w:rPr>
          <w:rFonts w:ascii="Times New Roman" w:hAnsi="Times New Roman" w:cs="Times New Roman"/>
          <w:sz w:val="24"/>
          <w:szCs w:val="24"/>
        </w:rPr>
      </w:pPr>
      <w:r w:rsidRPr="003642D7">
        <w:rPr>
          <w:rFonts w:ascii="Times New Roman" w:hAnsi="Times New Roman" w:cs="Times New Roman"/>
          <w:sz w:val="24"/>
          <w:szCs w:val="24"/>
        </w:rPr>
        <w:t xml:space="preserve">According to </w:t>
      </w:r>
      <w:proofErr w:type="spellStart"/>
      <w:r w:rsidRPr="003642D7">
        <w:rPr>
          <w:rFonts w:ascii="Times New Roman" w:hAnsi="Times New Roman" w:cs="Times New Roman"/>
          <w:sz w:val="24"/>
          <w:szCs w:val="24"/>
        </w:rPr>
        <w:t>Mendiguchia</w:t>
      </w:r>
      <w:proofErr w:type="spellEnd"/>
      <w:r w:rsidRPr="003642D7">
        <w:rPr>
          <w:rFonts w:ascii="Times New Roman" w:hAnsi="Times New Roman" w:cs="Times New Roman"/>
          <w:sz w:val="24"/>
          <w:szCs w:val="24"/>
        </w:rPr>
        <w:t xml:space="preserve"> et al., (2017), maximal strength and power training will prepare the musculoskeletal system to adapt to and produce high load at fast velocity. This study determines restoring strength, which occurs at high forces and low velocity will not prepare the musculoskeletal system for sport-specific demands which is essential for football. A program study by Lauti et al, (2021) shows a posterior chain strength program that includes the hamstring, the hip, the knee over the hip, and stiffness at the knee and hip. A range of exercises are listed under each category following the up to 3 sets and 6 </w:t>
      </w:r>
      <w:r w:rsidR="003642D7" w:rsidRPr="003642D7">
        <w:rPr>
          <w:rFonts w:ascii="Times New Roman" w:hAnsi="Times New Roman" w:cs="Times New Roman"/>
          <w:sz w:val="24"/>
          <w:szCs w:val="24"/>
        </w:rPr>
        <w:t>reps’</w:t>
      </w:r>
      <w:r w:rsidRPr="003642D7">
        <w:rPr>
          <w:rFonts w:ascii="Times New Roman" w:hAnsi="Times New Roman" w:cs="Times New Roman"/>
          <w:sz w:val="24"/>
          <w:szCs w:val="24"/>
        </w:rPr>
        <w:t xml:space="preserve"> protocol for strength. Depending on their pre-screening strength test results players would have 2-4 sessions of strength a week (Lauti et al., 20221).</w:t>
      </w:r>
    </w:p>
    <w:p w14:paraId="4C9FA769" w14:textId="77777777" w:rsidR="003642D7" w:rsidRDefault="003642D7" w:rsidP="00BE6FC7">
      <w:pPr>
        <w:rPr>
          <w:rFonts w:ascii="Times New Roman" w:hAnsi="Times New Roman" w:cs="Times New Roman"/>
          <w:sz w:val="24"/>
          <w:szCs w:val="24"/>
        </w:rPr>
      </w:pPr>
    </w:p>
    <w:p w14:paraId="774E857C" w14:textId="48591D51" w:rsidR="003642D7" w:rsidRPr="003642D7" w:rsidRDefault="00A2760B" w:rsidP="00BE6FC7">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10. </w:t>
      </w:r>
      <w:r w:rsidR="003642D7" w:rsidRPr="003642D7">
        <w:rPr>
          <w:rFonts w:ascii="Times New Roman" w:hAnsi="Times New Roman" w:cs="Times New Roman"/>
          <w:b/>
          <w:bCs/>
          <w:sz w:val="24"/>
          <w:szCs w:val="24"/>
          <w:u w:val="single"/>
        </w:rPr>
        <w:t>Conclusion</w:t>
      </w:r>
    </w:p>
    <w:p w14:paraId="280F904E" w14:textId="287A0E37" w:rsidR="00A748D9" w:rsidRPr="003642D7" w:rsidRDefault="002F794B" w:rsidP="00BE6FC7">
      <w:pPr>
        <w:rPr>
          <w:rFonts w:ascii="Times New Roman" w:hAnsi="Times New Roman" w:cs="Times New Roman"/>
          <w:sz w:val="24"/>
          <w:szCs w:val="24"/>
        </w:rPr>
      </w:pPr>
      <w:r w:rsidRPr="003642D7">
        <w:rPr>
          <w:rFonts w:ascii="Times New Roman" w:hAnsi="Times New Roman" w:cs="Times New Roman"/>
          <w:sz w:val="24"/>
          <w:szCs w:val="24"/>
        </w:rPr>
        <w:t>Overall, within the current research</w:t>
      </w:r>
      <w:r w:rsidR="003642D7" w:rsidRPr="003642D7">
        <w:rPr>
          <w:rFonts w:ascii="Times New Roman" w:hAnsi="Times New Roman" w:cs="Times New Roman"/>
          <w:sz w:val="24"/>
          <w:szCs w:val="24"/>
        </w:rPr>
        <w:t>,</w:t>
      </w:r>
      <w:r w:rsidRPr="003642D7">
        <w:rPr>
          <w:rFonts w:ascii="Times New Roman" w:hAnsi="Times New Roman" w:cs="Times New Roman"/>
          <w:sz w:val="24"/>
          <w:szCs w:val="24"/>
        </w:rPr>
        <w:t xml:space="preserve"> there is </w:t>
      </w:r>
      <w:r w:rsidR="003642D7" w:rsidRPr="003642D7">
        <w:rPr>
          <w:rFonts w:ascii="Times New Roman" w:hAnsi="Times New Roman" w:cs="Times New Roman"/>
          <w:sz w:val="24"/>
          <w:szCs w:val="24"/>
        </w:rPr>
        <w:t xml:space="preserve">a </w:t>
      </w:r>
      <w:r w:rsidRPr="003642D7">
        <w:rPr>
          <w:rFonts w:ascii="Times New Roman" w:hAnsi="Times New Roman" w:cs="Times New Roman"/>
          <w:sz w:val="24"/>
          <w:szCs w:val="24"/>
        </w:rPr>
        <w:t xml:space="preserve">lack of consistency </w:t>
      </w:r>
      <w:r w:rsidR="003642D7" w:rsidRPr="003642D7">
        <w:rPr>
          <w:rFonts w:ascii="Times New Roman" w:hAnsi="Times New Roman" w:cs="Times New Roman"/>
          <w:sz w:val="24"/>
          <w:szCs w:val="24"/>
        </w:rPr>
        <w:t>in</w:t>
      </w:r>
      <w:r w:rsidRPr="003642D7">
        <w:rPr>
          <w:rFonts w:ascii="Times New Roman" w:hAnsi="Times New Roman" w:cs="Times New Roman"/>
          <w:sz w:val="24"/>
          <w:szCs w:val="24"/>
        </w:rPr>
        <w:t xml:space="preserve"> </w:t>
      </w:r>
      <w:r w:rsidR="003642D7" w:rsidRPr="003642D7">
        <w:rPr>
          <w:rFonts w:ascii="Times New Roman" w:hAnsi="Times New Roman" w:cs="Times New Roman"/>
          <w:sz w:val="24"/>
          <w:szCs w:val="24"/>
        </w:rPr>
        <w:t xml:space="preserve">the </w:t>
      </w:r>
      <w:r w:rsidRPr="003642D7">
        <w:rPr>
          <w:rFonts w:ascii="Times New Roman" w:hAnsi="Times New Roman" w:cs="Times New Roman"/>
          <w:sz w:val="24"/>
          <w:szCs w:val="24"/>
        </w:rPr>
        <w:t xml:space="preserve">rehabilitation of hamstring injuries. However, each protocol and research stated has the </w:t>
      </w:r>
      <w:r w:rsidR="003642D7" w:rsidRPr="003642D7">
        <w:rPr>
          <w:rFonts w:ascii="Times New Roman" w:hAnsi="Times New Roman" w:cs="Times New Roman"/>
          <w:sz w:val="24"/>
          <w:szCs w:val="24"/>
        </w:rPr>
        <w:t>evidence</w:t>
      </w:r>
      <w:r w:rsidRPr="003642D7">
        <w:rPr>
          <w:rFonts w:ascii="Times New Roman" w:hAnsi="Times New Roman" w:cs="Times New Roman"/>
          <w:sz w:val="24"/>
          <w:szCs w:val="24"/>
        </w:rPr>
        <w:t xml:space="preserve"> and </w:t>
      </w:r>
      <w:r w:rsidR="003642D7" w:rsidRPr="003642D7">
        <w:rPr>
          <w:rFonts w:ascii="Times New Roman" w:hAnsi="Times New Roman" w:cs="Times New Roman"/>
          <w:sz w:val="24"/>
          <w:szCs w:val="24"/>
        </w:rPr>
        <w:t xml:space="preserve">a </w:t>
      </w:r>
      <w:r w:rsidRPr="003642D7">
        <w:rPr>
          <w:rFonts w:ascii="Times New Roman" w:hAnsi="Times New Roman" w:cs="Times New Roman"/>
          <w:sz w:val="24"/>
          <w:szCs w:val="24"/>
        </w:rPr>
        <w:t xml:space="preserve">valid explanation as to why it is used and how it is beneficial. </w:t>
      </w:r>
      <w:r w:rsidR="003642D7" w:rsidRPr="003642D7">
        <w:rPr>
          <w:rFonts w:ascii="Times New Roman" w:hAnsi="Times New Roman" w:cs="Times New Roman"/>
          <w:sz w:val="24"/>
          <w:szCs w:val="24"/>
        </w:rPr>
        <w:t>Position-specific</w:t>
      </w:r>
      <w:r w:rsidRPr="003642D7">
        <w:rPr>
          <w:rFonts w:ascii="Times New Roman" w:hAnsi="Times New Roman" w:cs="Times New Roman"/>
          <w:sz w:val="24"/>
          <w:szCs w:val="24"/>
        </w:rPr>
        <w:t xml:space="preserve"> research is very </w:t>
      </w:r>
      <w:r w:rsidR="003642D7" w:rsidRPr="003642D7">
        <w:rPr>
          <w:rFonts w:ascii="Times New Roman" w:hAnsi="Times New Roman" w:cs="Times New Roman"/>
          <w:sz w:val="24"/>
          <w:szCs w:val="24"/>
        </w:rPr>
        <w:t xml:space="preserve">undetailed and there is a lack of evidence based on this and how rehab may differ from position to position. More research and practical rehabilitation studies are required to further investigate what route is most beneficial within n9elite football. The use of the control chaos Continuum for return to running is an excellent protocol to use as a guideline. It shows </w:t>
      </w:r>
      <w:r w:rsidR="003642D7" w:rsidRPr="003642D7">
        <w:rPr>
          <w:rFonts w:ascii="Times New Roman" w:hAnsi="Times New Roman" w:cs="Times New Roman"/>
          <w:sz w:val="24"/>
          <w:szCs w:val="24"/>
        </w:rPr>
        <w:lastRenderedPageBreak/>
        <w:t xml:space="preserve">progress within safe environments and would be suitable for all players at different levels and positions. Ultimately, there is a large evidence and research base for hamstring injury return to port rehabilitation that provides a good understanding and information on how to get players back to performing. </w:t>
      </w:r>
    </w:p>
    <w:p w14:paraId="761F0341" w14:textId="43840765" w:rsidR="00A748D9" w:rsidRPr="003642D7" w:rsidRDefault="00A748D9" w:rsidP="00BE6FC7">
      <w:pPr>
        <w:rPr>
          <w:rFonts w:ascii="Times New Roman" w:hAnsi="Times New Roman" w:cs="Times New Roman"/>
          <w:sz w:val="24"/>
          <w:szCs w:val="24"/>
        </w:rPr>
      </w:pPr>
    </w:p>
    <w:p w14:paraId="30BD0251" w14:textId="77777777" w:rsidR="00A748D9" w:rsidRPr="003642D7" w:rsidRDefault="00A748D9" w:rsidP="00BE6FC7">
      <w:pPr>
        <w:rPr>
          <w:rFonts w:ascii="Times New Roman" w:hAnsi="Times New Roman" w:cs="Times New Roman"/>
          <w:sz w:val="24"/>
          <w:szCs w:val="24"/>
        </w:rPr>
      </w:pPr>
    </w:p>
    <w:p w14:paraId="22490057" w14:textId="74DDF1D0" w:rsidR="0043456F" w:rsidRPr="003642D7" w:rsidRDefault="0043456F" w:rsidP="00BE6FC7">
      <w:pPr>
        <w:rPr>
          <w:rFonts w:ascii="Times New Roman" w:hAnsi="Times New Roman" w:cs="Times New Roman"/>
          <w:b/>
          <w:bCs/>
          <w:sz w:val="24"/>
          <w:szCs w:val="24"/>
          <w:u w:val="single"/>
        </w:rPr>
      </w:pPr>
      <w:r w:rsidRPr="003642D7">
        <w:rPr>
          <w:rFonts w:ascii="Times New Roman" w:hAnsi="Times New Roman" w:cs="Times New Roman"/>
          <w:b/>
          <w:bCs/>
          <w:sz w:val="24"/>
          <w:szCs w:val="24"/>
          <w:u w:val="single"/>
        </w:rPr>
        <w:t>Reference list</w:t>
      </w:r>
    </w:p>
    <w:p w14:paraId="60C650FF" w14:textId="495EEB3C" w:rsidR="00485317" w:rsidRPr="003642D7" w:rsidRDefault="00485317" w:rsidP="00485317">
      <w:pPr>
        <w:pStyle w:val="NormalWeb"/>
        <w:spacing w:before="0" w:beforeAutospacing="0" w:after="240" w:afterAutospacing="0" w:line="360" w:lineRule="auto"/>
      </w:pPr>
      <w:r w:rsidRPr="003642D7">
        <w:t xml:space="preserve">Dunlop, G., Ardern, C.L., Andersen, T.E., Lewin, C., Dupont, G., Ashworth, B., O’Driscoll, G., Rolls, A., Brown, S. and McCall, A. (2019). Return-to-Play Practices Following Hamstring Injury: A Worldwide Survey of 131 Premier League Football Teams. </w:t>
      </w:r>
      <w:r w:rsidRPr="003642D7">
        <w:rPr>
          <w:i/>
          <w:iCs/>
        </w:rPr>
        <w:t>Sports Medicine</w:t>
      </w:r>
      <w:r w:rsidRPr="003642D7">
        <w:t xml:space="preserve">. </w:t>
      </w:r>
      <w:proofErr w:type="spellStart"/>
      <w:proofErr w:type="gramStart"/>
      <w:r w:rsidRPr="003642D7">
        <w:t>doi:https</w:t>
      </w:r>
      <w:proofErr w:type="spellEnd"/>
      <w:r w:rsidRPr="003642D7">
        <w:t>://doi.org/10.1007/s40279-019-01199-2</w:t>
      </w:r>
      <w:proofErr w:type="gramEnd"/>
      <w:r w:rsidRPr="003642D7">
        <w:t>.</w:t>
      </w:r>
    </w:p>
    <w:p w14:paraId="44F61D94" w14:textId="242BCBE4" w:rsidR="00AB148B" w:rsidRPr="003642D7" w:rsidRDefault="00AB148B" w:rsidP="00812EF1">
      <w:pPr>
        <w:pStyle w:val="NormalWeb"/>
        <w:spacing w:before="0" w:beforeAutospacing="0" w:after="240" w:afterAutospacing="0" w:line="360" w:lineRule="auto"/>
        <w:rPr>
          <w:shd w:val="clear" w:color="auto" w:fill="FFFFFF"/>
        </w:rPr>
      </w:pPr>
      <w:r w:rsidRPr="003642D7">
        <w:rPr>
          <w:shd w:val="clear" w:color="auto" w:fill="FFFFFF"/>
        </w:rPr>
        <w:t xml:space="preserve">Ekstrand, J., </w:t>
      </w:r>
      <w:proofErr w:type="spellStart"/>
      <w:r w:rsidRPr="003642D7">
        <w:rPr>
          <w:shd w:val="clear" w:color="auto" w:fill="FFFFFF"/>
        </w:rPr>
        <w:t>Ueblacker</w:t>
      </w:r>
      <w:proofErr w:type="spellEnd"/>
      <w:r w:rsidRPr="003642D7">
        <w:rPr>
          <w:shd w:val="clear" w:color="auto" w:fill="FFFFFF"/>
        </w:rPr>
        <w:t xml:space="preserve">, P., Van </w:t>
      </w:r>
      <w:proofErr w:type="spellStart"/>
      <w:r w:rsidRPr="003642D7">
        <w:rPr>
          <w:shd w:val="clear" w:color="auto" w:fill="FFFFFF"/>
        </w:rPr>
        <w:t>Zoest</w:t>
      </w:r>
      <w:proofErr w:type="spellEnd"/>
      <w:r w:rsidRPr="003642D7">
        <w:rPr>
          <w:shd w:val="clear" w:color="auto" w:fill="FFFFFF"/>
        </w:rPr>
        <w:t>, W., Verheijen, R., Vanhecke, B., van Wijk, M. and Bengtsson, H., (2023). Risk factors for hamstring muscle injury in male elite football: medical expert experience and conclusions from 15 European Champions League clubs. </w:t>
      </w:r>
      <w:r w:rsidRPr="003642D7">
        <w:rPr>
          <w:i/>
          <w:iCs/>
          <w:shd w:val="clear" w:color="auto" w:fill="FFFFFF"/>
        </w:rPr>
        <w:t>BMJ Open Sport &amp; Exercise Medicine</w:t>
      </w:r>
      <w:r w:rsidRPr="003642D7">
        <w:rPr>
          <w:shd w:val="clear" w:color="auto" w:fill="FFFFFF"/>
        </w:rPr>
        <w:t>, </w:t>
      </w:r>
      <w:r w:rsidRPr="003642D7">
        <w:rPr>
          <w:i/>
          <w:iCs/>
          <w:shd w:val="clear" w:color="auto" w:fill="FFFFFF"/>
        </w:rPr>
        <w:t>9</w:t>
      </w:r>
      <w:r w:rsidRPr="003642D7">
        <w:rPr>
          <w:shd w:val="clear" w:color="auto" w:fill="FFFFFF"/>
        </w:rPr>
        <w:t>(1), p.e001461.</w:t>
      </w:r>
    </w:p>
    <w:p w14:paraId="145D7096" w14:textId="5F89CFCF" w:rsidR="00812EF1" w:rsidRPr="003642D7" w:rsidRDefault="00812EF1" w:rsidP="00812EF1">
      <w:pPr>
        <w:pStyle w:val="NormalWeb"/>
        <w:spacing w:before="0" w:beforeAutospacing="0" w:after="240" w:afterAutospacing="0" w:line="360" w:lineRule="auto"/>
      </w:pPr>
      <w:r w:rsidRPr="003642D7">
        <w:t xml:space="preserve">Ekstrand, J., Bengtsson, H., </w:t>
      </w:r>
      <w:proofErr w:type="spellStart"/>
      <w:r w:rsidRPr="003642D7">
        <w:t>Waldén</w:t>
      </w:r>
      <w:proofErr w:type="spellEnd"/>
      <w:r w:rsidRPr="003642D7">
        <w:t xml:space="preserve">, M., Davison, M., Khan, K.M. and Hägglund, M. (2022). Hamstring injury rates have increased during recent seasons and now constitute 24% of all injuries in men’s professional football: the UEFA Elite Club Injury Study from 2001/02 to 2021/22. </w:t>
      </w:r>
      <w:r w:rsidRPr="003642D7">
        <w:rPr>
          <w:i/>
          <w:iCs/>
        </w:rPr>
        <w:t>British Journal of Sports Medicine</w:t>
      </w:r>
      <w:r w:rsidRPr="003642D7">
        <w:t xml:space="preserve">, 57(5), </w:t>
      </w:r>
      <w:proofErr w:type="gramStart"/>
      <w:r w:rsidRPr="003642D7">
        <w:t>p.bjsports</w:t>
      </w:r>
      <w:proofErr w:type="gramEnd"/>
      <w:r w:rsidRPr="003642D7">
        <w:t xml:space="preserve">-2021-105407. </w:t>
      </w:r>
      <w:proofErr w:type="spellStart"/>
      <w:proofErr w:type="gramStart"/>
      <w:r w:rsidRPr="003642D7">
        <w:t>doi:https</w:t>
      </w:r>
      <w:proofErr w:type="spellEnd"/>
      <w:r w:rsidRPr="003642D7">
        <w:t>://doi.org/10.1136/bjsports-2021-105407</w:t>
      </w:r>
      <w:proofErr w:type="gramEnd"/>
      <w:r w:rsidRPr="003642D7">
        <w:t>.</w:t>
      </w:r>
    </w:p>
    <w:p w14:paraId="29289232" w14:textId="77777777" w:rsidR="0043456F" w:rsidRPr="003642D7" w:rsidRDefault="0043456F" w:rsidP="0043456F">
      <w:pPr>
        <w:pStyle w:val="NormalWeb"/>
        <w:spacing w:before="0" w:beforeAutospacing="0" w:after="240" w:afterAutospacing="0" w:line="360" w:lineRule="auto"/>
      </w:pPr>
      <w:r w:rsidRPr="003642D7">
        <w:t xml:space="preserve">Erickson, L.N. and Sherry, M.A. (2017). Rehabilitation and return to sport after hamstring strain injury. </w:t>
      </w:r>
      <w:r w:rsidRPr="003642D7">
        <w:rPr>
          <w:i/>
          <w:iCs/>
        </w:rPr>
        <w:t>Journal of Sport and Health Science</w:t>
      </w:r>
      <w:r w:rsidRPr="003642D7">
        <w:t xml:space="preserve">, 6(3), pp.262–270. </w:t>
      </w:r>
      <w:proofErr w:type="spellStart"/>
      <w:proofErr w:type="gramStart"/>
      <w:r w:rsidRPr="003642D7">
        <w:t>doi:https</w:t>
      </w:r>
      <w:proofErr w:type="spellEnd"/>
      <w:r w:rsidRPr="003642D7">
        <w:t>://doi.org/10.1016/j.jshs.2017.04.001</w:t>
      </w:r>
      <w:proofErr w:type="gramEnd"/>
      <w:r w:rsidRPr="003642D7">
        <w:t>.</w:t>
      </w:r>
    </w:p>
    <w:p w14:paraId="4CAAB166" w14:textId="77777777" w:rsidR="009747C7" w:rsidRPr="003642D7" w:rsidRDefault="009747C7" w:rsidP="009747C7">
      <w:pPr>
        <w:pStyle w:val="NormalWeb"/>
        <w:spacing w:before="0" w:beforeAutospacing="0" w:after="240" w:afterAutospacing="0" w:line="360" w:lineRule="auto"/>
      </w:pPr>
      <w:r w:rsidRPr="003642D7">
        <w:t xml:space="preserve">Fadaei </w:t>
      </w:r>
      <w:proofErr w:type="spellStart"/>
      <w:r w:rsidRPr="003642D7">
        <w:t>Dehcheshmeh</w:t>
      </w:r>
      <w:proofErr w:type="spellEnd"/>
      <w:r w:rsidRPr="003642D7">
        <w:t xml:space="preserve">, P., </w:t>
      </w:r>
      <w:proofErr w:type="spellStart"/>
      <w:r w:rsidRPr="003642D7">
        <w:t>Gandomi</w:t>
      </w:r>
      <w:proofErr w:type="spellEnd"/>
      <w:r w:rsidRPr="003642D7">
        <w:t xml:space="preserve">, F. and </w:t>
      </w:r>
      <w:proofErr w:type="spellStart"/>
      <w:r w:rsidRPr="003642D7">
        <w:t>Maffulli</w:t>
      </w:r>
      <w:proofErr w:type="spellEnd"/>
      <w:r w:rsidRPr="003642D7">
        <w:t xml:space="preserve">, N. (2021). Effect of lumbopelvic control on landing mechanics and lower extremity muscles’ activities in female professional athletes: implications for injury prevention. </w:t>
      </w:r>
      <w:r w:rsidRPr="003642D7">
        <w:rPr>
          <w:i/>
          <w:iCs/>
        </w:rPr>
        <w:t xml:space="preserve">BMC Sports Science, </w:t>
      </w:r>
      <w:proofErr w:type="gramStart"/>
      <w:r w:rsidRPr="003642D7">
        <w:rPr>
          <w:i/>
          <w:iCs/>
        </w:rPr>
        <w:t>Medicine</w:t>
      </w:r>
      <w:proofErr w:type="gramEnd"/>
      <w:r w:rsidRPr="003642D7">
        <w:rPr>
          <w:i/>
          <w:iCs/>
        </w:rPr>
        <w:t xml:space="preserve"> and Rehabilitation</w:t>
      </w:r>
      <w:r w:rsidRPr="003642D7">
        <w:t xml:space="preserve">, 13(1). </w:t>
      </w:r>
      <w:proofErr w:type="spellStart"/>
      <w:proofErr w:type="gramStart"/>
      <w:r w:rsidRPr="003642D7">
        <w:t>doi:https</w:t>
      </w:r>
      <w:proofErr w:type="spellEnd"/>
      <w:r w:rsidRPr="003642D7">
        <w:t>://doi.org/10.1186/s13102-021-00331-y</w:t>
      </w:r>
      <w:proofErr w:type="gramEnd"/>
      <w:r w:rsidRPr="003642D7">
        <w:t>.</w:t>
      </w:r>
    </w:p>
    <w:p w14:paraId="3D35D21A" w14:textId="2B40DAA1" w:rsidR="003642D7" w:rsidRPr="003642D7" w:rsidRDefault="003642D7" w:rsidP="009747C7">
      <w:pPr>
        <w:pStyle w:val="NormalWeb"/>
        <w:spacing w:before="0" w:beforeAutospacing="0" w:after="240" w:afterAutospacing="0" w:line="360" w:lineRule="auto"/>
      </w:pPr>
      <w:r w:rsidRPr="003642D7">
        <w:t xml:space="preserve">(Fadaei, </w:t>
      </w:r>
      <w:proofErr w:type="spellStart"/>
      <w:r w:rsidRPr="003642D7">
        <w:t>Gandomi</w:t>
      </w:r>
      <w:proofErr w:type="spellEnd"/>
      <w:r w:rsidRPr="003642D7">
        <w:t xml:space="preserve">, and </w:t>
      </w:r>
      <w:proofErr w:type="spellStart"/>
      <w:r w:rsidRPr="003642D7">
        <w:t>Maffulli</w:t>
      </w:r>
      <w:proofErr w:type="spellEnd"/>
      <w:r w:rsidRPr="003642D7">
        <w:t>, 2021).</w:t>
      </w:r>
    </w:p>
    <w:p w14:paraId="6FE5CE16" w14:textId="77777777" w:rsidR="0089319E" w:rsidRPr="003642D7" w:rsidRDefault="0089319E" w:rsidP="0089319E">
      <w:pPr>
        <w:pStyle w:val="NormalWeb"/>
        <w:spacing w:before="0" w:beforeAutospacing="0" w:after="240" w:afterAutospacing="0" w:line="360" w:lineRule="auto"/>
      </w:pPr>
      <w:r w:rsidRPr="003642D7">
        <w:lastRenderedPageBreak/>
        <w:t xml:space="preserve">Hickey, J.T., </w:t>
      </w:r>
      <w:proofErr w:type="spellStart"/>
      <w:r w:rsidRPr="003642D7">
        <w:t>Opar</w:t>
      </w:r>
      <w:proofErr w:type="spellEnd"/>
      <w:r w:rsidRPr="003642D7">
        <w:t xml:space="preserve">, D.A., Weiss, L.J. and Heiderscheit, B.C. (2021). Current Clinical concepts: Hamstring Strain Injury Rehabilitation. </w:t>
      </w:r>
      <w:r w:rsidRPr="003642D7">
        <w:rPr>
          <w:i/>
          <w:iCs/>
        </w:rPr>
        <w:t>Journal of Athletic Training</w:t>
      </w:r>
      <w:r w:rsidRPr="003642D7">
        <w:t xml:space="preserve">, [online] 57(2). </w:t>
      </w:r>
      <w:proofErr w:type="spellStart"/>
      <w:proofErr w:type="gramStart"/>
      <w:r w:rsidRPr="003642D7">
        <w:t>doi:https</w:t>
      </w:r>
      <w:proofErr w:type="spellEnd"/>
      <w:r w:rsidRPr="003642D7">
        <w:t>://doi.org/10.4085/1062-6050-0707.20</w:t>
      </w:r>
      <w:proofErr w:type="gramEnd"/>
      <w:r w:rsidRPr="003642D7">
        <w:t>.</w:t>
      </w:r>
    </w:p>
    <w:p w14:paraId="5A73AB1D" w14:textId="77777777" w:rsidR="00501A0D" w:rsidRPr="003642D7" w:rsidRDefault="00501A0D" w:rsidP="00501A0D">
      <w:pPr>
        <w:pStyle w:val="NormalWeb"/>
        <w:spacing w:before="0" w:beforeAutospacing="0" w:after="240" w:afterAutospacing="0" w:line="360" w:lineRule="auto"/>
      </w:pPr>
      <w:proofErr w:type="spellStart"/>
      <w:r w:rsidRPr="003642D7">
        <w:t>Kerspuy</w:t>
      </w:r>
      <w:proofErr w:type="spellEnd"/>
      <w:r w:rsidRPr="003642D7">
        <w:t xml:space="preserve">, W. (2023). Lumbo-pelvic neuromuscular control for the prevention of recurrent hamstring injuries in sprinting. </w:t>
      </w:r>
      <w:r w:rsidRPr="003642D7">
        <w:rPr>
          <w:i/>
          <w:iCs/>
        </w:rPr>
        <w:t>etd.uwc.ac.za</w:t>
      </w:r>
      <w:r w:rsidRPr="003642D7">
        <w:t>. [online] Available at: https://etd.uwc.ac.za/handle/11394/10559 [Accessed 29 Feb. 2024].</w:t>
      </w:r>
    </w:p>
    <w:p w14:paraId="4DCE0C40" w14:textId="77777777" w:rsidR="00A7179F" w:rsidRPr="003642D7" w:rsidRDefault="00A7179F" w:rsidP="00A7179F">
      <w:pPr>
        <w:pStyle w:val="NormalWeb"/>
        <w:spacing w:before="0" w:beforeAutospacing="0" w:after="240" w:afterAutospacing="0" w:line="360" w:lineRule="auto"/>
      </w:pPr>
      <w:r w:rsidRPr="003642D7">
        <w:t xml:space="preserve">Lahti, J., </w:t>
      </w:r>
      <w:proofErr w:type="spellStart"/>
      <w:r w:rsidRPr="003642D7">
        <w:t>Mendiguchia</w:t>
      </w:r>
      <w:proofErr w:type="spellEnd"/>
      <w:r w:rsidRPr="003642D7">
        <w:t xml:space="preserve">, J., Ahtiainen, J., Anula, L., </w:t>
      </w:r>
      <w:proofErr w:type="spellStart"/>
      <w:r w:rsidRPr="003642D7">
        <w:t>Kononen</w:t>
      </w:r>
      <w:proofErr w:type="spellEnd"/>
      <w:r w:rsidRPr="003642D7">
        <w:t xml:space="preserve">, T., Kujala, M., </w:t>
      </w:r>
      <w:proofErr w:type="spellStart"/>
      <w:r w:rsidRPr="003642D7">
        <w:t>Matinlauri</w:t>
      </w:r>
      <w:proofErr w:type="spellEnd"/>
      <w:r w:rsidRPr="003642D7">
        <w:t xml:space="preserve">, A., Peltonen, V., Thibault, M., Toivonen, R.-M., Edouard, P. and Morin, J.B. (2020). Multifactorial individualised programme for hamstring muscle injury risk reduction in professional football: protocol for a prospective cohort study. </w:t>
      </w:r>
      <w:r w:rsidRPr="003642D7">
        <w:rPr>
          <w:i/>
          <w:iCs/>
        </w:rPr>
        <w:t>BMJ Open Sport &amp; Exercise Medicine</w:t>
      </w:r>
      <w:r w:rsidRPr="003642D7">
        <w:t xml:space="preserve">, [online] 6(1), p.e000758. </w:t>
      </w:r>
      <w:proofErr w:type="spellStart"/>
      <w:proofErr w:type="gramStart"/>
      <w:r w:rsidRPr="003642D7">
        <w:t>doi:https</w:t>
      </w:r>
      <w:proofErr w:type="spellEnd"/>
      <w:r w:rsidRPr="003642D7">
        <w:t>://doi.org/10.1136/bmjsem-2020-000758</w:t>
      </w:r>
      <w:proofErr w:type="gramEnd"/>
      <w:r w:rsidRPr="003642D7">
        <w:t>.</w:t>
      </w:r>
    </w:p>
    <w:p w14:paraId="170A9E59" w14:textId="50F812AB" w:rsidR="00D70C65" w:rsidRPr="003642D7" w:rsidRDefault="00D70C65" w:rsidP="0043456F">
      <w:pPr>
        <w:pStyle w:val="NormalWeb"/>
        <w:spacing w:before="0" w:beforeAutospacing="0" w:after="240" w:afterAutospacing="0" w:line="360" w:lineRule="auto"/>
      </w:pPr>
      <w:r w:rsidRPr="003642D7">
        <w:rPr>
          <w:color w:val="222222"/>
          <w:shd w:val="clear" w:color="auto" w:fill="FFFFFF"/>
        </w:rPr>
        <w:t xml:space="preserve">Larson, J.H., Fenn, T.W., </w:t>
      </w:r>
      <w:proofErr w:type="spellStart"/>
      <w:r w:rsidRPr="003642D7">
        <w:rPr>
          <w:color w:val="222222"/>
          <w:shd w:val="clear" w:color="auto" w:fill="FFFFFF"/>
        </w:rPr>
        <w:t>Allahabadi</w:t>
      </w:r>
      <w:proofErr w:type="spellEnd"/>
      <w:r w:rsidRPr="003642D7">
        <w:rPr>
          <w:color w:val="222222"/>
          <w:shd w:val="clear" w:color="auto" w:fill="FFFFFF"/>
        </w:rPr>
        <w:t>, S. and Nho, S.J., (2023). Hamstring Strains: Classification and Management. </w:t>
      </w:r>
      <w:r w:rsidRPr="003642D7">
        <w:rPr>
          <w:i/>
          <w:iCs/>
          <w:color w:val="222222"/>
          <w:shd w:val="clear" w:color="auto" w:fill="FFFFFF"/>
        </w:rPr>
        <w:t>Sports Health</w:t>
      </w:r>
      <w:r w:rsidRPr="003642D7">
        <w:rPr>
          <w:color w:val="222222"/>
          <w:shd w:val="clear" w:color="auto" w:fill="FFFFFF"/>
        </w:rPr>
        <w:t>, p.19417381231175880.</w:t>
      </w:r>
    </w:p>
    <w:p w14:paraId="0DEC152D" w14:textId="77777777" w:rsidR="00A01EB9" w:rsidRPr="003642D7" w:rsidRDefault="00A01EB9" w:rsidP="00A01EB9">
      <w:pPr>
        <w:pStyle w:val="NormalWeb"/>
        <w:spacing w:before="0" w:beforeAutospacing="0" w:after="240" w:afterAutospacing="0" w:line="360" w:lineRule="auto"/>
      </w:pPr>
      <w:proofErr w:type="spellStart"/>
      <w:r w:rsidRPr="003642D7">
        <w:t>Mendiguchia</w:t>
      </w:r>
      <w:proofErr w:type="spellEnd"/>
      <w:r w:rsidRPr="003642D7">
        <w:t xml:space="preserve">, J., Martinez-Ruiz, E., Edouard, P., Morin, J.-B., Martinez-Martinez, F., </w:t>
      </w:r>
      <w:proofErr w:type="spellStart"/>
      <w:r w:rsidRPr="003642D7">
        <w:t>Idoate</w:t>
      </w:r>
      <w:proofErr w:type="spellEnd"/>
      <w:r w:rsidRPr="003642D7">
        <w:t xml:space="preserve">, F. and Mendez-Villanueva, A. (2017). A Multifactorial, Criteria-based Progressive Algorithm for Hamstring Injury Treatment. </w:t>
      </w:r>
      <w:r w:rsidRPr="003642D7">
        <w:rPr>
          <w:i/>
          <w:iCs/>
        </w:rPr>
        <w:t>Medicine and science in sports and exercise</w:t>
      </w:r>
      <w:r w:rsidRPr="003642D7">
        <w:t xml:space="preserve">, [online] 49(7), pp.1482–1492. </w:t>
      </w:r>
      <w:proofErr w:type="spellStart"/>
      <w:proofErr w:type="gramStart"/>
      <w:r w:rsidRPr="003642D7">
        <w:t>doi:https</w:t>
      </w:r>
      <w:proofErr w:type="spellEnd"/>
      <w:r w:rsidRPr="003642D7">
        <w:t>://doi.org/10.1249/MSS.0000000000001241</w:t>
      </w:r>
      <w:proofErr w:type="gramEnd"/>
      <w:r w:rsidRPr="003642D7">
        <w:t>.</w:t>
      </w:r>
    </w:p>
    <w:p w14:paraId="7A6CC454" w14:textId="77777777" w:rsidR="004F793C" w:rsidRPr="003642D7" w:rsidRDefault="004F793C" w:rsidP="004F793C">
      <w:pPr>
        <w:pStyle w:val="NormalWeb"/>
        <w:spacing w:before="0" w:beforeAutospacing="0" w:after="240" w:afterAutospacing="0" w:line="360" w:lineRule="auto"/>
      </w:pPr>
      <w:r w:rsidRPr="003642D7">
        <w:t xml:space="preserve">Taberner, M., Haddad, F.S., Dunn, A., Newall, A., Parker, L., Betancur, E. and Cohen, D.D. (2020). Managing the return to sport of the elite footballer following semimembranosus reconstruction. </w:t>
      </w:r>
      <w:r w:rsidRPr="003642D7">
        <w:rPr>
          <w:i/>
          <w:iCs/>
        </w:rPr>
        <w:t>BMJ Open Sport &amp; Exercise Medicine</w:t>
      </w:r>
      <w:r w:rsidRPr="003642D7">
        <w:t xml:space="preserve">, 6(1), p.e000898. </w:t>
      </w:r>
      <w:proofErr w:type="spellStart"/>
      <w:proofErr w:type="gramStart"/>
      <w:r w:rsidRPr="003642D7">
        <w:t>doi:https</w:t>
      </w:r>
      <w:proofErr w:type="spellEnd"/>
      <w:r w:rsidRPr="003642D7">
        <w:t>://doi.org/10.1136/bmjsem-2020-000898</w:t>
      </w:r>
      <w:proofErr w:type="gramEnd"/>
      <w:r w:rsidRPr="003642D7">
        <w:t>.</w:t>
      </w:r>
    </w:p>
    <w:p w14:paraId="7265C120" w14:textId="77777777" w:rsidR="00D9375E" w:rsidRPr="003642D7" w:rsidRDefault="00D9375E" w:rsidP="00D9375E">
      <w:pPr>
        <w:pStyle w:val="NormalWeb"/>
        <w:spacing w:before="0" w:beforeAutospacing="0" w:after="240" w:afterAutospacing="0" w:line="360" w:lineRule="auto"/>
      </w:pPr>
      <w:r w:rsidRPr="003642D7">
        <w:t xml:space="preserve">Taberner, M., Allen, </w:t>
      </w:r>
      <w:proofErr w:type="gramStart"/>
      <w:r w:rsidRPr="003642D7">
        <w:t>T.</w:t>
      </w:r>
      <w:proofErr w:type="gramEnd"/>
      <w:r w:rsidRPr="003642D7">
        <w:t xml:space="preserve"> and Cohen, D.D. (2019). Progressing rehabilitation after injury: consider the ‘control-chaos continuum’. </w:t>
      </w:r>
      <w:r w:rsidRPr="003642D7">
        <w:rPr>
          <w:i/>
          <w:iCs/>
        </w:rPr>
        <w:t>British Journal of Sports Medicine</w:t>
      </w:r>
      <w:r w:rsidRPr="003642D7">
        <w:t xml:space="preserve">, 53(18), pp.1132–1136. </w:t>
      </w:r>
      <w:proofErr w:type="spellStart"/>
      <w:proofErr w:type="gramStart"/>
      <w:r w:rsidRPr="003642D7">
        <w:t>doi:https</w:t>
      </w:r>
      <w:proofErr w:type="spellEnd"/>
      <w:r w:rsidRPr="003642D7">
        <w:t>://doi.org/10.1136/bjsports-2018-100157</w:t>
      </w:r>
      <w:proofErr w:type="gramEnd"/>
      <w:r w:rsidRPr="003642D7">
        <w:t>.</w:t>
      </w:r>
    </w:p>
    <w:p w14:paraId="50FE2442" w14:textId="7D418C5A" w:rsidR="005F2F33" w:rsidRPr="003642D7" w:rsidRDefault="005F2F33" w:rsidP="005F2F33">
      <w:pPr>
        <w:pStyle w:val="NormalWeb"/>
        <w:spacing w:before="0" w:beforeAutospacing="0" w:after="240" w:afterAutospacing="0" w:line="360" w:lineRule="auto"/>
      </w:pPr>
      <w:r w:rsidRPr="003642D7">
        <w:t xml:space="preserve">Van de Hoef, P.A.S., Brink, M.S.M., </w:t>
      </w:r>
      <w:proofErr w:type="spellStart"/>
      <w:r w:rsidRPr="003642D7">
        <w:t>Huisstede</w:t>
      </w:r>
      <w:proofErr w:type="spellEnd"/>
      <w:r w:rsidRPr="003642D7">
        <w:t xml:space="preserve">, B.M.A.B., van Smeden, M.M., de Vries, N.N., Goedhart, E.A.E., </w:t>
      </w:r>
      <w:proofErr w:type="spellStart"/>
      <w:r w:rsidRPr="003642D7">
        <w:t>Gouttebarge</w:t>
      </w:r>
      <w:proofErr w:type="spellEnd"/>
      <w:r w:rsidRPr="003642D7">
        <w:t xml:space="preserve">, V.V. and </w:t>
      </w:r>
      <w:proofErr w:type="spellStart"/>
      <w:r w:rsidRPr="003642D7">
        <w:t>Backx</w:t>
      </w:r>
      <w:proofErr w:type="spellEnd"/>
      <w:r w:rsidRPr="003642D7">
        <w:t xml:space="preserve">, F.J.G.F. (2018). Does a bounding exercise program prevent hamstring injuries in adult male soccer players? – A cluster – RCT. </w:t>
      </w:r>
      <w:r w:rsidRPr="003642D7">
        <w:rPr>
          <w:i/>
          <w:iCs/>
        </w:rPr>
        <w:t>Scandinavian Journal of Medicine &amp; Science in Sports</w:t>
      </w:r>
      <w:r w:rsidRPr="003642D7">
        <w:t xml:space="preserve">, 29(4). </w:t>
      </w:r>
      <w:proofErr w:type="spellStart"/>
      <w:proofErr w:type="gramStart"/>
      <w:r w:rsidRPr="003642D7">
        <w:t>doi:https</w:t>
      </w:r>
      <w:proofErr w:type="spellEnd"/>
      <w:r w:rsidRPr="003642D7">
        <w:t>://doi.org/10.1111/sms.13353</w:t>
      </w:r>
      <w:proofErr w:type="gramEnd"/>
      <w:r w:rsidRPr="003642D7">
        <w:t>.</w:t>
      </w:r>
    </w:p>
    <w:p w14:paraId="00E95C09" w14:textId="77777777" w:rsidR="005F2F33" w:rsidRPr="003642D7" w:rsidRDefault="005F2F33" w:rsidP="004F793C">
      <w:pPr>
        <w:pStyle w:val="NormalWeb"/>
        <w:spacing w:before="0" w:beforeAutospacing="0" w:after="240" w:afterAutospacing="0" w:line="360" w:lineRule="auto"/>
      </w:pPr>
    </w:p>
    <w:p w14:paraId="4A6C8938" w14:textId="77777777" w:rsidR="004F793C" w:rsidRPr="003642D7" w:rsidRDefault="004F793C" w:rsidP="00A01EB9">
      <w:pPr>
        <w:pStyle w:val="NormalWeb"/>
        <w:spacing w:before="0" w:beforeAutospacing="0" w:after="240" w:afterAutospacing="0" w:line="360" w:lineRule="auto"/>
      </w:pPr>
    </w:p>
    <w:p w14:paraId="0A3AA5B3" w14:textId="77777777" w:rsidR="0043456F" w:rsidRPr="003642D7" w:rsidRDefault="0043456F">
      <w:pPr>
        <w:rPr>
          <w:rFonts w:ascii="Times New Roman" w:hAnsi="Times New Roman" w:cs="Times New Roman"/>
        </w:rPr>
      </w:pPr>
    </w:p>
    <w:sectPr w:rsidR="0043456F" w:rsidRPr="003642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4B7CCA"/>
    <w:multiLevelType w:val="hybridMultilevel"/>
    <w:tmpl w:val="0DD64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771B83"/>
    <w:multiLevelType w:val="hybridMultilevel"/>
    <w:tmpl w:val="7408F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08B626"/>
    <w:multiLevelType w:val="hybridMultilevel"/>
    <w:tmpl w:val="FCDA0080"/>
    <w:lvl w:ilvl="0" w:tplc="91A4C50A">
      <w:start w:val="1"/>
      <w:numFmt w:val="bullet"/>
      <w:lvlText w:val=""/>
      <w:lvlJc w:val="left"/>
      <w:pPr>
        <w:ind w:left="1440" w:hanging="360"/>
      </w:pPr>
      <w:rPr>
        <w:rFonts w:ascii="Symbol" w:hAnsi="Symbol" w:hint="default"/>
      </w:rPr>
    </w:lvl>
    <w:lvl w:ilvl="1" w:tplc="92740A66">
      <w:start w:val="1"/>
      <w:numFmt w:val="bullet"/>
      <w:lvlText w:val="o"/>
      <w:lvlJc w:val="left"/>
      <w:pPr>
        <w:ind w:left="1440" w:hanging="360"/>
      </w:pPr>
      <w:rPr>
        <w:rFonts w:ascii="Courier New" w:hAnsi="Courier New" w:cs="Times New Roman" w:hint="default"/>
      </w:rPr>
    </w:lvl>
    <w:lvl w:ilvl="2" w:tplc="2E721258">
      <w:start w:val="1"/>
      <w:numFmt w:val="bullet"/>
      <w:lvlText w:val=""/>
      <w:lvlJc w:val="left"/>
      <w:pPr>
        <w:ind w:left="2160" w:hanging="360"/>
      </w:pPr>
      <w:rPr>
        <w:rFonts w:ascii="Wingdings" w:hAnsi="Wingdings" w:hint="default"/>
      </w:rPr>
    </w:lvl>
    <w:lvl w:ilvl="3" w:tplc="0854F984">
      <w:start w:val="1"/>
      <w:numFmt w:val="bullet"/>
      <w:lvlText w:val=""/>
      <w:lvlJc w:val="left"/>
      <w:pPr>
        <w:ind w:left="2880" w:hanging="360"/>
      </w:pPr>
      <w:rPr>
        <w:rFonts w:ascii="Symbol" w:hAnsi="Symbol" w:hint="default"/>
      </w:rPr>
    </w:lvl>
    <w:lvl w:ilvl="4" w:tplc="ED989716">
      <w:start w:val="1"/>
      <w:numFmt w:val="bullet"/>
      <w:lvlText w:val="o"/>
      <w:lvlJc w:val="left"/>
      <w:pPr>
        <w:ind w:left="3600" w:hanging="360"/>
      </w:pPr>
      <w:rPr>
        <w:rFonts w:ascii="Courier New" w:hAnsi="Courier New" w:cs="Times New Roman" w:hint="default"/>
      </w:rPr>
    </w:lvl>
    <w:lvl w:ilvl="5" w:tplc="A844C0AC">
      <w:start w:val="1"/>
      <w:numFmt w:val="bullet"/>
      <w:lvlText w:val=""/>
      <w:lvlJc w:val="left"/>
      <w:pPr>
        <w:ind w:left="4320" w:hanging="360"/>
      </w:pPr>
      <w:rPr>
        <w:rFonts w:ascii="Wingdings" w:hAnsi="Wingdings" w:hint="default"/>
      </w:rPr>
    </w:lvl>
    <w:lvl w:ilvl="6" w:tplc="42647AE6">
      <w:start w:val="1"/>
      <w:numFmt w:val="bullet"/>
      <w:lvlText w:val=""/>
      <w:lvlJc w:val="left"/>
      <w:pPr>
        <w:ind w:left="5040" w:hanging="360"/>
      </w:pPr>
      <w:rPr>
        <w:rFonts w:ascii="Symbol" w:hAnsi="Symbol" w:hint="default"/>
      </w:rPr>
    </w:lvl>
    <w:lvl w:ilvl="7" w:tplc="4A8425A0">
      <w:start w:val="1"/>
      <w:numFmt w:val="bullet"/>
      <w:lvlText w:val="o"/>
      <w:lvlJc w:val="left"/>
      <w:pPr>
        <w:ind w:left="5760" w:hanging="360"/>
      </w:pPr>
      <w:rPr>
        <w:rFonts w:ascii="Courier New" w:hAnsi="Courier New" w:cs="Times New Roman" w:hint="default"/>
      </w:rPr>
    </w:lvl>
    <w:lvl w:ilvl="8" w:tplc="CC3CB23E">
      <w:start w:val="1"/>
      <w:numFmt w:val="bullet"/>
      <w:lvlText w:val=""/>
      <w:lvlJc w:val="left"/>
      <w:pPr>
        <w:ind w:left="6480" w:hanging="360"/>
      </w:pPr>
      <w:rPr>
        <w:rFonts w:ascii="Wingdings" w:hAnsi="Wingdings" w:hint="default"/>
      </w:rPr>
    </w:lvl>
  </w:abstractNum>
  <w:num w:numId="1" w16cid:durableId="1711490134">
    <w:abstractNumId w:val="2"/>
  </w:num>
  <w:num w:numId="2" w16cid:durableId="1997605014">
    <w:abstractNumId w:val="0"/>
  </w:num>
  <w:num w:numId="3" w16cid:durableId="1193226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351"/>
    <w:rsid w:val="00055351"/>
    <w:rsid w:val="00142F2A"/>
    <w:rsid w:val="001B0DAF"/>
    <w:rsid w:val="001C5657"/>
    <w:rsid w:val="001C601E"/>
    <w:rsid w:val="001E5A72"/>
    <w:rsid w:val="002F794B"/>
    <w:rsid w:val="003642D7"/>
    <w:rsid w:val="0043456F"/>
    <w:rsid w:val="00482F7B"/>
    <w:rsid w:val="00485317"/>
    <w:rsid w:val="004F793C"/>
    <w:rsid w:val="00501A0D"/>
    <w:rsid w:val="005F2F33"/>
    <w:rsid w:val="00626A5D"/>
    <w:rsid w:val="00683579"/>
    <w:rsid w:val="00771DAD"/>
    <w:rsid w:val="00791B47"/>
    <w:rsid w:val="007C3452"/>
    <w:rsid w:val="00812EF1"/>
    <w:rsid w:val="00892014"/>
    <w:rsid w:val="0089319E"/>
    <w:rsid w:val="00902139"/>
    <w:rsid w:val="009747C7"/>
    <w:rsid w:val="0099322C"/>
    <w:rsid w:val="00A01EB9"/>
    <w:rsid w:val="00A2760B"/>
    <w:rsid w:val="00A7179F"/>
    <w:rsid w:val="00A748D9"/>
    <w:rsid w:val="00AA459D"/>
    <w:rsid w:val="00AB148B"/>
    <w:rsid w:val="00B14767"/>
    <w:rsid w:val="00B333C6"/>
    <w:rsid w:val="00BA40E7"/>
    <w:rsid w:val="00BE6FC7"/>
    <w:rsid w:val="00C553F9"/>
    <w:rsid w:val="00CE16F6"/>
    <w:rsid w:val="00D47DF6"/>
    <w:rsid w:val="00D70C65"/>
    <w:rsid w:val="00D9375E"/>
    <w:rsid w:val="00E93732"/>
    <w:rsid w:val="00EC0F5C"/>
    <w:rsid w:val="00F80E5B"/>
    <w:rsid w:val="00FF6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759F9"/>
  <w15:chartTrackingRefBased/>
  <w15:docId w15:val="{D151B87B-592D-46CE-A7D8-039AFCDF5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3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3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3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3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3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3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3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3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3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3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3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3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351"/>
    <w:rPr>
      <w:rFonts w:eastAsiaTheme="majorEastAsia" w:cstheme="majorBidi"/>
      <w:color w:val="272727" w:themeColor="text1" w:themeTint="D8"/>
    </w:rPr>
  </w:style>
  <w:style w:type="paragraph" w:styleId="Title">
    <w:name w:val="Title"/>
    <w:basedOn w:val="Normal"/>
    <w:next w:val="Normal"/>
    <w:link w:val="TitleChar"/>
    <w:uiPriority w:val="10"/>
    <w:qFormat/>
    <w:rsid w:val="00055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3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351"/>
    <w:pPr>
      <w:spacing w:before="160"/>
      <w:jc w:val="center"/>
    </w:pPr>
    <w:rPr>
      <w:i/>
      <w:iCs/>
      <w:color w:val="404040" w:themeColor="text1" w:themeTint="BF"/>
    </w:rPr>
  </w:style>
  <w:style w:type="character" w:customStyle="1" w:styleId="QuoteChar">
    <w:name w:val="Quote Char"/>
    <w:basedOn w:val="DefaultParagraphFont"/>
    <w:link w:val="Quote"/>
    <w:uiPriority w:val="29"/>
    <w:rsid w:val="00055351"/>
    <w:rPr>
      <w:i/>
      <w:iCs/>
      <w:color w:val="404040" w:themeColor="text1" w:themeTint="BF"/>
    </w:rPr>
  </w:style>
  <w:style w:type="paragraph" w:styleId="ListParagraph">
    <w:name w:val="List Paragraph"/>
    <w:basedOn w:val="Normal"/>
    <w:uiPriority w:val="34"/>
    <w:qFormat/>
    <w:rsid w:val="00055351"/>
    <w:pPr>
      <w:ind w:left="720"/>
      <w:contextualSpacing/>
    </w:pPr>
  </w:style>
  <w:style w:type="character" w:styleId="IntenseEmphasis">
    <w:name w:val="Intense Emphasis"/>
    <w:basedOn w:val="DefaultParagraphFont"/>
    <w:uiPriority w:val="21"/>
    <w:qFormat/>
    <w:rsid w:val="00055351"/>
    <w:rPr>
      <w:i/>
      <w:iCs/>
      <w:color w:val="0F4761" w:themeColor="accent1" w:themeShade="BF"/>
    </w:rPr>
  </w:style>
  <w:style w:type="paragraph" w:styleId="IntenseQuote">
    <w:name w:val="Intense Quote"/>
    <w:basedOn w:val="Normal"/>
    <w:next w:val="Normal"/>
    <w:link w:val="IntenseQuoteChar"/>
    <w:uiPriority w:val="30"/>
    <w:qFormat/>
    <w:rsid w:val="00055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351"/>
    <w:rPr>
      <w:i/>
      <w:iCs/>
      <w:color w:val="0F4761" w:themeColor="accent1" w:themeShade="BF"/>
    </w:rPr>
  </w:style>
  <w:style w:type="character" w:styleId="IntenseReference">
    <w:name w:val="Intense Reference"/>
    <w:basedOn w:val="DefaultParagraphFont"/>
    <w:uiPriority w:val="32"/>
    <w:qFormat/>
    <w:rsid w:val="00055351"/>
    <w:rPr>
      <w:b/>
      <w:bCs/>
      <w:smallCaps/>
      <w:color w:val="0F4761" w:themeColor="accent1" w:themeShade="BF"/>
      <w:spacing w:val="5"/>
    </w:rPr>
  </w:style>
  <w:style w:type="paragraph" w:styleId="NormalWeb">
    <w:name w:val="Normal (Web)"/>
    <w:basedOn w:val="Normal"/>
    <w:uiPriority w:val="99"/>
    <w:semiHidden/>
    <w:unhideWhenUsed/>
    <w:rsid w:val="0043456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747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354253">
      <w:bodyDiv w:val="1"/>
      <w:marLeft w:val="0"/>
      <w:marRight w:val="0"/>
      <w:marTop w:val="0"/>
      <w:marBottom w:val="0"/>
      <w:divBdr>
        <w:top w:val="none" w:sz="0" w:space="0" w:color="auto"/>
        <w:left w:val="none" w:sz="0" w:space="0" w:color="auto"/>
        <w:bottom w:val="none" w:sz="0" w:space="0" w:color="auto"/>
        <w:right w:val="none" w:sz="0" w:space="0" w:color="auto"/>
      </w:divBdr>
      <w:divsChild>
        <w:div w:id="1318535953">
          <w:marLeft w:val="0"/>
          <w:marRight w:val="0"/>
          <w:marTop w:val="0"/>
          <w:marBottom w:val="0"/>
          <w:divBdr>
            <w:top w:val="none" w:sz="0" w:space="0" w:color="auto"/>
            <w:left w:val="none" w:sz="0" w:space="0" w:color="auto"/>
            <w:bottom w:val="none" w:sz="0" w:space="0" w:color="auto"/>
            <w:right w:val="none" w:sz="0" w:space="0" w:color="auto"/>
          </w:divBdr>
        </w:div>
      </w:divsChild>
    </w:div>
    <w:div w:id="140269979">
      <w:bodyDiv w:val="1"/>
      <w:marLeft w:val="0"/>
      <w:marRight w:val="0"/>
      <w:marTop w:val="0"/>
      <w:marBottom w:val="0"/>
      <w:divBdr>
        <w:top w:val="none" w:sz="0" w:space="0" w:color="auto"/>
        <w:left w:val="none" w:sz="0" w:space="0" w:color="auto"/>
        <w:bottom w:val="none" w:sz="0" w:space="0" w:color="auto"/>
        <w:right w:val="none" w:sz="0" w:space="0" w:color="auto"/>
      </w:divBdr>
    </w:div>
    <w:div w:id="171847842">
      <w:bodyDiv w:val="1"/>
      <w:marLeft w:val="0"/>
      <w:marRight w:val="0"/>
      <w:marTop w:val="0"/>
      <w:marBottom w:val="0"/>
      <w:divBdr>
        <w:top w:val="none" w:sz="0" w:space="0" w:color="auto"/>
        <w:left w:val="none" w:sz="0" w:space="0" w:color="auto"/>
        <w:bottom w:val="none" w:sz="0" w:space="0" w:color="auto"/>
        <w:right w:val="none" w:sz="0" w:space="0" w:color="auto"/>
      </w:divBdr>
      <w:divsChild>
        <w:div w:id="431821388">
          <w:marLeft w:val="0"/>
          <w:marRight w:val="0"/>
          <w:marTop w:val="0"/>
          <w:marBottom w:val="0"/>
          <w:divBdr>
            <w:top w:val="none" w:sz="0" w:space="0" w:color="auto"/>
            <w:left w:val="none" w:sz="0" w:space="0" w:color="auto"/>
            <w:bottom w:val="none" w:sz="0" w:space="0" w:color="auto"/>
            <w:right w:val="none" w:sz="0" w:space="0" w:color="auto"/>
          </w:divBdr>
        </w:div>
      </w:divsChild>
    </w:div>
    <w:div w:id="315695260">
      <w:bodyDiv w:val="1"/>
      <w:marLeft w:val="0"/>
      <w:marRight w:val="0"/>
      <w:marTop w:val="0"/>
      <w:marBottom w:val="0"/>
      <w:divBdr>
        <w:top w:val="none" w:sz="0" w:space="0" w:color="auto"/>
        <w:left w:val="none" w:sz="0" w:space="0" w:color="auto"/>
        <w:bottom w:val="none" w:sz="0" w:space="0" w:color="auto"/>
        <w:right w:val="none" w:sz="0" w:space="0" w:color="auto"/>
      </w:divBdr>
    </w:div>
    <w:div w:id="863518164">
      <w:bodyDiv w:val="1"/>
      <w:marLeft w:val="0"/>
      <w:marRight w:val="0"/>
      <w:marTop w:val="0"/>
      <w:marBottom w:val="0"/>
      <w:divBdr>
        <w:top w:val="none" w:sz="0" w:space="0" w:color="auto"/>
        <w:left w:val="none" w:sz="0" w:space="0" w:color="auto"/>
        <w:bottom w:val="none" w:sz="0" w:space="0" w:color="auto"/>
        <w:right w:val="none" w:sz="0" w:space="0" w:color="auto"/>
      </w:divBdr>
      <w:divsChild>
        <w:div w:id="1495493838">
          <w:marLeft w:val="0"/>
          <w:marRight w:val="0"/>
          <w:marTop w:val="0"/>
          <w:marBottom w:val="0"/>
          <w:divBdr>
            <w:top w:val="none" w:sz="0" w:space="0" w:color="auto"/>
            <w:left w:val="none" w:sz="0" w:space="0" w:color="auto"/>
            <w:bottom w:val="none" w:sz="0" w:space="0" w:color="auto"/>
            <w:right w:val="none" w:sz="0" w:space="0" w:color="auto"/>
          </w:divBdr>
        </w:div>
      </w:divsChild>
    </w:div>
    <w:div w:id="1002246200">
      <w:bodyDiv w:val="1"/>
      <w:marLeft w:val="0"/>
      <w:marRight w:val="0"/>
      <w:marTop w:val="0"/>
      <w:marBottom w:val="0"/>
      <w:divBdr>
        <w:top w:val="none" w:sz="0" w:space="0" w:color="auto"/>
        <w:left w:val="none" w:sz="0" w:space="0" w:color="auto"/>
        <w:bottom w:val="none" w:sz="0" w:space="0" w:color="auto"/>
        <w:right w:val="none" w:sz="0" w:space="0" w:color="auto"/>
      </w:divBdr>
      <w:divsChild>
        <w:div w:id="529151959">
          <w:marLeft w:val="0"/>
          <w:marRight w:val="0"/>
          <w:marTop w:val="0"/>
          <w:marBottom w:val="0"/>
          <w:divBdr>
            <w:top w:val="none" w:sz="0" w:space="0" w:color="auto"/>
            <w:left w:val="none" w:sz="0" w:space="0" w:color="auto"/>
            <w:bottom w:val="none" w:sz="0" w:space="0" w:color="auto"/>
            <w:right w:val="none" w:sz="0" w:space="0" w:color="auto"/>
          </w:divBdr>
        </w:div>
      </w:divsChild>
    </w:div>
    <w:div w:id="1015881777">
      <w:bodyDiv w:val="1"/>
      <w:marLeft w:val="0"/>
      <w:marRight w:val="0"/>
      <w:marTop w:val="0"/>
      <w:marBottom w:val="0"/>
      <w:divBdr>
        <w:top w:val="none" w:sz="0" w:space="0" w:color="auto"/>
        <w:left w:val="none" w:sz="0" w:space="0" w:color="auto"/>
        <w:bottom w:val="none" w:sz="0" w:space="0" w:color="auto"/>
        <w:right w:val="none" w:sz="0" w:space="0" w:color="auto"/>
      </w:divBdr>
      <w:divsChild>
        <w:div w:id="1638879236">
          <w:marLeft w:val="0"/>
          <w:marRight w:val="0"/>
          <w:marTop w:val="0"/>
          <w:marBottom w:val="0"/>
          <w:divBdr>
            <w:top w:val="none" w:sz="0" w:space="0" w:color="auto"/>
            <w:left w:val="none" w:sz="0" w:space="0" w:color="auto"/>
            <w:bottom w:val="none" w:sz="0" w:space="0" w:color="auto"/>
            <w:right w:val="none" w:sz="0" w:space="0" w:color="auto"/>
          </w:divBdr>
        </w:div>
      </w:divsChild>
    </w:div>
    <w:div w:id="1066759087">
      <w:bodyDiv w:val="1"/>
      <w:marLeft w:val="0"/>
      <w:marRight w:val="0"/>
      <w:marTop w:val="0"/>
      <w:marBottom w:val="0"/>
      <w:divBdr>
        <w:top w:val="none" w:sz="0" w:space="0" w:color="auto"/>
        <w:left w:val="none" w:sz="0" w:space="0" w:color="auto"/>
        <w:bottom w:val="none" w:sz="0" w:space="0" w:color="auto"/>
        <w:right w:val="none" w:sz="0" w:space="0" w:color="auto"/>
      </w:divBdr>
    </w:div>
    <w:div w:id="1448432111">
      <w:bodyDiv w:val="1"/>
      <w:marLeft w:val="0"/>
      <w:marRight w:val="0"/>
      <w:marTop w:val="0"/>
      <w:marBottom w:val="0"/>
      <w:divBdr>
        <w:top w:val="none" w:sz="0" w:space="0" w:color="auto"/>
        <w:left w:val="none" w:sz="0" w:space="0" w:color="auto"/>
        <w:bottom w:val="none" w:sz="0" w:space="0" w:color="auto"/>
        <w:right w:val="none" w:sz="0" w:space="0" w:color="auto"/>
      </w:divBdr>
      <w:divsChild>
        <w:div w:id="464398858">
          <w:marLeft w:val="0"/>
          <w:marRight w:val="0"/>
          <w:marTop w:val="0"/>
          <w:marBottom w:val="0"/>
          <w:divBdr>
            <w:top w:val="none" w:sz="0" w:space="0" w:color="auto"/>
            <w:left w:val="none" w:sz="0" w:space="0" w:color="auto"/>
            <w:bottom w:val="none" w:sz="0" w:space="0" w:color="auto"/>
            <w:right w:val="none" w:sz="0" w:space="0" w:color="auto"/>
          </w:divBdr>
        </w:div>
      </w:divsChild>
    </w:div>
    <w:div w:id="1454592537">
      <w:bodyDiv w:val="1"/>
      <w:marLeft w:val="0"/>
      <w:marRight w:val="0"/>
      <w:marTop w:val="0"/>
      <w:marBottom w:val="0"/>
      <w:divBdr>
        <w:top w:val="none" w:sz="0" w:space="0" w:color="auto"/>
        <w:left w:val="none" w:sz="0" w:space="0" w:color="auto"/>
        <w:bottom w:val="none" w:sz="0" w:space="0" w:color="auto"/>
        <w:right w:val="none" w:sz="0" w:space="0" w:color="auto"/>
      </w:divBdr>
      <w:divsChild>
        <w:div w:id="1586453769">
          <w:marLeft w:val="0"/>
          <w:marRight w:val="0"/>
          <w:marTop w:val="0"/>
          <w:marBottom w:val="0"/>
          <w:divBdr>
            <w:top w:val="none" w:sz="0" w:space="0" w:color="auto"/>
            <w:left w:val="none" w:sz="0" w:space="0" w:color="auto"/>
            <w:bottom w:val="none" w:sz="0" w:space="0" w:color="auto"/>
            <w:right w:val="none" w:sz="0" w:space="0" w:color="auto"/>
          </w:divBdr>
        </w:div>
      </w:divsChild>
    </w:div>
    <w:div w:id="1574388240">
      <w:bodyDiv w:val="1"/>
      <w:marLeft w:val="0"/>
      <w:marRight w:val="0"/>
      <w:marTop w:val="0"/>
      <w:marBottom w:val="0"/>
      <w:divBdr>
        <w:top w:val="none" w:sz="0" w:space="0" w:color="auto"/>
        <w:left w:val="none" w:sz="0" w:space="0" w:color="auto"/>
        <w:bottom w:val="none" w:sz="0" w:space="0" w:color="auto"/>
        <w:right w:val="none" w:sz="0" w:space="0" w:color="auto"/>
      </w:divBdr>
      <w:divsChild>
        <w:div w:id="992298838">
          <w:marLeft w:val="0"/>
          <w:marRight w:val="0"/>
          <w:marTop w:val="0"/>
          <w:marBottom w:val="0"/>
          <w:divBdr>
            <w:top w:val="none" w:sz="0" w:space="0" w:color="auto"/>
            <w:left w:val="none" w:sz="0" w:space="0" w:color="auto"/>
            <w:bottom w:val="none" w:sz="0" w:space="0" w:color="auto"/>
            <w:right w:val="none" w:sz="0" w:space="0" w:color="auto"/>
          </w:divBdr>
        </w:div>
      </w:divsChild>
    </w:div>
    <w:div w:id="1589313638">
      <w:bodyDiv w:val="1"/>
      <w:marLeft w:val="0"/>
      <w:marRight w:val="0"/>
      <w:marTop w:val="0"/>
      <w:marBottom w:val="0"/>
      <w:divBdr>
        <w:top w:val="none" w:sz="0" w:space="0" w:color="auto"/>
        <w:left w:val="none" w:sz="0" w:space="0" w:color="auto"/>
        <w:bottom w:val="none" w:sz="0" w:space="0" w:color="auto"/>
        <w:right w:val="none" w:sz="0" w:space="0" w:color="auto"/>
      </w:divBdr>
    </w:div>
    <w:div w:id="1710837647">
      <w:bodyDiv w:val="1"/>
      <w:marLeft w:val="0"/>
      <w:marRight w:val="0"/>
      <w:marTop w:val="0"/>
      <w:marBottom w:val="0"/>
      <w:divBdr>
        <w:top w:val="none" w:sz="0" w:space="0" w:color="auto"/>
        <w:left w:val="none" w:sz="0" w:space="0" w:color="auto"/>
        <w:bottom w:val="none" w:sz="0" w:space="0" w:color="auto"/>
        <w:right w:val="none" w:sz="0" w:space="0" w:color="auto"/>
      </w:divBdr>
      <w:divsChild>
        <w:div w:id="1803380159">
          <w:marLeft w:val="0"/>
          <w:marRight w:val="0"/>
          <w:marTop w:val="0"/>
          <w:marBottom w:val="0"/>
          <w:divBdr>
            <w:top w:val="none" w:sz="0" w:space="0" w:color="auto"/>
            <w:left w:val="none" w:sz="0" w:space="0" w:color="auto"/>
            <w:bottom w:val="none" w:sz="0" w:space="0" w:color="auto"/>
            <w:right w:val="none" w:sz="0" w:space="0" w:color="auto"/>
          </w:divBdr>
        </w:div>
      </w:divsChild>
    </w:div>
    <w:div w:id="1739860212">
      <w:bodyDiv w:val="1"/>
      <w:marLeft w:val="0"/>
      <w:marRight w:val="0"/>
      <w:marTop w:val="0"/>
      <w:marBottom w:val="0"/>
      <w:divBdr>
        <w:top w:val="none" w:sz="0" w:space="0" w:color="auto"/>
        <w:left w:val="none" w:sz="0" w:space="0" w:color="auto"/>
        <w:bottom w:val="none" w:sz="0" w:space="0" w:color="auto"/>
        <w:right w:val="none" w:sz="0" w:space="0" w:color="auto"/>
      </w:divBdr>
    </w:div>
    <w:div w:id="1917470862">
      <w:bodyDiv w:val="1"/>
      <w:marLeft w:val="0"/>
      <w:marRight w:val="0"/>
      <w:marTop w:val="0"/>
      <w:marBottom w:val="0"/>
      <w:divBdr>
        <w:top w:val="none" w:sz="0" w:space="0" w:color="auto"/>
        <w:left w:val="none" w:sz="0" w:space="0" w:color="auto"/>
        <w:bottom w:val="none" w:sz="0" w:space="0" w:color="auto"/>
        <w:right w:val="none" w:sz="0" w:space="0" w:color="auto"/>
      </w:divBdr>
      <w:divsChild>
        <w:div w:id="1925651447">
          <w:marLeft w:val="0"/>
          <w:marRight w:val="0"/>
          <w:marTop w:val="0"/>
          <w:marBottom w:val="0"/>
          <w:divBdr>
            <w:top w:val="none" w:sz="0" w:space="0" w:color="auto"/>
            <w:left w:val="none" w:sz="0" w:space="0" w:color="auto"/>
            <w:bottom w:val="none" w:sz="0" w:space="0" w:color="auto"/>
            <w:right w:val="none" w:sz="0" w:space="0" w:color="auto"/>
          </w:divBdr>
        </w:div>
      </w:divsChild>
    </w:div>
    <w:div w:id="2088458562">
      <w:bodyDiv w:val="1"/>
      <w:marLeft w:val="0"/>
      <w:marRight w:val="0"/>
      <w:marTop w:val="0"/>
      <w:marBottom w:val="0"/>
      <w:divBdr>
        <w:top w:val="none" w:sz="0" w:space="0" w:color="auto"/>
        <w:left w:val="none" w:sz="0" w:space="0" w:color="auto"/>
        <w:bottom w:val="none" w:sz="0" w:space="0" w:color="auto"/>
        <w:right w:val="none" w:sz="0" w:space="0" w:color="auto"/>
      </w:divBdr>
      <w:divsChild>
        <w:div w:id="1961571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3117</Words>
  <Characters>17459</Characters>
  <Application>Microsoft Office Word</Application>
  <DocSecurity>0</DocSecurity>
  <Lines>272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Thomas (2004841)</dc:creator>
  <cp:keywords/>
  <dc:description/>
  <cp:lastModifiedBy>Sara Thomas (2004841)</cp:lastModifiedBy>
  <cp:revision>3</cp:revision>
  <dcterms:created xsi:type="dcterms:W3CDTF">2024-03-05T16:40:00Z</dcterms:created>
  <dcterms:modified xsi:type="dcterms:W3CDTF">2024-03-05T16:44:00Z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97358bc7-6735-4c91-bdb2-06f4eb0d60a2</vt:lpwstr>
  </property>
</Properties>
</file>