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112657" w:rsidRDefault="009B7239" w:rsidP="00112657">
      <w:pPr>
        <w:jc w:val="center"/>
        <w:rPr>
          <w:rFonts w:ascii="Times New Roman" w:hAnsi="Times New Roman" w:cs="Times New Roman"/>
          <w:b/>
          <w:sz w:val="28"/>
          <w:szCs w:val="28"/>
          <w:u w:val="single"/>
        </w:rPr>
      </w:pPr>
      <w:r w:rsidRPr="009B7239">
        <w:rPr>
          <w:rFonts w:ascii="Times New Roman" w:hAnsi="Times New Roman" w:cs="Times New Roman"/>
          <w:b/>
          <w:sz w:val="28"/>
          <w:szCs w:val="28"/>
          <w:u w:val="single"/>
        </w:rPr>
        <w:t>To what extent do ‘revenant burials’ indicate a fear of the dead returning?</w:t>
      </w:r>
    </w:p>
    <w:p w:rsidR="00A609FA" w:rsidRDefault="009A1976" w:rsidP="00A67EFD">
      <w:pPr>
        <w:jc w:val="center"/>
        <w:rPr>
          <w:rFonts w:ascii="Times New Roman" w:hAnsi="Times New Roman" w:cs="Times New Roman"/>
          <w:sz w:val="24"/>
          <w:szCs w:val="24"/>
        </w:rPr>
      </w:pPr>
      <w:r>
        <w:rPr>
          <w:rFonts w:ascii="Times New Roman" w:hAnsi="Times New Roman" w:cs="Times New Roman"/>
          <w:sz w:val="24"/>
          <w:szCs w:val="24"/>
        </w:rPr>
        <w:t>Throughout history in many cultures across the world, there seems to be fear of the dead.</w:t>
      </w:r>
      <w:r w:rsidR="006F6B4A">
        <w:rPr>
          <w:rFonts w:ascii="Times New Roman" w:hAnsi="Times New Roman" w:cs="Times New Roman"/>
          <w:sz w:val="24"/>
          <w:szCs w:val="24"/>
        </w:rPr>
        <w:t xml:space="preserve"> Therefore, it is unsurprising that this fear stretches as far back as into the ancient world.</w:t>
      </w:r>
      <w:r w:rsidR="00466341">
        <w:rPr>
          <w:rFonts w:ascii="Times New Roman" w:hAnsi="Times New Roman" w:cs="Times New Roman"/>
          <w:sz w:val="24"/>
          <w:szCs w:val="24"/>
        </w:rPr>
        <w:t xml:space="preserve"> It is clear by the writings by ancient authors that the Greeks believed, that it was possible for the dead to walk the earth again. Sometimes scholars refer to the dead in ancient texts as ‘embodied or solid ghosts’ as these types of supernatural creatures had a solid physical form, they are more commonly referred to as revenants</w:t>
      </w:r>
      <w:r w:rsidR="00466341">
        <w:rPr>
          <w:rStyle w:val="FootnoteReference"/>
          <w:rFonts w:ascii="Times New Roman" w:hAnsi="Times New Roman" w:cs="Times New Roman"/>
          <w:sz w:val="24"/>
          <w:szCs w:val="24"/>
        </w:rPr>
        <w:footnoteReference w:id="1"/>
      </w:r>
      <w:r w:rsidR="00E90783">
        <w:rPr>
          <w:rFonts w:ascii="Times New Roman" w:hAnsi="Times New Roman" w:cs="Times New Roman"/>
          <w:sz w:val="24"/>
          <w:szCs w:val="24"/>
        </w:rPr>
        <w:t>. It is important to make the distinction between a ghost and a revenant</w:t>
      </w:r>
      <w:r w:rsidR="00012C55">
        <w:rPr>
          <w:rFonts w:ascii="Times New Roman" w:hAnsi="Times New Roman" w:cs="Times New Roman"/>
          <w:sz w:val="24"/>
          <w:szCs w:val="24"/>
        </w:rPr>
        <w:t>. A ghost is the ‘spirit’ or the ‘soul’ of a person returning after death. Whereas, as revenant is the actual physical return of a person</w:t>
      </w:r>
      <w:r w:rsidR="00BD757C">
        <w:rPr>
          <w:rFonts w:ascii="Times New Roman" w:hAnsi="Times New Roman" w:cs="Times New Roman"/>
          <w:sz w:val="24"/>
          <w:szCs w:val="24"/>
        </w:rPr>
        <w:t xml:space="preserve"> (although this person may not return as the person they were before death)</w:t>
      </w:r>
      <w:r w:rsidR="00A609FA">
        <w:rPr>
          <w:rFonts w:ascii="Times New Roman" w:hAnsi="Times New Roman" w:cs="Times New Roman"/>
          <w:sz w:val="24"/>
          <w:szCs w:val="24"/>
        </w:rPr>
        <w:t>.</w:t>
      </w:r>
    </w:p>
    <w:p w:rsidR="000B68D8" w:rsidRDefault="00475556" w:rsidP="00A67EFD">
      <w:pPr>
        <w:jc w:val="center"/>
        <w:rPr>
          <w:rFonts w:ascii="Times New Roman" w:hAnsi="Times New Roman" w:cs="Times New Roman"/>
          <w:sz w:val="24"/>
          <w:szCs w:val="24"/>
        </w:rPr>
      </w:pPr>
      <w:r>
        <w:rPr>
          <w:rFonts w:ascii="Times New Roman" w:hAnsi="Times New Roman" w:cs="Times New Roman"/>
          <w:sz w:val="24"/>
          <w:szCs w:val="24"/>
        </w:rPr>
        <w:t xml:space="preserve">The Roman </w:t>
      </w:r>
      <w:r w:rsidR="00DE1255">
        <w:rPr>
          <w:rFonts w:ascii="Times New Roman" w:hAnsi="Times New Roman" w:cs="Times New Roman"/>
          <w:sz w:val="24"/>
          <w:szCs w:val="24"/>
        </w:rPr>
        <w:t xml:space="preserve">author Pliny the Elder (23-79 AD) makes a few references to revenants in his </w:t>
      </w:r>
      <w:r w:rsidR="00DE1255">
        <w:rPr>
          <w:rFonts w:ascii="Times New Roman" w:hAnsi="Times New Roman" w:cs="Times New Roman"/>
          <w:i/>
          <w:sz w:val="24"/>
          <w:szCs w:val="24"/>
        </w:rPr>
        <w:t xml:space="preserve">Natural History </w:t>
      </w:r>
      <w:r w:rsidR="00DE1255">
        <w:rPr>
          <w:rFonts w:ascii="Times New Roman" w:hAnsi="Times New Roman" w:cs="Times New Roman"/>
          <w:sz w:val="24"/>
          <w:szCs w:val="24"/>
        </w:rPr>
        <w:t>7.52:</w:t>
      </w:r>
    </w:p>
    <w:p w:rsidR="00DE1255" w:rsidRDefault="00DE1255" w:rsidP="00D72BBE">
      <w:pPr>
        <w:jc w:val="center"/>
        <w:rPr>
          <w:rFonts w:ascii="Times New Roman" w:hAnsi="Times New Roman" w:cs="Times New Roman"/>
          <w:i/>
          <w:sz w:val="24"/>
          <w:szCs w:val="24"/>
        </w:rPr>
      </w:pPr>
      <w:r>
        <w:rPr>
          <w:rFonts w:ascii="Times New Roman" w:hAnsi="Times New Roman" w:cs="Times New Roman"/>
          <w:i/>
          <w:sz w:val="24"/>
          <w:szCs w:val="24"/>
        </w:rPr>
        <w:t>‘In the Sicilian War, Gabienus, the bravest of all Caesar’s naval commanders, was taken</w:t>
      </w:r>
      <w:r w:rsidR="009C7B12">
        <w:rPr>
          <w:rFonts w:ascii="Times New Roman" w:hAnsi="Times New Roman" w:cs="Times New Roman"/>
          <w:i/>
          <w:sz w:val="24"/>
          <w:szCs w:val="24"/>
        </w:rPr>
        <w:t xml:space="preserve"> prisoner by Sextus Pom</w:t>
      </w:r>
      <w:r w:rsidR="005B662E">
        <w:rPr>
          <w:rFonts w:ascii="Times New Roman" w:hAnsi="Times New Roman" w:cs="Times New Roman"/>
          <w:i/>
          <w:sz w:val="24"/>
          <w:szCs w:val="24"/>
        </w:rPr>
        <w:t>p</w:t>
      </w:r>
      <w:r w:rsidR="009C7B12">
        <w:rPr>
          <w:rFonts w:ascii="Times New Roman" w:hAnsi="Times New Roman" w:cs="Times New Roman"/>
          <w:i/>
          <w:sz w:val="24"/>
          <w:szCs w:val="24"/>
        </w:rPr>
        <w:t>eius, who ordered his throat to be cut; after which, his head almost severed from his body, he lay the whole of the day upon the sea shore</w:t>
      </w:r>
      <w:r w:rsidR="005B662E">
        <w:rPr>
          <w:rFonts w:ascii="Times New Roman" w:hAnsi="Times New Roman" w:cs="Times New Roman"/>
          <w:i/>
          <w:sz w:val="24"/>
          <w:szCs w:val="24"/>
        </w:rPr>
        <w:t xml:space="preserve">. Towards the evening, with groans and entreaties, he begged the crowds of people who assembled, that they would prevail upon Pompeius </w:t>
      </w:r>
      <w:r w:rsidR="000F54DF">
        <w:rPr>
          <w:rFonts w:ascii="Times New Roman" w:hAnsi="Times New Roman" w:cs="Times New Roman"/>
          <w:i/>
          <w:sz w:val="24"/>
          <w:szCs w:val="24"/>
        </w:rPr>
        <w:t>to come to him…he had returned from the shades below, and had some important news to communicate</w:t>
      </w:r>
      <w:proofErr w:type="gramStart"/>
      <w:r w:rsidR="000F54DF">
        <w:rPr>
          <w:rFonts w:ascii="Times New Roman" w:hAnsi="Times New Roman" w:cs="Times New Roman"/>
          <w:i/>
          <w:sz w:val="24"/>
          <w:szCs w:val="24"/>
        </w:rPr>
        <w:t>…</w:t>
      </w:r>
      <w:r w:rsidR="000F54DF" w:rsidRPr="006C3FBB">
        <w:rPr>
          <w:rFonts w:ascii="Times New Roman" w:hAnsi="Times New Roman" w:cs="Times New Roman"/>
          <w:sz w:val="24"/>
          <w:szCs w:val="24"/>
        </w:rPr>
        <w:t>(</w:t>
      </w:r>
      <w:proofErr w:type="gramEnd"/>
      <w:r w:rsidR="000F54DF" w:rsidRPr="006C3FBB">
        <w:rPr>
          <w:rFonts w:ascii="Times New Roman" w:hAnsi="Times New Roman" w:cs="Times New Roman"/>
          <w:sz w:val="24"/>
          <w:szCs w:val="24"/>
        </w:rPr>
        <w:t xml:space="preserve">upon sharing his news) </w:t>
      </w:r>
      <w:r w:rsidR="000F54DF">
        <w:rPr>
          <w:rFonts w:ascii="Times New Roman" w:hAnsi="Times New Roman" w:cs="Times New Roman"/>
          <w:i/>
          <w:sz w:val="24"/>
          <w:szCs w:val="24"/>
        </w:rPr>
        <w:t>he himself should expire the very moment he had fulfilled his commission; and his death actually did take place’</w:t>
      </w:r>
      <w:r w:rsidR="00462FF3">
        <w:rPr>
          <w:rStyle w:val="FootnoteReference"/>
          <w:rFonts w:ascii="Times New Roman" w:hAnsi="Times New Roman" w:cs="Times New Roman"/>
          <w:i/>
          <w:sz w:val="24"/>
          <w:szCs w:val="24"/>
        </w:rPr>
        <w:footnoteReference w:id="2"/>
      </w:r>
    </w:p>
    <w:p w:rsidR="000F54DF" w:rsidRDefault="006C3FBB" w:rsidP="00A67EFD">
      <w:pPr>
        <w:jc w:val="center"/>
        <w:rPr>
          <w:rFonts w:ascii="Times New Roman" w:hAnsi="Times New Roman" w:cs="Times New Roman"/>
          <w:sz w:val="24"/>
          <w:szCs w:val="24"/>
        </w:rPr>
      </w:pPr>
      <w:r>
        <w:rPr>
          <w:rFonts w:ascii="Times New Roman" w:hAnsi="Times New Roman" w:cs="Times New Roman"/>
          <w:sz w:val="24"/>
          <w:szCs w:val="24"/>
        </w:rPr>
        <w:t xml:space="preserve">In this instance it is apparent that Gabienus, has returned temporarily from the dead as a revenant to pass on important information which was not privy to him in the land of the living. </w:t>
      </w:r>
      <w:r w:rsidR="00BF316B">
        <w:rPr>
          <w:rFonts w:ascii="Times New Roman" w:hAnsi="Times New Roman" w:cs="Times New Roman"/>
          <w:sz w:val="24"/>
          <w:szCs w:val="24"/>
        </w:rPr>
        <w:t xml:space="preserve">If we were to just taker this as an example it would be difficult for anyone to understand why the people of the ancient world appeared to fear the dead returning. </w:t>
      </w:r>
      <w:r w:rsidR="004F4EFE">
        <w:rPr>
          <w:rFonts w:ascii="Times New Roman" w:hAnsi="Times New Roman" w:cs="Times New Roman"/>
          <w:sz w:val="24"/>
          <w:szCs w:val="24"/>
        </w:rPr>
        <w:t>Therefore, it is important to look at the more terrifying aspect of revenants.</w:t>
      </w:r>
    </w:p>
    <w:p w:rsidR="004F4EFE" w:rsidRDefault="004F4EFE" w:rsidP="00A67EFD">
      <w:pPr>
        <w:jc w:val="center"/>
        <w:rPr>
          <w:rFonts w:ascii="Times New Roman" w:hAnsi="Times New Roman" w:cs="Times New Roman"/>
          <w:b/>
          <w:sz w:val="24"/>
          <w:szCs w:val="24"/>
        </w:rPr>
      </w:pPr>
      <w:r>
        <w:rPr>
          <w:rFonts w:ascii="Times New Roman" w:hAnsi="Times New Roman" w:cs="Times New Roman"/>
          <w:b/>
          <w:sz w:val="24"/>
          <w:szCs w:val="24"/>
        </w:rPr>
        <w:t>Ancient Vampires:</w:t>
      </w:r>
    </w:p>
    <w:p w:rsidR="004F4EFE" w:rsidRDefault="00D131A0" w:rsidP="00A67EFD">
      <w:pPr>
        <w:jc w:val="center"/>
        <w:rPr>
          <w:rFonts w:ascii="Times New Roman" w:hAnsi="Times New Roman" w:cs="Times New Roman"/>
          <w:sz w:val="24"/>
          <w:szCs w:val="24"/>
        </w:rPr>
      </w:pPr>
      <w:r>
        <w:rPr>
          <w:rFonts w:ascii="Times New Roman" w:hAnsi="Times New Roman" w:cs="Times New Roman"/>
          <w:sz w:val="24"/>
          <w:szCs w:val="24"/>
        </w:rPr>
        <w:t xml:space="preserve">It </w:t>
      </w:r>
      <w:r w:rsidR="0009192C">
        <w:rPr>
          <w:rFonts w:ascii="Times New Roman" w:hAnsi="Times New Roman" w:cs="Times New Roman"/>
          <w:sz w:val="24"/>
          <w:szCs w:val="24"/>
        </w:rPr>
        <w:t xml:space="preserve">does not seem too much of a stretch to associate some of the creatures described in ancient writing as vampires. As we are all </w:t>
      </w:r>
      <w:proofErr w:type="gramStart"/>
      <w:r w:rsidR="0009192C">
        <w:rPr>
          <w:rFonts w:ascii="Times New Roman" w:hAnsi="Times New Roman" w:cs="Times New Roman"/>
          <w:sz w:val="24"/>
          <w:szCs w:val="24"/>
        </w:rPr>
        <w:t>well aware</w:t>
      </w:r>
      <w:proofErr w:type="gramEnd"/>
      <w:r w:rsidR="0009192C">
        <w:rPr>
          <w:rFonts w:ascii="Times New Roman" w:hAnsi="Times New Roman" w:cs="Times New Roman"/>
          <w:sz w:val="24"/>
          <w:szCs w:val="24"/>
        </w:rPr>
        <w:t xml:space="preserve"> of the </w:t>
      </w:r>
      <w:r w:rsidR="00AE069C">
        <w:rPr>
          <w:rFonts w:ascii="Times New Roman" w:hAnsi="Times New Roman" w:cs="Times New Roman"/>
          <w:sz w:val="24"/>
          <w:szCs w:val="24"/>
        </w:rPr>
        <w:t>modern interpretation of vampires, it cannot help but remind us of some of the creatures in ancient literature. In the modern-day vampires are depicted as nocturnal creatures, that have returned from the dead to feed upon the blood of the living.</w:t>
      </w:r>
      <w:r w:rsidR="001B0004">
        <w:rPr>
          <w:rFonts w:ascii="Times New Roman" w:hAnsi="Times New Roman" w:cs="Times New Roman"/>
          <w:sz w:val="24"/>
          <w:szCs w:val="24"/>
        </w:rPr>
        <w:t xml:space="preserve"> It is difficult to directly translate the word vampire from ancient </w:t>
      </w:r>
      <w:proofErr w:type="gramStart"/>
      <w:r w:rsidR="001B0004">
        <w:rPr>
          <w:rFonts w:ascii="Times New Roman" w:hAnsi="Times New Roman" w:cs="Times New Roman"/>
          <w:sz w:val="24"/>
          <w:szCs w:val="24"/>
        </w:rPr>
        <w:t>texts,</w:t>
      </w:r>
      <w:proofErr w:type="gramEnd"/>
      <w:r w:rsidR="001B0004">
        <w:rPr>
          <w:rFonts w:ascii="Times New Roman" w:hAnsi="Times New Roman" w:cs="Times New Roman"/>
          <w:sz w:val="24"/>
          <w:szCs w:val="24"/>
        </w:rPr>
        <w:t xml:space="preserve"> however, it is generally accepted that the words </w:t>
      </w:r>
      <w:proofErr w:type="spellStart"/>
      <w:r w:rsidR="001B0004">
        <w:rPr>
          <w:rFonts w:ascii="Times New Roman" w:hAnsi="Times New Roman" w:cs="Times New Roman"/>
          <w:i/>
          <w:sz w:val="24"/>
          <w:szCs w:val="24"/>
        </w:rPr>
        <w:t>empusa</w:t>
      </w:r>
      <w:proofErr w:type="spellEnd"/>
      <w:r w:rsidR="001B0004">
        <w:rPr>
          <w:rFonts w:ascii="Times New Roman" w:hAnsi="Times New Roman" w:cs="Times New Roman"/>
          <w:i/>
          <w:sz w:val="24"/>
          <w:szCs w:val="24"/>
        </w:rPr>
        <w:t xml:space="preserve"> </w:t>
      </w:r>
      <w:r w:rsidR="001B0004">
        <w:rPr>
          <w:rFonts w:ascii="Times New Roman" w:hAnsi="Times New Roman" w:cs="Times New Roman"/>
          <w:sz w:val="24"/>
          <w:szCs w:val="24"/>
        </w:rPr>
        <w:t xml:space="preserve">and </w:t>
      </w:r>
      <w:proofErr w:type="spellStart"/>
      <w:r w:rsidR="001B0004">
        <w:rPr>
          <w:rFonts w:ascii="Times New Roman" w:hAnsi="Times New Roman" w:cs="Times New Roman"/>
          <w:i/>
          <w:sz w:val="24"/>
          <w:szCs w:val="24"/>
        </w:rPr>
        <w:t>lamia</w:t>
      </w:r>
      <w:proofErr w:type="spellEnd"/>
      <w:r w:rsidR="001B0004">
        <w:rPr>
          <w:rFonts w:ascii="Times New Roman" w:hAnsi="Times New Roman" w:cs="Times New Roman"/>
          <w:i/>
          <w:sz w:val="24"/>
          <w:szCs w:val="24"/>
        </w:rPr>
        <w:t xml:space="preserve"> </w:t>
      </w:r>
      <w:r w:rsidR="001B0004">
        <w:rPr>
          <w:rFonts w:ascii="Times New Roman" w:hAnsi="Times New Roman" w:cs="Times New Roman"/>
          <w:sz w:val="24"/>
          <w:szCs w:val="24"/>
        </w:rPr>
        <w:t xml:space="preserve">to mean vampire. An </w:t>
      </w:r>
      <w:proofErr w:type="spellStart"/>
      <w:proofErr w:type="gramStart"/>
      <w:r w:rsidR="001B0004">
        <w:rPr>
          <w:rFonts w:ascii="Times New Roman" w:hAnsi="Times New Roman" w:cs="Times New Roman"/>
          <w:i/>
          <w:sz w:val="24"/>
          <w:szCs w:val="24"/>
        </w:rPr>
        <w:t>empusa</w:t>
      </w:r>
      <w:proofErr w:type="spellEnd"/>
      <w:r w:rsidR="001B0004">
        <w:rPr>
          <w:rFonts w:ascii="Times New Roman" w:hAnsi="Times New Roman" w:cs="Times New Roman"/>
          <w:i/>
          <w:sz w:val="24"/>
          <w:szCs w:val="24"/>
        </w:rPr>
        <w:t xml:space="preserve"> </w:t>
      </w:r>
      <w:r w:rsidR="001B0004">
        <w:rPr>
          <w:rFonts w:ascii="Times New Roman" w:hAnsi="Times New Roman" w:cs="Times New Roman"/>
          <w:sz w:val="24"/>
          <w:szCs w:val="24"/>
        </w:rPr>
        <w:t xml:space="preserve"> is</w:t>
      </w:r>
      <w:proofErr w:type="gramEnd"/>
      <w:r w:rsidR="001B0004">
        <w:rPr>
          <w:rFonts w:ascii="Times New Roman" w:hAnsi="Times New Roman" w:cs="Times New Roman"/>
          <w:sz w:val="24"/>
          <w:szCs w:val="24"/>
        </w:rPr>
        <w:t xml:space="preserve"> a shape-shifting creature often associated with </w:t>
      </w:r>
      <w:proofErr w:type="spellStart"/>
      <w:r w:rsidR="001B0004">
        <w:rPr>
          <w:rFonts w:ascii="Times New Roman" w:hAnsi="Times New Roman" w:cs="Times New Roman"/>
          <w:sz w:val="24"/>
          <w:szCs w:val="24"/>
        </w:rPr>
        <w:t>Hekate</w:t>
      </w:r>
      <w:proofErr w:type="spellEnd"/>
      <w:r w:rsidR="001B0004">
        <w:rPr>
          <w:rFonts w:ascii="Times New Roman" w:hAnsi="Times New Roman" w:cs="Times New Roman"/>
          <w:sz w:val="24"/>
          <w:szCs w:val="24"/>
        </w:rPr>
        <w:t xml:space="preserve">, and a </w:t>
      </w:r>
      <w:proofErr w:type="spellStart"/>
      <w:r w:rsidR="001B0004">
        <w:rPr>
          <w:rFonts w:ascii="Times New Roman" w:hAnsi="Times New Roman" w:cs="Times New Roman"/>
          <w:i/>
          <w:sz w:val="24"/>
          <w:szCs w:val="24"/>
        </w:rPr>
        <w:t>lamia</w:t>
      </w:r>
      <w:proofErr w:type="spellEnd"/>
      <w:r w:rsidR="001B0004">
        <w:rPr>
          <w:rFonts w:ascii="Times New Roman" w:hAnsi="Times New Roman" w:cs="Times New Roman"/>
          <w:i/>
          <w:sz w:val="24"/>
          <w:szCs w:val="24"/>
        </w:rPr>
        <w:t xml:space="preserve"> </w:t>
      </w:r>
      <w:r w:rsidR="001B0004">
        <w:rPr>
          <w:rFonts w:ascii="Times New Roman" w:hAnsi="Times New Roman" w:cs="Times New Roman"/>
          <w:sz w:val="24"/>
          <w:szCs w:val="24"/>
        </w:rPr>
        <w:t xml:space="preserve">is a creature which is known for the consumption of humans, the stealing of children. </w:t>
      </w:r>
    </w:p>
    <w:p w:rsidR="00D72BBE" w:rsidRDefault="001B0004" w:rsidP="00035453">
      <w:pPr>
        <w:jc w:val="center"/>
        <w:rPr>
          <w:rFonts w:ascii="Times New Roman" w:hAnsi="Times New Roman" w:cs="Times New Roman"/>
          <w:sz w:val="24"/>
          <w:szCs w:val="24"/>
        </w:rPr>
      </w:pPr>
      <w:r>
        <w:rPr>
          <w:rFonts w:ascii="Times New Roman" w:hAnsi="Times New Roman" w:cs="Times New Roman"/>
          <w:sz w:val="24"/>
          <w:szCs w:val="24"/>
        </w:rPr>
        <w:t xml:space="preserve">An example of a potential vampire in an ancient text is in that of </w:t>
      </w:r>
      <w:r>
        <w:rPr>
          <w:rFonts w:ascii="Times New Roman" w:hAnsi="Times New Roman" w:cs="Times New Roman"/>
          <w:i/>
          <w:sz w:val="24"/>
          <w:szCs w:val="24"/>
        </w:rPr>
        <w:t xml:space="preserve">Life of Apollonius 4.25. </w:t>
      </w:r>
      <w:r>
        <w:rPr>
          <w:rFonts w:ascii="Times New Roman" w:hAnsi="Times New Roman" w:cs="Times New Roman"/>
          <w:sz w:val="24"/>
          <w:szCs w:val="24"/>
        </w:rPr>
        <w:t xml:space="preserve">Within it we find a tale about a female monster with supernatural powers and lusts after human blood. In this text she is called an </w:t>
      </w:r>
      <w:proofErr w:type="spellStart"/>
      <w:r>
        <w:rPr>
          <w:rFonts w:ascii="Times New Roman" w:hAnsi="Times New Roman" w:cs="Times New Roman"/>
          <w:i/>
          <w:sz w:val="24"/>
          <w:szCs w:val="24"/>
        </w:rPr>
        <w:t>empusa</w:t>
      </w:r>
      <w:proofErr w:type="spellEnd"/>
      <w:r>
        <w:rPr>
          <w:rFonts w:ascii="Times New Roman" w:hAnsi="Times New Roman" w:cs="Times New Roman"/>
          <w:i/>
          <w:sz w:val="24"/>
          <w:szCs w:val="24"/>
        </w:rPr>
        <w:t xml:space="preserve"> </w:t>
      </w:r>
      <w:r w:rsidR="00344343">
        <w:rPr>
          <w:rFonts w:ascii="Times New Roman" w:hAnsi="Times New Roman" w:cs="Times New Roman"/>
          <w:sz w:val="24"/>
          <w:szCs w:val="24"/>
        </w:rPr>
        <w:t xml:space="preserve">and an </w:t>
      </w:r>
      <w:proofErr w:type="spellStart"/>
      <w:r w:rsidR="00344343">
        <w:rPr>
          <w:rFonts w:ascii="Times New Roman" w:hAnsi="Times New Roman" w:cs="Times New Roman"/>
          <w:i/>
          <w:sz w:val="24"/>
          <w:szCs w:val="24"/>
        </w:rPr>
        <w:t>lamia</w:t>
      </w:r>
      <w:proofErr w:type="spellEnd"/>
      <w:r w:rsidR="00344343">
        <w:rPr>
          <w:rStyle w:val="FootnoteReference"/>
          <w:rFonts w:ascii="Times New Roman" w:hAnsi="Times New Roman" w:cs="Times New Roman"/>
          <w:i/>
          <w:sz w:val="24"/>
          <w:szCs w:val="24"/>
        </w:rPr>
        <w:footnoteReference w:id="3"/>
      </w:r>
      <w:r w:rsidR="00344343">
        <w:rPr>
          <w:rFonts w:ascii="Times New Roman" w:hAnsi="Times New Roman" w:cs="Times New Roman"/>
          <w:i/>
          <w:sz w:val="24"/>
          <w:szCs w:val="24"/>
        </w:rPr>
        <w:t xml:space="preserve">. </w:t>
      </w:r>
      <w:r w:rsidR="00344343">
        <w:rPr>
          <w:rFonts w:ascii="Times New Roman" w:hAnsi="Times New Roman" w:cs="Times New Roman"/>
          <w:sz w:val="24"/>
          <w:szCs w:val="24"/>
        </w:rPr>
        <w:t xml:space="preserve">Paul Murgatroyd suggests that the story is not meant just to frighten the audience, but is to represent this creature as a </w:t>
      </w:r>
      <w:proofErr w:type="spellStart"/>
      <w:r w:rsidR="00344343">
        <w:rPr>
          <w:rFonts w:ascii="Times New Roman" w:hAnsi="Times New Roman" w:cs="Times New Roman"/>
          <w:sz w:val="24"/>
          <w:szCs w:val="24"/>
        </w:rPr>
        <w:t>relity</w:t>
      </w:r>
      <w:proofErr w:type="spellEnd"/>
      <w:r w:rsidR="00344343">
        <w:rPr>
          <w:rFonts w:ascii="Times New Roman" w:hAnsi="Times New Roman" w:cs="Times New Roman"/>
          <w:sz w:val="24"/>
          <w:szCs w:val="24"/>
        </w:rPr>
        <w:t xml:space="preserve">, as it was the historical figure of Apollonius, who </w:t>
      </w:r>
      <w:r w:rsidR="00106838">
        <w:rPr>
          <w:rFonts w:ascii="Times New Roman" w:hAnsi="Times New Roman" w:cs="Times New Roman"/>
          <w:sz w:val="24"/>
          <w:szCs w:val="24"/>
        </w:rPr>
        <w:t>thwarted</w:t>
      </w:r>
      <w:r w:rsidR="00344343">
        <w:rPr>
          <w:rFonts w:ascii="Times New Roman" w:hAnsi="Times New Roman" w:cs="Times New Roman"/>
          <w:sz w:val="24"/>
          <w:szCs w:val="24"/>
        </w:rPr>
        <w:t xml:space="preserve"> the creature and saved the </w:t>
      </w:r>
      <w:r w:rsidR="00344343">
        <w:rPr>
          <w:rFonts w:ascii="Times New Roman" w:hAnsi="Times New Roman" w:cs="Times New Roman"/>
          <w:sz w:val="24"/>
          <w:szCs w:val="24"/>
        </w:rPr>
        <w:lastRenderedPageBreak/>
        <w:t>young man on whom she was preying upon</w:t>
      </w:r>
      <w:r w:rsidR="00344343">
        <w:rPr>
          <w:rStyle w:val="FootnoteReference"/>
          <w:rFonts w:ascii="Times New Roman" w:hAnsi="Times New Roman" w:cs="Times New Roman"/>
          <w:sz w:val="24"/>
          <w:szCs w:val="24"/>
        </w:rPr>
        <w:footnoteReference w:id="4"/>
      </w:r>
      <w:r w:rsidR="00106838">
        <w:rPr>
          <w:rFonts w:ascii="Times New Roman" w:hAnsi="Times New Roman" w:cs="Times New Roman"/>
          <w:sz w:val="24"/>
          <w:szCs w:val="24"/>
        </w:rPr>
        <w:t>.</w:t>
      </w:r>
      <w:r w:rsidR="00035453">
        <w:rPr>
          <w:rFonts w:ascii="Times New Roman" w:hAnsi="Times New Roman" w:cs="Times New Roman"/>
          <w:sz w:val="24"/>
          <w:szCs w:val="24"/>
        </w:rPr>
        <w:t xml:space="preserve"> This story leads on to believe that the people of the ancient world indeed saw these supernatural creatures as a true threat to them and their loved ones. </w:t>
      </w:r>
      <w:proofErr w:type="gramStart"/>
      <w:r w:rsidR="00035453">
        <w:rPr>
          <w:rFonts w:ascii="Times New Roman" w:hAnsi="Times New Roman" w:cs="Times New Roman"/>
          <w:sz w:val="24"/>
          <w:szCs w:val="24"/>
        </w:rPr>
        <w:t>So</w:t>
      </w:r>
      <w:proofErr w:type="gramEnd"/>
      <w:r w:rsidR="00035453">
        <w:rPr>
          <w:rFonts w:ascii="Times New Roman" w:hAnsi="Times New Roman" w:cs="Times New Roman"/>
          <w:sz w:val="24"/>
          <w:szCs w:val="24"/>
        </w:rPr>
        <w:t xml:space="preserve"> in turn would take an action necessary to protect themselves.</w:t>
      </w:r>
      <w:r w:rsidR="00035453">
        <w:rPr>
          <w:rFonts w:ascii="Times New Roman" w:hAnsi="Times New Roman" w:cs="Times New Roman"/>
          <w:sz w:val="24"/>
          <w:szCs w:val="24"/>
        </w:rPr>
        <w:br/>
      </w:r>
    </w:p>
    <w:p w:rsidR="00D72BBE" w:rsidRDefault="00D72BBE" w:rsidP="00A67EFD">
      <w:pPr>
        <w:jc w:val="center"/>
        <w:rPr>
          <w:rFonts w:ascii="Times New Roman" w:hAnsi="Times New Roman" w:cs="Times New Roman"/>
          <w:b/>
          <w:sz w:val="24"/>
          <w:szCs w:val="24"/>
        </w:rPr>
      </w:pPr>
      <w:r>
        <w:rPr>
          <w:rFonts w:ascii="Times New Roman" w:hAnsi="Times New Roman" w:cs="Times New Roman"/>
          <w:b/>
          <w:sz w:val="24"/>
          <w:szCs w:val="24"/>
        </w:rPr>
        <w:t>Science of the ‘living-dead’</w:t>
      </w:r>
      <w:r w:rsidR="00AE069C">
        <w:rPr>
          <w:rFonts w:ascii="Times New Roman" w:hAnsi="Times New Roman" w:cs="Times New Roman"/>
          <w:b/>
          <w:sz w:val="24"/>
          <w:szCs w:val="24"/>
        </w:rPr>
        <w:t xml:space="preserve">: </w:t>
      </w:r>
    </w:p>
    <w:p w:rsidR="00B86E94" w:rsidRDefault="00396EAA" w:rsidP="00A67EFD">
      <w:pPr>
        <w:jc w:val="center"/>
        <w:rPr>
          <w:rFonts w:ascii="Times New Roman" w:hAnsi="Times New Roman" w:cs="Times New Roman"/>
          <w:sz w:val="24"/>
          <w:szCs w:val="24"/>
        </w:rPr>
      </w:pPr>
      <w:r>
        <w:rPr>
          <w:rFonts w:ascii="Times New Roman" w:hAnsi="Times New Roman" w:cs="Times New Roman"/>
          <w:sz w:val="24"/>
          <w:szCs w:val="24"/>
        </w:rPr>
        <w:t xml:space="preserve">The idea of the dead coming back to life is engrained in myth and legend. However, there is some scientific basis for some of the phenomena that has previously caused people to believe so. Carrie </w:t>
      </w:r>
      <w:proofErr w:type="spellStart"/>
      <w:r>
        <w:rPr>
          <w:rFonts w:ascii="Times New Roman" w:hAnsi="Times New Roman" w:cs="Times New Roman"/>
          <w:sz w:val="24"/>
          <w:szCs w:val="24"/>
        </w:rPr>
        <w:t>Sulosky</w:t>
      </w:r>
      <w:proofErr w:type="spellEnd"/>
      <w:r>
        <w:rPr>
          <w:rFonts w:ascii="Times New Roman" w:hAnsi="Times New Roman" w:cs="Times New Roman"/>
          <w:sz w:val="24"/>
          <w:szCs w:val="24"/>
        </w:rPr>
        <w:t xml:space="preserve"> Weaver does an excellent job in explaining these phenomena:</w:t>
      </w:r>
    </w:p>
    <w:p w:rsidR="00B86E94" w:rsidRDefault="00B86E94" w:rsidP="00B86E94">
      <w:pPr>
        <w:jc w:val="center"/>
        <w:rPr>
          <w:rFonts w:ascii="Times New Roman" w:hAnsi="Times New Roman" w:cs="Times New Roman"/>
          <w:i/>
          <w:sz w:val="24"/>
          <w:szCs w:val="24"/>
        </w:rPr>
      </w:pPr>
      <w:r w:rsidRPr="00B86E94">
        <w:rPr>
          <w:rFonts w:ascii="Times New Roman" w:hAnsi="Times New Roman" w:cs="Times New Roman"/>
          <w:i/>
          <w:sz w:val="24"/>
          <w:szCs w:val="24"/>
        </w:rPr>
        <w:t>“…revenants as having either ruddy or dark completions, swollen and bloated bodies</w:t>
      </w:r>
      <w:r>
        <w:rPr>
          <w:rFonts w:ascii="Times New Roman" w:hAnsi="Times New Roman" w:cs="Times New Roman"/>
          <w:i/>
          <w:sz w:val="24"/>
          <w:szCs w:val="24"/>
        </w:rPr>
        <w:t>; flexible limbs without a trace of rigor mortis, an ‘evil’ smell, open and mouths and blood around the lips, nose, eyes and ears. The traditional vampire, a special class of blood sucking revenant…all revenants also seem uncannily ‘alive’ as they tend to have warm skin, fingernails and hair continue to grow, and are often found in positions markedly different from those in which they were buried.’</w:t>
      </w:r>
      <w:r>
        <w:rPr>
          <w:rStyle w:val="FootnoteReference"/>
          <w:rFonts w:ascii="Times New Roman" w:hAnsi="Times New Roman" w:cs="Times New Roman"/>
          <w:i/>
          <w:sz w:val="24"/>
          <w:szCs w:val="24"/>
        </w:rPr>
        <w:footnoteReference w:id="5"/>
      </w:r>
    </w:p>
    <w:p w:rsidR="00C14B8F" w:rsidRPr="00C21EFA" w:rsidRDefault="00C14B8F" w:rsidP="00B86E94">
      <w:pPr>
        <w:jc w:val="center"/>
        <w:rPr>
          <w:rFonts w:ascii="Times New Roman" w:hAnsi="Times New Roman" w:cs="Times New Roman"/>
          <w:sz w:val="24"/>
          <w:szCs w:val="24"/>
        </w:rPr>
      </w:pPr>
      <w:r>
        <w:rPr>
          <w:rFonts w:ascii="Times New Roman" w:hAnsi="Times New Roman" w:cs="Times New Roman"/>
          <w:sz w:val="24"/>
          <w:szCs w:val="24"/>
        </w:rPr>
        <w:t>It is Paul Baber who provides a scientific explanation for these happenings. After death the human bodies goes through a series of drastic and remarkable changes. The colour of their skin fort example can drastically change. This happens because after death blood moves into the capillaries, causing a pink-purple discolouration of the skin</w:t>
      </w:r>
      <w:r w:rsidR="001A025C">
        <w:rPr>
          <w:rFonts w:ascii="Times New Roman" w:hAnsi="Times New Roman" w:cs="Times New Roman"/>
          <w:sz w:val="24"/>
          <w:szCs w:val="24"/>
        </w:rPr>
        <w:t>, furthermore, a blood-stained fluid begins to seep into the mouth and nose</w:t>
      </w:r>
      <w:r>
        <w:rPr>
          <w:rStyle w:val="FootnoteReference"/>
          <w:rFonts w:ascii="Times New Roman" w:hAnsi="Times New Roman" w:cs="Times New Roman"/>
          <w:sz w:val="24"/>
          <w:szCs w:val="24"/>
        </w:rPr>
        <w:footnoteReference w:id="6"/>
      </w:r>
      <w:r w:rsidR="001A025C">
        <w:rPr>
          <w:rFonts w:ascii="Times New Roman" w:hAnsi="Times New Roman" w:cs="Times New Roman"/>
          <w:sz w:val="24"/>
          <w:szCs w:val="24"/>
        </w:rPr>
        <w:t xml:space="preserve">. </w:t>
      </w:r>
      <w:r w:rsidR="003D5112">
        <w:rPr>
          <w:rFonts w:ascii="Times New Roman" w:hAnsi="Times New Roman" w:cs="Times New Roman"/>
          <w:sz w:val="24"/>
          <w:szCs w:val="24"/>
        </w:rPr>
        <w:t>In addition to this the body bloats and distention is caused by microorganisms in the abdomen which then is cause expel gases while they digest tissue, this in turn causes the body to generate a foul stench and gives the body the illusion of the skin of the corpse being warm</w:t>
      </w:r>
      <w:r w:rsidR="003D5112">
        <w:rPr>
          <w:rStyle w:val="FootnoteReference"/>
          <w:rFonts w:ascii="Times New Roman" w:hAnsi="Times New Roman" w:cs="Times New Roman"/>
          <w:sz w:val="24"/>
          <w:szCs w:val="24"/>
        </w:rPr>
        <w:footnoteReference w:id="7"/>
      </w:r>
      <w:r w:rsidR="003D5112">
        <w:rPr>
          <w:rFonts w:ascii="Times New Roman" w:hAnsi="Times New Roman" w:cs="Times New Roman"/>
          <w:sz w:val="24"/>
          <w:szCs w:val="24"/>
        </w:rPr>
        <w:t xml:space="preserve">. </w:t>
      </w:r>
      <w:r w:rsidR="00C21EFA">
        <w:rPr>
          <w:rFonts w:ascii="Times New Roman" w:hAnsi="Times New Roman" w:cs="Times New Roman"/>
          <w:sz w:val="24"/>
          <w:szCs w:val="24"/>
        </w:rPr>
        <w:t xml:space="preserve">He </w:t>
      </w:r>
      <w:r w:rsidR="00BF659F">
        <w:rPr>
          <w:rFonts w:ascii="Times New Roman" w:hAnsi="Times New Roman" w:cs="Times New Roman"/>
          <w:sz w:val="24"/>
          <w:szCs w:val="24"/>
        </w:rPr>
        <w:t>continues</w:t>
      </w:r>
      <w:r w:rsidR="00C21EFA">
        <w:rPr>
          <w:rFonts w:ascii="Times New Roman" w:hAnsi="Times New Roman" w:cs="Times New Roman"/>
          <w:sz w:val="24"/>
          <w:szCs w:val="24"/>
        </w:rPr>
        <w:t xml:space="preserve"> to explain that </w:t>
      </w:r>
      <w:r w:rsidR="00C21EFA">
        <w:rPr>
          <w:rFonts w:ascii="Times New Roman" w:hAnsi="Times New Roman" w:cs="Times New Roman"/>
          <w:i/>
          <w:sz w:val="24"/>
          <w:szCs w:val="24"/>
        </w:rPr>
        <w:t xml:space="preserve">rigour mortis </w:t>
      </w:r>
      <w:r w:rsidR="00C21EFA">
        <w:rPr>
          <w:rFonts w:ascii="Times New Roman" w:hAnsi="Times New Roman" w:cs="Times New Roman"/>
          <w:sz w:val="24"/>
          <w:szCs w:val="24"/>
        </w:rPr>
        <w:t xml:space="preserve">is </w:t>
      </w:r>
      <w:proofErr w:type="gramStart"/>
      <w:r w:rsidR="00C21EFA">
        <w:rPr>
          <w:rFonts w:ascii="Times New Roman" w:hAnsi="Times New Roman" w:cs="Times New Roman"/>
          <w:sz w:val="24"/>
          <w:szCs w:val="24"/>
        </w:rPr>
        <w:t>actually a</w:t>
      </w:r>
      <w:proofErr w:type="gramEnd"/>
      <w:r w:rsidR="00C21EFA">
        <w:rPr>
          <w:rFonts w:ascii="Times New Roman" w:hAnsi="Times New Roman" w:cs="Times New Roman"/>
          <w:sz w:val="24"/>
          <w:szCs w:val="24"/>
        </w:rPr>
        <w:t xml:space="preserve"> temporary state which later dissipates after 10 to 48 hours after death, resulting in the body once again becoming flexible which may in turn cause the eyes and mouth to open</w:t>
      </w:r>
      <w:r w:rsidR="00C21EFA">
        <w:rPr>
          <w:rStyle w:val="FootnoteReference"/>
          <w:rFonts w:ascii="Times New Roman" w:hAnsi="Times New Roman" w:cs="Times New Roman"/>
          <w:sz w:val="24"/>
          <w:szCs w:val="24"/>
        </w:rPr>
        <w:footnoteReference w:id="8"/>
      </w:r>
      <w:r w:rsidR="00C21EFA">
        <w:rPr>
          <w:rFonts w:ascii="Times New Roman" w:hAnsi="Times New Roman" w:cs="Times New Roman"/>
          <w:sz w:val="24"/>
          <w:szCs w:val="24"/>
        </w:rPr>
        <w:t>.</w:t>
      </w:r>
      <w:r w:rsidR="00BF659F">
        <w:rPr>
          <w:rFonts w:ascii="Times New Roman" w:hAnsi="Times New Roman" w:cs="Times New Roman"/>
          <w:sz w:val="24"/>
          <w:szCs w:val="24"/>
        </w:rPr>
        <w:t xml:space="preserve"> It is also likely tha</w:t>
      </w:r>
      <w:r w:rsidR="00801C8E">
        <w:rPr>
          <w:rFonts w:ascii="Times New Roman" w:hAnsi="Times New Roman" w:cs="Times New Roman"/>
          <w:sz w:val="24"/>
          <w:szCs w:val="24"/>
        </w:rPr>
        <w:t xml:space="preserve">t the movement and release of gases within the body would cause the body to move and seemingly change position, and the shrinkage of the skin would give the appearance of hair and nails continuing to grow after death. </w:t>
      </w:r>
    </w:p>
    <w:p w:rsidR="009A1976" w:rsidRDefault="00DD2FD8" w:rsidP="00A67EFD">
      <w:pPr>
        <w:jc w:val="center"/>
        <w:rPr>
          <w:rFonts w:ascii="Times New Roman" w:hAnsi="Times New Roman" w:cs="Times New Roman"/>
          <w:b/>
          <w:sz w:val="24"/>
          <w:szCs w:val="24"/>
        </w:rPr>
      </w:pPr>
      <w:r>
        <w:rPr>
          <w:rFonts w:ascii="Times New Roman" w:hAnsi="Times New Roman" w:cs="Times New Roman"/>
          <w:b/>
          <w:sz w:val="24"/>
          <w:szCs w:val="24"/>
        </w:rPr>
        <w:t xml:space="preserve">Kamarina </w:t>
      </w:r>
      <w:r w:rsidR="009A1976">
        <w:rPr>
          <w:rFonts w:ascii="Times New Roman" w:hAnsi="Times New Roman" w:cs="Times New Roman"/>
          <w:b/>
          <w:sz w:val="24"/>
          <w:szCs w:val="24"/>
        </w:rPr>
        <w:t>Burials:</w:t>
      </w:r>
    </w:p>
    <w:p w:rsidR="000E0D6B" w:rsidRDefault="000E0D6B" w:rsidP="00A67EFD">
      <w:pPr>
        <w:jc w:val="center"/>
        <w:rPr>
          <w:rFonts w:ascii="Times New Roman" w:hAnsi="Times New Roman" w:cs="Times New Roman"/>
          <w:sz w:val="24"/>
          <w:szCs w:val="24"/>
        </w:rPr>
      </w:pPr>
      <w:r>
        <w:rPr>
          <w:rFonts w:ascii="Times New Roman" w:hAnsi="Times New Roman" w:cs="Times New Roman"/>
          <w:sz w:val="24"/>
          <w:szCs w:val="24"/>
        </w:rPr>
        <w:t xml:space="preserve">In this section we will be looking specifically at burials in the Greek colony of Kamarina, located in </w:t>
      </w:r>
      <w:r w:rsidR="00622BFC">
        <w:rPr>
          <w:rFonts w:ascii="Times New Roman" w:hAnsi="Times New Roman" w:cs="Times New Roman"/>
          <w:sz w:val="24"/>
          <w:szCs w:val="24"/>
        </w:rPr>
        <w:t>south-eastern</w:t>
      </w:r>
      <w:r>
        <w:rPr>
          <w:rFonts w:ascii="Times New Roman" w:hAnsi="Times New Roman" w:cs="Times New Roman"/>
          <w:sz w:val="24"/>
          <w:szCs w:val="24"/>
        </w:rPr>
        <w:t xml:space="preserve"> Sicily</w:t>
      </w:r>
      <w:r w:rsidR="00622BFC">
        <w:rPr>
          <w:rFonts w:ascii="Times New Roman" w:hAnsi="Times New Roman" w:cs="Times New Roman"/>
          <w:sz w:val="24"/>
          <w:szCs w:val="24"/>
        </w:rPr>
        <w:t>, around 598 BCE</w:t>
      </w:r>
      <w:r>
        <w:rPr>
          <w:rStyle w:val="FootnoteReference"/>
          <w:rFonts w:ascii="Times New Roman" w:hAnsi="Times New Roman" w:cs="Times New Roman"/>
          <w:sz w:val="24"/>
          <w:szCs w:val="24"/>
        </w:rPr>
        <w:footnoteReference w:id="9"/>
      </w:r>
      <w:r w:rsidR="00622BFC">
        <w:rPr>
          <w:rFonts w:ascii="Times New Roman" w:hAnsi="Times New Roman" w:cs="Times New Roman"/>
          <w:sz w:val="24"/>
          <w:szCs w:val="24"/>
        </w:rPr>
        <w:t>. The colony was inhabited until early 1</w:t>
      </w:r>
      <w:r w:rsidR="00622BFC" w:rsidRPr="00622BFC">
        <w:rPr>
          <w:rFonts w:ascii="Times New Roman" w:hAnsi="Times New Roman" w:cs="Times New Roman"/>
          <w:sz w:val="24"/>
          <w:szCs w:val="24"/>
          <w:vertAlign w:val="superscript"/>
        </w:rPr>
        <w:t>st</w:t>
      </w:r>
      <w:r w:rsidR="00622BFC">
        <w:rPr>
          <w:rFonts w:ascii="Times New Roman" w:hAnsi="Times New Roman" w:cs="Times New Roman"/>
          <w:sz w:val="24"/>
          <w:szCs w:val="24"/>
        </w:rPr>
        <w:t xml:space="preserve"> century CE, when it was then abandoned</w:t>
      </w:r>
      <w:r w:rsidR="00622BFC">
        <w:rPr>
          <w:rStyle w:val="FootnoteReference"/>
          <w:rFonts w:ascii="Times New Roman" w:hAnsi="Times New Roman" w:cs="Times New Roman"/>
          <w:sz w:val="24"/>
          <w:szCs w:val="24"/>
        </w:rPr>
        <w:footnoteReference w:id="10"/>
      </w:r>
      <w:r w:rsidR="00622BFC">
        <w:rPr>
          <w:rFonts w:ascii="Times New Roman" w:hAnsi="Times New Roman" w:cs="Times New Roman"/>
          <w:sz w:val="24"/>
          <w:szCs w:val="24"/>
        </w:rPr>
        <w:t xml:space="preserve">. </w:t>
      </w:r>
      <w:r w:rsidR="00C5199C">
        <w:rPr>
          <w:rFonts w:ascii="Times New Roman" w:hAnsi="Times New Roman" w:cs="Times New Roman"/>
          <w:sz w:val="24"/>
          <w:szCs w:val="24"/>
        </w:rPr>
        <w:t>The ancient Greeks believed that</w:t>
      </w:r>
      <w:r w:rsidR="000B134D">
        <w:rPr>
          <w:rFonts w:ascii="Times New Roman" w:hAnsi="Times New Roman" w:cs="Times New Roman"/>
          <w:sz w:val="24"/>
          <w:szCs w:val="24"/>
        </w:rPr>
        <w:t xml:space="preserve"> corpses caused religious pollution, for this reason </w:t>
      </w:r>
      <w:proofErr w:type="gramStart"/>
      <w:r w:rsidR="000B134D">
        <w:rPr>
          <w:rFonts w:ascii="Times New Roman" w:hAnsi="Times New Roman" w:cs="Times New Roman"/>
          <w:sz w:val="24"/>
          <w:szCs w:val="24"/>
        </w:rPr>
        <w:t>the majority of</w:t>
      </w:r>
      <w:proofErr w:type="gramEnd"/>
      <w:r w:rsidR="000B134D">
        <w:rPr>
          <w:rFonts w:ascii="Times New Roman" w:hAnsi="Times New Roman" w:cs="Times New Roman"/>
          <w:sz w:val="24"/>
          <w:szCs w:val="24"/>
        </w:rPr>
        <w:t xml:space="preserve"> the dead were buried away from the main </w:t>
      </w:r>
      <w:r w:rsidR="000B134D">
        <w:rPr>
          <w:rFonts w:ascii="Times New Roman" w:hAnsi="Times New Roman" w:cs="Times New Roman"/>
          <w:sz w:val="24"/>
          <w:szCs w:val="24"/>
        </w:rPr>
        <w:lastRenderedPageBreak/>
        <w:t>living area of a settlement and buried on the necropolis</w:t>
      </w:r>
      <w:r w:rsidR="000B134D">
        <w:rPr>
          <w:rStyle w:val="FootnoteReference"/>
          <w:rFonts w:ascii="Times New Roman" w:hAnsi="Times New Roman" w:cs="Times New Roman"/>
          <w:sz w:val="24"/>
          <w:szCs w:val="24"/>
        </w:rPr>
        <w:footnoteReference w:id="11"/>
      </w:r>
      <w:r w:rsidR="000B134D">
        <w:rPr>
          <w:rFonts w:ascii="Times New Roman" w:hAnsi="Times New Roman" w:cs="Times New Roman"/>
          <w:sz w:val="24"/>
          <w:szCs w:val="24"/>
        </w:rPr>
        <w:t>.</w:t>
      </w:r>
      <w:r w:rsidR="00982227">
        <w:rPr>
          <w:rFonts w:ascii="Times New Roman" w:hAnsi="Times New Roman" w:cs="Times New Roman"/>
          <w:sz w:val="24"/>
          <w:szCs w:val="24"/>
        </w:rPr>
        <w:t xml:space="preserve"> </w:t>
      </w:r>
      <w:r w:rsidR="000B134D">
        <w:rPr>
          <w:rFonts w:ascii="Times New Roman" w:hAnsi="Times New Roman" w:cs="Times New Roman"/>
          <w:sz w:val="24"/>
          <w:szCs w:val="24"/>
        </w:rPr>
        <w:t xml:space="preserve"> </w:t>
      </w:r>
      <w:r w:rsidR="00982227" w:rsidRPr="00982227">
        <w:rPr>
          <w:rFonts w:ascii="Times New Roman" w:hAnsi="Times New Roman" w:cs="Times New Roman"/>
          <w:sz w:val="24"/>
          <w:szCs w:val="24"/>
        </w:rPr>
        <w:t xml:space="preserve">The burials located in the cities Classical necropolis are the ones that hold </w:t>
      </w:r>
      <w:proofErr w:type="gramStart"/>
      <w:r w:rsidR="00982227" w:rsidRPr="00982227">
        <w:rPr>
          <w:rFonts w:ascii="Times New Roman" w:hAnsi="Times New Roman" w:cs="Times New Roman"/>
          <w:sz w:val="24"/>
          <w:szCs w:val="24"/>
        </w:rPr>
        <w:t>particular interest</w:t>
      </w:r>
      <w:proofErr w:type="gramEnd"/>
      <w:r w:rsidR="00982227" w:rsidRPr="00982227">
        <w:rPr>
          <w:rFonts w:ascii="Times New Roman" w:hAnsi="Times New Roman" w:cs="Times New Roman"/>
          <w:sz w:val="24"/>
          <w:szCs w:val="24"/>
        </w:rPr>
        <w:t xml:space="preserve"> to us.</w:t>
      </w:r>
      <w:r w:rsidR="00982227">
        <w:rPr>
          <w:rFonts w:ascii="Times New Roman" w:hAnsi="Times New Roman" w:cs="Times New Roman"/>
          <w:sz w:val="24"/>
          <w:szCs w:val="24"/>
        </w:rPr>
        <w:t xml:space="preserve"> The necropolis in question is located southeast of Kamarina, (and has been dubbed </w:t>
      </w:r>
      <w:proofErr w:type="spellStart"/>
      <w:r w:rsidR="00982227">
        <w:rPr>
          <w:rFonts w:ascii="Times New Roman" w:hAnsi="Times New Roman" w:cs="Times New Roman"/>
          <w:sz w:val="24"/>
          <w:szCs w:val="24"/>
        </w:rPr>
        <w:t>Passo</w:t>
      </w:r>
      <w:proofErr w:type="spellEnd"/>
      <w:r w:rsidR="00982227">
        <w:rPr>
          <w:rFonts w:ascii="Times New Roman" w:hAnsi="Times New Roman" w:cs="Times New Roman"/>
          <w:sz w:val="24"/>
          <w:szCs w:val="24"/>
        </w:rPr>
        <w:t xml:space="preserve"> </w:t>
      </w:r>
      <w:proofErr w:type="spellStart"/>
      <w:r w:rsidR="00982227">
        <w:rPr>
          <w:rFonts w:ascii="Times New Roman" w:hAnsi="Times New Roman" w:cs="Times New Roman"/>
          <w:sz w:val="24"/>
          <w:szCs w:val="24"/>
        </w:rPr>
        <w:t>Marinaro</w:t>
      </w:r>
      <w:proofErr w:type="spellEnd"/>
      <w:r w:rsidR="00982227">
        <w:rPr>
          <w:rFonts w:ascii="Times New Roman" w:hAnsi="Times New Roman" w:cs="Times New Roman"/>
          <w:sz w:val="24"/>
          <w:szCs w:val="24"/>
        </w:rPr>
        <w:t xml:space="preserve"> by archaeologists) was in use during the 5</w:t>
      </w:r>
      <w:r w:rsidR="00982227" w:rsidRPr="00982227">
        <w:rPr>
          <w:rFonts w:ascii="Times New Roman" w:hAnsi="Times New Roman" w:cs="Times New Roman"/>
          <w:sz w:val="24"/>
          <w:szCs w:val="24"/>
          <w:vertAlign w:val="superscript"/>
        </w:rPr>
        <w:t>th</w:t>
      </w:r>
      <w:r w:rsidR="00982227">
        <w:rPr>
          <w:rFonts w:ascii="Times New Roman" w:hAnsi="Times New Roman" w:cs="Times New Roman"/>
          <w:sz w:val="24"/>
          <w:szCs w:val="24"/>
        </w:rPr>
        <w:t xml:space="preserve"> to the 3</w:t>
      </w:r>
      <w:r w:rsidR="00982227" w:rsidRPr="00982227">
        <w:rPr>
          <w:rFonts w:ascii="Times New Roman" w:hAnsi="Times New Roman" w:cs="Times New Roman"/>
          <w:sz w:val="24"/>
          <w:szCs w:val="24"/>
          <w:vertAlign w:val="superscript"/>
        </w:rPr>
        <w:t>rd</w:t>
      </w:r>
      <w:r w:rsidR="00982227">
        <w:rPr>
          <w:rFonts w:ascii="Times New Roman" w:hAnsi="Times New Roman" w:cs="Times New Roman"/>
          <w:sz w:val="24"/>
          <w:szCs w:val="24"/>
        </w:rPr>
        <w:t xml:space="preserve"> century BCE</w:t>
      </w:r>
      <w:r w:rsidR="00982227">
        <w:rPr>
          <w:rStyle w:val="FootnoteReference"/>
          <w:rFonts w:ascii="Times New Roman" w:hAnsi="Times New Roman" w:cs="Times New Roman"/>
          <w:sz w:val="24"/>
          <w:szCs w:val="24"/>
        </w:rPr>
        <w:footnoteReference w:id="12"/>
      </w:r>
      <w:r w:rsidR="00027EA2">
        <w:rPr>
          <w:rFonts w:ascii="Times New Roman" w:hAnsi="Times New Roman" w:cs="Times New Roman"/>
          <w:sz w:val="24"/>
          <w:szCs w:val="24"/>
        </w:rPr>
        <w:t xml:space="preserve">. </w:t>
      </w:r>
      <w:r w:rsidR="00DD2FD8">
        <w:rPr>
          <w:rFonts w:ascii="Times New Roman" w:hAnsi="Times New Roman" w:cs="Times New Roman"/>
          <w:sz w:val="24"/>
          <w:szCs w:val="24"/>
        </w:rPr>
        <w:t>The exact size of the cemetery is unk</w:t>
      </w:r>
      <w:r w:rsidR="00CB71E4">
        <w:rPr>
          <w:rFonts w:ascii="Times New Roman" w:hAnsi="Times New Roman" w:cs="Times New Roman"/>
          <w:sz w:val="24"/>
          <w:szCs w:val="24"/>
        </w:rPr>
        <w:t>n</w:t>
      </w:r>
      <w:r w:rsidR="00DD2FD8">
        <w:rPr>
          <w:rFonts w:ascii="Times New Roman" w:hAnsi="Times New Roman" w:cs="Times New Roman"/>
          <w:sz w:val="24"/>
          <w:szCs w:val="24"/>
        </w:rPr>
        <w:t>own, there have been approximately 2,905 burials that have been excavated</w:t>
      </w:r>
      <w:r w:rsidR="00DD2FD8">
        <w:rPr>
          <w:rStyle w:val="FootnoteReference"/>
          <w:rFonts w:ascii="Times New Roman" w:hAnsi="Times New Roman" w:cs="Times New Roman"/>
          <w:sz w:val="24"/>
          <w:szCs w:val="24"/>
        </w:rPr>
        <w:footnoteReference w:id="13"/>
      </w:r>
      <w:r w:rsidR="00DD2FD8">
        <w:rPr>
          <w:rFonts w:ascii="Times New Roman" w:hAnsi="Times New Roman" w:cs="Times New Roman"/>
          <w:sz w:val="24"/>
          <w:szCs w:val="24"/>
        </w:rPr>
        <w:t xml:space="preserve">. </w:t>
      </w:r>
      <w:r w:rsidR="00B65F41">
        <w:rPr>
          <w:rFonts w:ascii="Times New Roman" w:hAnsi="Times New Roman" w:cs="Times New Roman"/>
          <w:sz w:val="24"/>
          <w:szCs w:val="24"/>
        </w:rPr>
        <w:t>It is apparent that both inhumation and cremation were practiced at the site</w:t>
      </w:r>
      <w:r w:rsidR="00B65F41">
        <w:rPr>
          <w:rStyle w:val="FootnoteReference"/>
          <w:rFonts w:ascii="Times New Roman" w:hAnsi="Times New Roman" w:cs="Times New Roman"/>
          <w:sz w:val="24"/>
          <w:szCs w:val="24"/>
        </w:rPr>
        <w:footnoteReference w:id="14"/>
      </w:r>
    </w:p>
    <w:p w:rsidR="003C0B9E" w:rsidRDefault="004F375E" w:rsidP="00A67EFD">
      <w:pPr>
        <w:jc w:val="center"/>
        <w:rPr>
          <w:rFonts w:ascii="Times New Roman" w:hAnsi="Times New Roman" w:cs="Times New Roman"/>
          <w:sz w:val="24"/>
          <w:szCs w:val="24"/>
        </w:rPr>
      </w:pPr>
      <w:r>
        <w:rPr>
          <w:rFonts w:ascii="Times New Roman" w:hAnsi="Times New Roman" w:cs="Times New Roman"/>
          <w:sz w:val="24"/>
          <w:szCs w:val="24"/>
        </w:rPr>
        <w:t xml:space="preserve">It is in this area that two burials are of </w:t>
      </w:r>
      <w:proofErr w:type="gramStart"/>
      <w:r>
        <w:rPr>
          <w:rFonts w:ascii="Times New Roman" w:hAnsi="Times New Roman" w:cs="Times New Roman"/>
          <w:sz w:val="24"/>
          <w:szCs w:val="24"/>
        </w:rPr>
        <w:t>particular interest</w:t>
      </w:r>
      <w:proofErr w:type="gramEnd"/>
      <w:r>
        <w:rPr>
          <w:rFonts w:ascii="Times New Roman" w:hAnsi="Times New Roman" w:cs="Times New Roman"/>
          <w:sz w:val="24"/>
          <w:szCs w:val="24"/>
        </w:rPr>
        <w:t>. The tomb dubbed 653, contains the body of an adult, of unknown sex and build</w:t>
      </w:r>
      <w:r>
        <w:rPr>
          <w:rStyle w:val="FootnoteReference"/>
          <w:rFonts w:ascii="Times New Roman" w:hAnsi="Times New Roman" w:cs="Times New Roman"/>
          <w:sz w:val="24"/>
          <w:szCs w:val="24"/>
        </w:rPr>
        <w:footnoteReference w:id="15"/>
      </w:r>
      <w:r w:rsidR="00CB71E4">
        <w:rPr>
          <w:rFonts w:ascii="Times New Roman" w:hAnsi="Times New Roman" w:cs="Times New Roman"/>
          <w:sz w:val="24"/>
          <w:szCs w:val="24"/>
        </w:rPr>
        <w:t>. It can be observed due to the horizontal lines of growth arrest on the teeth, that at some point during their life this individual suffered from serious malnutrition or illness</w:t>
      </w:r>
      <w:r w:rsidR="00DC2715">
        <w:rPr>
          <w:rStyle w:val="FootnoteReference"/>
          <w:rFonts w:ascii="Times New Roman" w:hAnsi="Times New Roman" w:cs="Times New Roman"/>
          <w:sz w:val="24"/>
          <w:szCs w:val="24"/>
        </w:rPr>
        <w:footnoteReference w:id="16"/>
      </w:r>
      <w:r w:rsidR="004055BA">
        <w:rPr>
          <w:rFonts w:ascii="Times New Roman" w:hAnsi="Times New Roman" w:cs="Times New Roman"/>
          <w:sz w:val="24"/>
          <w:szCs w:val="24"/>
        </w:rPr>
        <w:t xml:space="preserve">. </w:t>
      </w:r>
      <w:r w:rsidR="002E4668">
        <w:rPr>
          <w:rFonts w:ascii="Times New Roman" w:hAnsi="Times New Roman" w:cs="Times New Roman"/>
          <w:sz w:val="24"/>
          <w:szCs w:val="24"/>
        </w:rPr>
        <w:t xml:space="preserve">The body has been buried with two grave goods, </w:t>
      </w:r>
      <w:r w:rsidR="00B65F41">
        <w:rPr>
          <w:rFonts w:ascii="Times New Roman" w:hAnsi="Times New Roman" w:cs="Times New Roman"/>
          <w:sz w:val="24"/>
          <w:szCs w:val="24"/>
        </w:rPr>
        <w:t>a</w:t>
      </w:r>
      <w:r w:rsidR="002E4668">
        <w:rPr>
          <w:rFonts w:ascii="Times New Roman" w:hAnsi="Times New Roman" w:cs="Times New Roman"/>
          <w:sz w:val="24"/>
          <w:szCs w:val="24"/>
        </w:rPr>
        <w:t xml:space="preserve"> lekythos and a unguentarium, both are vases that have connections to Greek funerary rites</w:t>
      </w:r>
      <w:r w:rsidR="002E4668">
        <w:rPr>
          <w:rStyle w:val="FootnoteReference"/>
          <w:rFonts w:ascii="Times New Roman" w:hAnsi="Times New Roman" w:cs="Times New Roman"/>
          <w:sz w:val="24"/>
          <w:szCs w:val="24"/>
        </w:rPr>
        <w:footnoteReference w:id="17"/>
      </w:r>
      <w:r w:rsidR="00B65F41">
        <w:rPr>
          <w:rFonts w:ascii="Times New Roman" w:hAnsi="Times New Roman" w:cs="Times New Roman"/>
          <w:sz w:val="24"/>
          <w:szCs w:val="24"/>
        </w:rPr>
        <w:t xml:space="preserve">. What sets this burial apart from the others on this site </w:t>
      </w:r>
      <w:r w:rsidR="003C0B9E">
        <w:rPr>
          <w:rFonts w:ascii="Times New Roman" w:hAnsi="Times New Roman" w:cs="Times New Roman"/>
          <w:sz w:val="24"/>
          <w:szCs w:val="24"/>
        </w:rPr>
        <w:t>is that the feet and the had of the individual have been completely covered by fragments of an amphora.</w:t>
      </w:r>
      <w:r w:rsidR="001E2735">
        <w:rPr>
          <w:rFonts w:ascii="Times New Roman" w:hAnsi="Times New Roman" w:cs="Times New Roman"/>
          <w:sz w:val="24"/>
          <w:szCs w:val="24"/>
        </w:rPr>
        <w:t xml:space="preserve"> It is thought by scholars and excavators of the site that these heavy pieces of amphora were used to pin the body in the grave and prevent it from seeing and rising again</w:t>
      </w:r>
      <w:r w:rsidR="001E2735">
        <w:rPr>
          <w:rStyle w:val="FootnoteReference"/>
          <w:rFonts w:ascii="Times New Roman" w:hAnsi="Times New Roman" w:cs="Times New Roman"/>
          <w:sz w:val="24"/>
          <w:szCs w:val="24"/>
        </w:rPr>
        <w:footnoteReference w:id="18"/>
      </w:r>
      <w:r w:rsidR="001E2735">
        <w:rPr>
          <w:rFonts w:ascii="Times New Roman" w:hAnsi="Times New Roman" w:cs="Times New Roman"/>
          <w:sz w:val="24"/>
          <w:szCs w:val="24"/>
        </w:rPr>
        <w:t>.</w:t>
      </w:r>
    </w:p>
    <w:p w:rsidR="0079771C" w:rsidRDefault="00D131A0" w:rsidP="00A67EFD">
      <w:pPr>
        <w:jc w:val="center"/>
        <w:rPr>
          <w:rFonts w:ascii="Times New Roman" w:hAnsi="Times New Roman" w:cs="Times New Roman"/>
          <w:sz w:val="24"/>
          <w:szCs w:val="24"/>
        </w:rPr>
      </w:pPr>
      <w:r w:rsidRPr="0079771C">
        <w:drawing>
          <wp:anchor distT="0" distB="0" distL="114300" distR="114300" simplePos="0" relativeHeight="251659264" behindDoc="1" locked="0" layoutInCell="1" allowOverlap="1" wp14:anchorId="3C40B333">
            <wp:simplePos x="0" y="0"/>
            <wp:positionH relativeFrom="margin">
              <wp:posOffset>3463608</wp:posOffset>
            </wp:positionH>
            <wp:positionV relativeFrom="paragraph">
              <wp:posOffset>1052512</wp:posOffset>
            </wp:positionV>
            <wp:extent cx="1915197" cy="2681922"/>
            <wp:effectExtent l="0" t="2223" r="6668" b="6667"/>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8">
                      <a:extLst>
                        <a:ext uri="{28A0092B-C50C-407E-A947-70E740481C1C}">
                          <a14:useLocalDpi xmlns:a14="http://schemas.microsoft.com/office/drawing/2010/main" val="0"/>
                        </a:ext>
                      </a:extLst>
                    </a:blip>
                    <a:stretch>
                      <a:fillRect/>
                    </a:stretch>
                  </pic:blipFill>
                  <pic:spPr>
                    <a:xfrm rot="16200000">
                      <a:off x="0" y="0"/>
                      <a:ext cx="1915197" cy="2681922"/>
                    </a:xfrm>
                    <a:prstGeom prst="rect">
                      <a:avLst/>
                    </a:prstGeom>
                  </pic:spPr>
                </pic:pic>
              </a:graphicData>
            </a:graphic>
            <wp14:sizeRelH relativeFrom="page">
              <wp14:pctWidth>0</wp14:pctWidth>
            </wp14:sizeRelH>
            <wp14:sizeRelV relativeFrom="page">
              <wp14:pctHeight>0</wp14:pctHeight>
            </wp14:sizeRelV>
          </wp:anchor>
        </w:drawing>
      </w:r>
      <w:r w:rsidR="001E2735">
        <w:rPr>
          <w:rFonts w:ascii="Times New Roman" w:hAnsi="Times New Roman" w:cs="Times New Roman"/>
          <w:sz w:val="24"/>
          <w:szCs w:val="24"/>
        </w:rPr>
        <w:t>The second burial of interest is that of tomb 693. It is the tomb of a child thought to be between the ages of 8 and 13, and much like the other body its sex and height are undetermined</w:t>
      </w:r>
      <w:r w:rsidR="001E2735">
        <w:rPr>
          <w:rStyle w:val="FootnoteReference"/>
          <w:rFonts w:ascii="Times New Roman" w:hAnsi="Times New Roman" w:cs="Times New Roman"/>
          <w:sz w:val="24"/>
          <w:szCs w:val="24"/>
        </w:rPr>
        <w:footnoteReference w:id="19"/>
      </w:r>
      <w:r w:rsidR="001E2735">
        <w:rPr>
          <w:rFonts w:ascii="Times New Roman" w:hAnsi="Times New Roman" w:cs="Times New Roman"/>
          <w:sz w:val="24"/>
          <w:szCs w:val="24"/>
        </w:rPr>
        <w:t>.</w:t>
      </w:r>
      <w:r w:rsidR="006D5A2D">
        <w:rPr>
          <w:rFonts w:ascii="Times New Roman" w:hAnsi="Times New Roman" w:cs="Times New Roman"/>
          <w:sz w:val="24"/>
          <w:szCs w:val="24"/>
        </w:rPr>
        <w:t xml:space="preserve"> This grave differs from that of the previous one, unlike tomb</w:t>
      </w:r>
      <w:r w:rsidR="009205E8">
        <w:rPr>
          <w:rFonts w:ascii="Times New Roman" w:hAnsi="Times New Roman" w:cs="Times New Roman"/>
          <w:sz w:val="24"/>
          <w:szCs w:val="24"/>
        </w:rPr>
        <w:t xml:space="preserve"> 653, this one contained no grave goods and the body showed no signs of disease or illness</w:t>
      </w:r>
      <w:r w:rsidR="009205E8">
        <w:rPr>
          <w:rStyle w:val="FootnoteReference"/>
          <w:rFonts w:ascii="Times New Roman" w:hAnsi="Times New Roman" w:cs="Times New Roman"/>
          <w:sz w:val="24"/>
          <w:szCs w:val="24"/>
        </w:rPr>
        <w:footnoteReference w:id="20"/>
      </w:r>
      <w:r w:rsidR="009205E8">
        <w:rPr>
          <w:rFonts w:ascii="Times New Roman" w:hAnsi="Times New Roman" w:cs="Times New Roman"/>
          <w:sz w:val="24"/>
          <w:szCs w:val="24"/>
        </w:rPr>
        <w:t xml:space="preserve">. </w:t>
      </w:r>
      <w:proofErr w:type="gramStart"/>
      <w:r w:rsidR="00A536F7">
        <w:rPr>
          <w:rFonts w:ascii="Times New Roman" w:hAnsi="Times New Roman" w:cs="Times New Roman"/>
          <w:sz w:val="24"/>
          <w:szCs w:val="24"/>
        </w:rPr>
        <w:t>Similar to</w:t>
      </w:r>
      <w:proofErr w:type="gramEnd"/>
      <w:r w:rsidR="00A536F7">
        <w:rPr>
          <w:rFonts w:ascii="Times New Roman" w:hAnsi="Times New Roman" w:cs="Times New Roman"/>
          <w:sz w:val="24"/>
          <w:szCs w:val="24"/>
        </w:rPr>
        <w:t xml:space="preserve"> the previous tomb, in this </w:t>
      </w:r>
      <w:r w:rsidR="00105859">
        <w:rPr>
          <w:rFonts w:ascii="Times New Roman" w:hAnsi="Times New Roman" w:cs="Times New Roman"/>
          <w:sz w:val="24"/>
          <w:szCs w:val="24"/>
        </w:rPr>
        <w:t>tomb</w:t>
      </w:r>
      <w:r w:rsidR="00A536F7">
        <w:rPr>
          <w:rFonts w:ascii="Times New Roman" w:hAnsi="Times New Roman" w:cs="Times New Roman"/>
          <w:sz w:val="24"/>
          <w:szCs w:val="24"/>
        </w:rPr>
        <w:t xml:space="preserve"> five large stones have been placed over the child’s body</w:t>
      </w:r>
      <w:r w:rsidR="00A536F7">
        <w:rPr>
          <w:rStyle w:val="FootnoteReference"/>
          <w:rFonts w:ascii="Times New Roman" w:hAnsi="Times New Roman" w:cs="Times New Roman"/>
          <w:sz w:val="24"/>
          <w:szCs w:val="24"/>
        </w:rPr>
        <w:footnoteReference w:id="21"/>
      </w:r>
      <w:r w:rsidR="0079771C">
        <w:rPr>
          <w:rFonts w:ascii="Times New Roman" w:hAnsi="Times New Roman" w:cs="Times New Roman"/>
          <w:sz w:val="24"/>
          <w:szCs w:val="24"/>
        </w:rPr>
        <w:t>. It should be assumed that these rocks were placed there for the same purpose as the amphora in tomb 653, to prevent the body from rising again.</w:t>
      </w:r>
    </w:p>
    <w:p w:rsidR="0079771C" w:rsidRDefault="0079771C" w:rsidP="00A67EFD">
      <w:pPr>
        <w:jc w:val="center"/>
        <w:rPr>
          <w:rFonts w:ascii="Times New Roman" w:hAnsi="Times New Roman" w:cs="Times New Roman"/>
          <w:sz w:val="24"/>
          <w:szCs w:val="24"/>
        </w:rPr>
      </w:pPr>
      <w:r w:rsidRPr="0079771C">
        <w:drawing>
          <wp:anchor distT="0" distB="0" distL="114300" distR="114300" simplePos="0" relativeHeight="251658240" behindDoc="1" locked="0" layoutInCell="1" allowOverlap="1" wp14:anchorId="7B242A83">
            <wp:simplePos x="0" y="0"/>
            <wp:positionH relativeFrom="margin">
              <wp:posOffset>-304800</wp:posOffset>
            </wp:positionH>
            <wp:positionV relativeFrom="paragraph">
              <wp:posOffset>83820</wp:posOffset>
            </wp:positionV>
            <wp:extent cx="2819400" cy="1907540"/>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2819400" cy="1907540"/>
                    </a:xfrm>
                    <a:prstGeom prst="rect">
                      <a:avLst/>
                    </a:prstGeom>
                  </pic:spPr>
                </pic:pic>
              </a:graphicData>
            </a:graphic>
            <wp14:sizeRelH relativeFrom="page">
              <wp14:pctWidth>0</wp14:pctWidth>
            </wp14:sizeRelH>
            <wp14:sizeRelV relativeFrom="page">
              <wp14:pctHeight>0</wp14:pctHeight>
            </wp14:sizeRelV>
          </wp:anchor>
        </w:drawing>
      </w:r>
    </w:p>
    <w:p w:rsidR="001E2735" w:rsidRDefault="001E2735" w:rsidP="00A67EFD">
      <w:pPr>
        <w:jc w:val="center"/>
        <w:rPr>
          <w:rFonts w:ascii="Times New Roman" w:hAnsi="Times New Roman" w:cs="Times New Roman"/>
          <w:sz w:val="24"/>
          <w:szCs w:val="24"/>
        </w:rPr>
      </w:pPr>
    </w:p>
    <w:p w:rsidR="001E2735" w:rsidRDefault="001E2735" w:rsidP="00A67EFD">
      <w:pPr>
        <w:jc w:val="center"/>
        <w:rPr>
          <w:rFonts w:ascii="Times New Roman" w:hAnsi="Times New Roman" w:cs="Times New Roman"/>
          <w:sz w:val="24"/>
          <w:szCs w:val="24"/>
        </w:rPr>
      </w:pPr>
    </w:p>
    <w:p w:rsidR="001E2735" w:rsidRDefault="00D131A0" w:rsidP="00D131A0">
      <w:pPr>
        <w:tabs>
          <w:tab w:val="left" w:pos="6585"/>
        </w:tabs>
        <w:rPr>
          <w:rFonts w:ascii="Times New Roman" w:hAnsi="Times New Roman" w:cs="Times New Roman"/>
          <w:sz w:val="24"/>
          <w:szCs w:val="24"/>
        </w:rPr>
      </w:pPr>
      <w:r>
        <w:rPr>
          <w:rFonts w:ascii="Times New Roman" w:hAnsi="Times New Roman" w:cs="Times New Roman"/>
          <w:sz w:val="24"/>
          <w:szCs w:val="24"/>
        </w:rPr>
        <w:tab/>
      </w:r>
    </w:p>
    <w:p w:rsidR="001E2735" w:rsidRDefault="001E2735" w:rsidP="00A67EFD">
      <w:pPr>
        <w:tabs>
          <w:tab w:val="left" w:pos="2685"/>
        </w:tabs>
        <w:jc w:val="center"/>
        <w:rPr>
          <w:rFonts w:ascii="Times New Roman" w:hAnsi="Times New Roman" w:cs="Times New Roman"/>
          <w:sz w:val="24"/>
          <w:szCs w:val="24"/>
        </w:rPr>
      </w:pPr>
    </w:p>
    <w:p w:rsidR="00B9373A" w:rsidRDefault="00B9373A" w:rsidP="00A67EFD">
      <w:pPr>
        <w:jc w:val="center"/>
        <w:rPr>
          <w:rFonts w:ascii="Times New Roman" w:hAnsi="Times New Roman" w:cs="Times New Roman"/>
          <w:sz w:val="24"/>
          <w:szCs w:val="24"/>
        </w:rPr>
      </w:pPr>
    </w:p>
    <w:p w:rsidR="00B9373A" w:rsidRDefault="00B9373A" w:rsidP="00A67EFD">
      <w:pPr>
        <w:jc w:val="center"/>
        <w:rPr>
          <w:rFonts w:ascii="Times New Roman" w:hAnsi="Times New Roman" w:cs="Times New Roman"/>
          <w:sz w:val="20"/>
          <w:szCs w:val="20"/>
        </w:rPr>
      </w:pPr>
    </w:p>
    <w:p w:rsidR="0079771C" w:rsidRDefault="0026758F" w:rsidP="00A67EFD">
      <w:pPr>
        <w:jc w:val="center"/>
        <w:rPr>
          <w:rFonts w:ascii="Times New Roman" w:hAnsi="Times New Roman" w:cs="Times New Roman"/>
          <w:sz w:val="20"/>
          <w:szCs w:val="20"/>
        </w:rPr>
      </w:pPr>
      <w:r w:rsidRPr="00B9373A">
        <w:rPr>
          <w:rFonts w:ascii="Times New Roman" w:hAnsi="Times New Roman" w:cs="Times New Roman"/>
          <w:sz w:val="20"/>
          <w:szCs w:val="20"/>
        </w:rPr>
        <w:lastRenderedPageBreak/>
        <w:t>Figure 1:</w:t>
      </w:r>
      <w:r w:rsidR="00B9373A" w:rsidRPr="00B9373A">
        <w:rPr>
          <w:rFonts w:ascii="Times New Roman" w:hAnsi="Times New Roman" w:cs="Times New Roman"/>
          <w:sz w:val="20"/>
          <w:szCs w:val="20"/>
        </w:rPr>
        <w:t xml:space="preserve"> (</w:t>
      </w:r>
      <w:proofErr w:type="spellStart"/>
      <w:r w:rsidR="00B9373A" w:rsidRPr="00B9373A">
        <w:rPr>
          <w:rFonts w:ascii="Times New Roman" w:hAnsi="Times New Roman" w:cs="Times New Roman"/>
          <w:sz w:val="20"/>
          <w:szCs w:val="20"/>
        </w:rPr>
        <w:t>Sulosky</w:t>
      </w:r>
      <w:proofErr w:type="spellEnd"/>
      <w:r w:rsidR="00B9373A" w:rsidRPr="00B9373A">
        <w:rPr>
          <w:rFonts w:ascii="Times New Roman" w:hAnsi="Times New Roman" w:cs="Times New Roman"/>
          <w:sz w:val="20"/>
          <w:szCs w:val="20"/>
        </w:rPr>
        <w:t xml:space="preserve"> Weaver, 2018)</w:t>
      </w:r>
      <w:r w:rsidRPr="00B9373A">
        <w:rPr>
          <w:rFonts w:ascii="Times New Roman" w:hAnsi="Times New Roman" w:cs="Times New Roman"/>
          <w:sz w:val="20"/>
          <w:szCs w:val="20"/>
        </w:rPr>
        <w:t xml:space="preserve"> Tomb 653                                Figure 2: </w:t>
      </w:r>
      <w:r w:rsidR="00B9373A">
        <w:rPr>
          <w:rFonts w:ascii="Times New Roman" w:hAnsi="Times New Roman" w:cs="Times New Roman"/>
          <w:sz w:val="20"/>
          <w:szCs w:val="20"/>
        </w:rPr>
        <w:t>(</w:t>
      </w:r>
      <w:proofErr w:type="spellStart"/>
      <w:r w:rsidR="00B9373A">
        <w:rPr>
          <w:rFonts w:ascii="Times New Roman" w:hAnsi="Times New Roman" w:cs="Times New Roman"/>
          <w:sz w:val="20"/>
          <w:szCs w:val="20"/>
        </w:rPr>
        <w:t>Sulosky</w:t>
      </w:r>
      <w:proofErr w:type="spellEnd"/>
      <w:r w:rsidR="00B9373A">
        <w:rPr>
          <w:rFonts w:ascii="Times New Roman" w:hAnsi="Times New Roman" w:cs="Times New Roman"/>
          <w:sz w:val="20"/>
          <w:szCs w:val="20"/>
        </w:rPr>
        <w:t xml:space="preserve"> Weaver, 2018) </w:t>
      </w:r>
      <w:r w:rsidRPr="00B9373A">
        <w:rPr>
          <w:rFonts w:ascii="Times New Roman" w:hAnsi="Times New Roman" w:cs="Times New Roman"/>
          <w:sz w:val="20"/>
          <w:szCs w:val="20"/>
        </w:rPr>
        <w:t>Tomb 693</w:t>
      </w:r>
    </w:p>
    <w:p w:rsidR="006A2F08" w:rsidRDefault="006A2F08" w:rsidP="00A67EFD">
      <w:pPr>
        <w:jc w:val="center"/>
        <w:rPr>
          <w:rFonts w:ascii="Times New Roman" w:hAnsi="Times New Roman" w:cs="Times New Roman"/>
          <w:sz w:val="24"/>
          <w:szCs w:val="24"/>
        </w:rPr>
      </w:pPr>
      <w:r>
        <w:rPr>
          <w:rFonts w:ascii="Times New Roman" w:hAnsi="Times New Roman" w:cs="Times New Roman"/>
          <w:sz w:val="24"/>
          <w:szCs w:val="24"/>
        </w:rPr>
        <w:t>These burials highlight what the ancients would have seen as a very real threat to them. As there would be no logical purpose for them to weigh the dead down in their graves if they did not truly believe it was possible for them to rise again.</w:t>
      </w:r>
    </w:p>
    <w:p w:rsidR="00C75124" w:rsidRDefault="00C75124" w:rsidP="00A67EFD">
      <w:pPr>
        <w:jc w:val="center"/>
        <w:rPr>
          <w:rFonts w:ascii="Times New Roman" w:hAnsi="Times New Roman" w:cs="Times New Roman"/>
          <w:sz w:val="24"/>
          <w:szCs w:val="24"/>
        </w:rPr>
      </w:pPr>
    </w:p>
    <w:p w:rsidR="00C75124" w:rsidRDefault="00C75124" w:rsidP="00A67EFD">
      <w:pPr>
        <w:jc w:val="center"/>
        <w:rPr>
          <w:rFonts w:ascii="Times New Roman" w:hAnsi="Times New Roman" w:cs="Times New Roman"/>
          <w:b/>
          <w:sz w:val="24"/>
          <w:szCs w:val="24"/>
        </w:rPr>
      </w:pPr>
      <w:r>
        <w:rPr>
          <w:rFonts w:ascii="Times New Roman" w:hAnsi="Times New Roman" w:cs="Times New Roman"/>
          <w:b/>
          <w:sz w:val="24"/>
          <w:szCs w:val="24"/>
        </w:rPr>
        <w:t>Later vampire burials:</w:t>
      </w:r>
    </w:p>
    <w:p w:rsidR="00630432" w:rsidRDefault="00522D70" w:rsidP="00A67EFD">
      <w:pPr>
        <w:jc w:val="center"/>
        <w:rPr>
          <w:rFonts w:ascii="Times New Roman" w:hAnsi="Times New Roman" w:cs="Times New Roman"/>
          <w:sz w:val="24"/>
          <w:szCs w:val="24"/>
        </w:rPr>
      </w:pPr>
      <w:r>
        <w:rPr>
          <w:rFonts w:ascii="Times New Roman" w:hAnsi="Times New Roman" w:cs="Times New Roman"/>
          <w:sz w:val="24"/>
          <w:szCs w:val="24"/>
        </w:rPr>
        <w:t xml:space="preserve">The idea of vampires or revenants seems to be a valid concern throughout history and did not cease in the ancient world. </w:t>
      </w:r>
      <w:r w:rsidR="00773803">
        <w:rPr>
          <w:rFonts w:ascii="Times New Roman" w:hAnsi="Times New Roman" w:cs="Times New Roman"/>
          <w:sz w:val="24"/>
          <w:szCs w:val="24"/>
        </w:rPr>
        <w:t>Revenant burials continued well into the 19</w:t>
      </w:r>
      <w:r w:rsidR="00773803" w:rsidRPr="00773803">
        <w:rPr>
          <w:rFonts w:ascii="Times New Roman" w:hAnsi="Times New Roman" w:cs="Times New Roman"/>
          <w:sz w:val="24"/>
          <w:szCs w:val="24"/>
          <w:vertAlign w:val="superscript"/>
        </w:rPr>
        <w:t>th</w:t>
      </w:r>
      <w:r w:rsidR="00773803">
        <w:rPr>
          <w:rFonts w:ascii="Times New Roman" w:hAnsi="Times New Roman" w:cs="Times New Roman"/>
          <w:sz w:val="24"/>
          <w:szCs w:val="24"/>
        </w:rPr>
        <w:t xml:space="preserve"> century. An </w:t>
      </w:r>
      <w:proofErr w:type="spellStart"/>
      <w:r w:rsidR="00773803">
        <w:rPr>
          <w:rFonts w:ascii="Times New Roman" w:hAnsi="Times New Roman" w:cs="Times New Roman"/>
          <w:sz w:val="24"/>
          <w:szCs w:val="24"/>
        </w:rPr>
        <w:t>examp</w:t>
      </w:r>
      <w:proofErr w:type="spellEnd"/>
      <w:r w:rsidR="00773803">
        <w:rPr>
          <w:rFonts w:ascii="Times New Roman" w:hAnsi="Times New Roman" w:cs="Times New Roman"/>
          <w:sz w:val="24"/>
          <w:szCs w:val="24"/>
        </w:rPr>
        <w:t>-le of such a case is on the island of Lesbos, in a Turkish cemetery from the Ottoman period (18</w:t>
      </w:r>
      <w:r w:rsidR="00773803" w:rsidRPr="00773803">
        <w:rPr>
          <w:rFonts w:ascii="Times New Roman" w:hAnsi="Times New Roman" w:cs="Times New Roman"/>
          <w:sz w:val="24"/>
          <w:szCs w:val="24"/>
          <w:vertAlign w:val="superscript"/>
        </w:rPr>
        <w:t>th</w:t>
      </w:r>
      <w:r w:rsidR="00773803">
        <w:rPr>
          <w:rFonts w:ascii="Times New Roman" w:hAnsi="Times New Roman" w:cs="Times New Roman"/>
          <w:sz w:val="24"/>
          <w:szCs w:val="24"/>
        </w:rPr>
        <w:t>-19</w:t>
      </w:r>
      <w:r w:rsidR="00773803" w:rsidRPr="00773803">
        <w:rPr>
          <w:rFonts w:ascii="Times New Roman" w:hAnsi="Times New Roman" w:cs="Times New Roman"/>
          <w:sz w:val="24"/>
          <w:szCs w:val="24"/>
          <w:vertAlign w:val="superscript"/>
        </w:rPr>
        <w:t>th</w:t>
      </w:r>
      <w:r w:rsidR="00773803">
        <w:rPr>
          <w:rFonts w:ascii="Times New Roman" w:hAnsi="Times New Roman" w:cs="Times New Roman"/>
          <w:sz w:val="24"/>
          <w:szCs w:val="24"/>
        </w:rPr>
        <w:t xml:space="preserve"> centuries)</w:t>
      </w:r>
      <w:r w:rsidR="00773803">
        <w:rPr>
          <w:rStyle w:val="FootnoteReference"/>
          <w:rFonts w:ascii="Times New Roman" w:hAnsi="Times New Roman" w:cs="Times New Roman"/>
          <w:sz w:val="24"/>
          <w:szCs w:val="24"/>
        </w:rPr>
        <w:footnoteReference w:id="22"/>
      </w:r>
      <w:r w:rsidR="00773803">
        <w:rPr>
          <w:rFonts w:ascii="Times New Roman" w:hAnsi="Times New Roman" w:cs="Times New Roman"/>
          <w:sz w:val="24"/>
          <w:szCs w:val="24"/>
        </w:rPr>
        <w:t>. This cemetery contained an isolated tomb, the body in question was that of an adult who had been pinned down into the grave by the neck, pelvis and both feet with 20cm nails</w:t>
      </w:r>
      <w:r w:rsidR="00773803">
        <w:rPr>
          <w:rStyle w:val="FootnoteReference"/>
          <w:rFonts w:ascii="Times New Roman" w:hAnsi="Times New Roman" w:cs="Times New Roman"/>
          <w:sz w:val="24"/>
          <w:szCs w:val="24"/>
        </w:rPr>
        <w:footnoteReference w:id="23"/>
      </w:r>
      <w:r w:rsidR="00C960C8">
        <w:rPr>
          <w:rFonts w:ascii="Times New Roman" w:hAnsi="Times New Roman" w:cs="Times New Roman"/>
          <w:sz w:val="24"/>
          <w:szCs w:val="24"/>
        </w:rPr>
        <w:t xml:space="preserve">. </w:t>
      </w:r>
    </w:p>
    <w:p w:rsidR="00C75124" w:rsidRDefault="00C960C8" w:rsidP="00A67EFD">
      <w:pPr>
        <w:jc w:val="center"/>
        <w:rPr>
          <w:rFonts w:ascii="Times New Roman" w:hAnsi="Times New Roman" w:cs="Times New Roman"/>
          <w:sz w:val="24"/>
          <w:szCs w:val="24"/>
        </w:rPr>
      </w:pPr>
      <w:r>
        <w:rPr>
          <w:rFonts w:ascii="Times New Roman" w:hAnsi="Times New Roman" w:cs="Times New Roman"/>
          <w:sz w:val="24"/>
          <w:szCs w:val="24"/>
        </w:rPr>
        <w:t xml:space="preserve">Another example of such burials can be seen Poland in the cemetery if a village called </w:t>
      </w:r>
      <w:proofErr w:type="spellStart"/>
      <w:r w:rsidRPr="00C960C8">
        <w:rPr>
          <w:rFonts w:ascii="Times New Roman" w:hAnsi="Times New Roman" w:cs="Times New Roman"/>
          <w:sz w:val="24"/>
          <w:szCs w:val="24"/>
        </w:rPr>
        <w:t>Górzyca</w:t>
      </w:r>
      <w:proofErr w:type="spellEnd"/>
      <w:r>
        <w:rPr>
          <w:rFonts w:ascii="Times New Roman" w:hAnsi="Times New Roman" w:cs="Times New Roman"/>
          <w:sz w:val="24"/>
          <w:szCs w:val="24"/>
        </w:rPr>
        <w:t>.</w:t>
      </w:r>
      <w:r w:rsidR="00630432">
        <w:rPr>
          <w:rFonts w:ascii="Times New Roman" w:hAnsi="Times New Roman" w:cs="Times New Roman"/>
          <w:sz w:val="24"/>
          <w:szCs w:val="24"/>
        </w:rPr>
        <w:t xml:space="preserve"> These graves date to the 13</w:t>
      </w:r>
      <w:r w:rsidR="00630432" w:rsidRPr="00630432">
        <w:rPr>
          <w:rFonts w:ascii="Times New Roman" w:hAnsi="Times New Roman" w:cs="Times New Roman"/>
          <w:sz w:val="24"/>
          <w:szCs w:val="24"/>
          <w:vertAlign w:val="superscript"/>
        </w:rPr>
        <w:t>th</w:t>
      </w:r>
      <w:r w:rsidR="00630432">
        <w:rPr>
          <w:rFonts w:ascii="Times New Roman" w:hAnsi="Times New Roman" w:cs="Times New Roman"/>
          <w:sz w:val="24"/>
          <w:szCs w:val="24"/>
        </w:rPr>
        <w:t xml:space="preserve"> and 14</w:t>
      </w:r>
      <w:r w:rsidR="00630432" w:rsidRPr="00630432">
        <w:rPr>
          <w:rFonts w:ascii="Times New Roman" w:hAnsi="Times New Roman" w:cs="Times New Roman"/>
          <w:sz w:val="24"/>
          <w:szCs w:val="24"/>
          <w:vertAlign w:val="superscript"/>
        </w:rPr>
        <w:t>th</w:t>
      </w:r>
      <w:r w:rsidR="00630432">
        <w:rPr>
          <w:rFonts w:ascii="Times New Roman" w:hAnsi="Times New Roman" w:cs="Times New Roman"/>
          <w:sz w:val="24"/>
          <w:szCs w:val="24"/>
        </w:rPr>
        <w:t xml:space="preserve"> centuries</w:t>
      </w:r>
      <w:r w:rsidR="00630432">
        <w:rPr>
          <w:rStyle w:val="FootnoteReference"/>
          <w:rFonts w:ascii="Times New Roman" w:hAnsi="Times New Roman" w:cs="Times New Roman"/>
          <w:sz w:val="24"/>
          <w:szCs w:val="24"/>
        </w:rPr>
        <w:footnoteReference w:id="24"/>
      </w:r>
      <w:r>
        <w:rPr>
          <w:rFonts w:ascii="Times New Roman" w:hAnsi="Times New Roman" w:cs="Times New Roman"/>
          <w:sz w:val="24"/>
          <w:szCs w:val="24"/>
        </w:rPr>
        <w:t xml:space="preserve"> There were three bodies which had been mutilated</w:t>
      </w:r>
      <w:r w:rsidR="00630432">
        <w:rPr>
          <w:rFonts w:ascii="Times New Roman" w:hAnsi="Times New Roman" w:cs="Times New Roman"/>
          <w:sz w:val="24"/>
          <w:szCs w:val="24"/>
        </w:rPr>
        <w:t xml:space="preserve"> in different ways which include decapitation, deep puncture marks down the bodies spine and the wedging of the head between the legs</w:t>
      </w:r>
      <w:r w:rsidR="00630432">
        <w:rPr>
          <w:rStyle w:val="FootnoteReference"/>
          <w:rFonts w:ascii="Times New Roman" w:hAnsi="Times New Roman" w:cs="Times New Roman"/>
          <w:sz w:val="24"/>
          <w:szCs w:val="24"/>
        </w:rPr>
        <w:footnoteReference w:id="25"/>
      </w:r>
      <w:r w:rsidR="00630432">
        <w:rPr>
          <w:rFonts w:ascii="Times New Roman" w:hAnsi="Times New Roman" w:cs="Times New Roman"/>
          <w:sz w:val="24"/>
          <w:szCs w:val="24"/>
        </w:rPr>
        <w:t xml:space="preserve">. </w:t>
      </w:r>
      <w:proofErr w:type="gramStart"/>
      <w:r w:rsidR="00630432">
        <w:rPr>
          <w:rFonts w:ascii="Times New Roman" w:hAnsi="Times New Roman" w:cs="Times New Roman"/>
          <w:sz w:val="24"/>
          <w:szCs w:val="24"/>
        </w:rPr>
        <w:t>All of these</w:t>
      </w:r>
      <w:proofErr w:type="gramEnd"/>
      <w:r w:rsidR="00630432">
        <w:rPr>
          <w:rFonts w:ascii="Times New Roman" w:hAnsi="Times New Roman" w:cs="Times New Roman"/>
          <w:sz w:val="24"/>
          <w:szCs w:val="24"/>
        </w:rPr>
        <w:t xml:space="preserve"> actions were taken in order to prevent the dead from rising again</w:t>
      </w:r>
      <w:r w:rsidR="00630432">
        <w:rPr>
          <w:rStyle w:val="FootnoteReference"/>
          <w:rFonts w:ascii="Times New Roman" w:hAnsi="Times New Roman" w:cs="Times New Roman"/>
          <w:sz w:val="24"/>
          <w:szCs w:val="24"/>
        </w:rPr>
        <w:footnoteReference w:id="26"/>
      </w:r>
      <w:r w:rsidR="00630432">
        <w:rPr>
          <w:rFonts w:ascii="Times New Roman" w:hAnsi="Times New Roman" w:cs="Times New Roman"/>
          <w:sz w:val="24"/>
          <w:szCs w:val="24"/>
        </w:rPr>
        <w:t>. At least one of the bodies found in this location is thought to have suffered from kyphosis, a bone condition which is likely to have given her a hunched back</w:t>
      </w:r>
      <w:r w:rsidR="00630432">
        <w:rPr>
          <w:rStyle w:val="FootnoteReference"/>
          <w:rFonts w:ascii="Times New Roman" w:hAnsi="Times New Roman" w:cs="Times New Roman"/>
          <w:sz w:val="24"/>
          <w:szCs w:val="24"/>
        </w:rPr>
        <w:footnoteReference w:id="27"/>
      </w:r>
      <w:r w:rsidR="00630432">
        <w:rPr>
          <w:rFonts w:ascii="Times New Roman" w:hAnsi="Times New Roman" w:cs="Times New Roman"/>
          <w:sz w:val="24"/>
          <w:szCs w:val="24"/>
        </w:rPr>
        <w:t>. Because of this condition this woman may have been believed to have been a vampire. She was buried face down and her knees had been broken, most likely in attempt to stop her from rising again</w:t>
      </w:r>
      <w:r w:rsidR="00630432">
        <w:rPr>
          <w:rStyle w:val="FootnoteReference"/>
          <w:rFonts w:ascii="Times New Roman" w:hAnsi="Times New Roman" w:cs="Times New Roman"/>
          <w:sz w:val="24"/>
          <w:szCs w:val="24"/>
        </w:rPr>
        <w:footnoteReference w:id="28"/>
      </w:r>
      <w:r w:rsidR="00630432">
        <w:rPr>
          <w:rFonts w:ascii="Times New Roman" w:hAnsi="Times New Roman" w:cs="Times New Roman"/>
          <w:sz w:val="24"/>
          <w:szCs w:val="24"/>
        </w:rPr>
        <w:t xml:space="preserve">. </w:t>
      </w:r>
    </w:p>
    <w:p w:rsidR="00630432" w:rsidRDefault="00630432" w:rsidP="00A67EFD">
      <w:pPr>
        <w:jc w:val="center"/>
        <w:rPr>
          <w:rFonts w:ascii="Times New Roman" w:hAnsi="Times New Roman" w:cs="Times New Roman"/>
          <w:b/>
          <w:sz w:val="24"/>
          <w:szCs w:val="24"/>
        </w:rPr>
      </w:pPr>
      <w:r>
        <w:rPr>
          <w:rFonts w:ascii="Times New Roman" w:hAnsi="Times New Roman" w:cs="Times New Roman"/>
          <w:b/>
          <w:sz w:val="24"/>
          <w:szCs w:val="24"/>
        </w:rPr>
        <w:t>Conclusion:</w:t>
      </w:r>
    </w:p>
    <w:p w:rsidR="00630432" w:rsidRPr="00630432" w:rsidRDefault="00630432" w:rsidP="00A67EFD">
      <w:pPr>
        <w:jc w:val="center"/>
        <w:rPr>
          <w:rFonts w:ascii="Times New Roman" w:hAnsi="Times New Roman" w:cs="Times New Roman"/>
          <w:sz w:val="24"/>
          <w:szCs w:val="24"/>
        </w:rPr>
      </w:pPr>
      <w:r>
        <w:rPr>
          <w:rFonts w:ascii="Times New Roman" w:hAnsi="Times New Roman" w:cs="Times New Roman"/>
          <w:sz w:val="24"/>
          <w:szCs w:val="24"/>
        </w:rPr>
        <w:t xml:space="preserve">It appears clear that revenant burials are the epitome of the </w:t>
      </w:r>
      <w:r w:rsidR="00BD5E3B">
        <w:rPr>
          <w:rFonts w:ascii="Times New Roman" w:hAnsi="Times New Roman" w:cs="Times New Roman"/>
          <w:sz w:val="24"/>
          <w:szCs w:val="24"/>
        </w:rPr>
        <w:t>representation</w:t>
      </w:r>
      <w:r>
        <w:rPr>
          <w:rFonts w:ascii="Times New Roman" w:hAnsi="Times New Roman" w:cs="Times New Roman"/>
          <w:sz w:val="24"/>
          <w:szCs w:val="24"/>
        </w:rPr>
        <w:t xml:space="preserve"> of fear that people had of the dead returning to do them harm. This bel</w:t>
      </w:r>
      <w:r w:rsidR="00187DD7">
        <w:rPr>
          <w:rFonts w:ascii="Times New Roman" w:hAnsi="Times New Roman" w:cs="Times New Roman"/>
          <w:sz w:val="24"/>
          <w:szCs w:val="24"/>
        </w:rPr>
        <w:t>ief</w:t>
      </w:r>
      <w:r>
        <w:rPr>
          <w:rFonts w:ascii="Times New Roman" w:hAnsi="Times New Roman" w:cs="Times New Roman"/>
          <w:sz w:val="24"/>
          <w:szCs w:val="24"/>
        </w:rPr>
        <w:t xml:space="preserve"> is not just </w:t>
      </w:r>
      <w:r w:rsidR="00BD5E3B">
        <w:rPr>
          <w:rFonts w:ascii="Times New Roman" w:hAnsi="Times New Roman" w:cs="Times New Roman"/>
          <w:sz w:val="24"/>
          <w:szCs w:val="24"/>
        </w:rPr>
        <w:t>prevalent</w:t>
      </w:r>
      <w:r>
        <w:rPr>
          <w:rFonts w:ascii="Times New Roman" w:hAnsi="Times New Roman" w:cs="Times New Roman"/>
          <w:sz w:val="24"/>
          <w:szCs w:val="24"/>
        </w:rPr>
        <w:t xml:space="preserve"> in the ancient world but also carried over into a more modern setting, where </w:t>
      </w:r>
      <w:r w:rsidR="00BD5E3B">
        <w:rPr>
          <w:rFonts w:ascii="Times New Roman" w:hAnsi="Times New Roman" w:cs="Times New Roman"/>
          <w:sz w:val="24"/>
          <w:szCs w:val="24"/>
        </w:rPr>
        <w:t xml:space="preserve">bodies were still being </w:t>
      </w:r>
      <w:r w:rsidR="00BD5E3B">
        <w:rPr>
          <w:rFonts w:ascii="Times New Roman" w:hAnsi="Times New Roman" w:cs="Times New Roman"/>
          <w:sz w:val="24"/>
          <w:szCs w:val="24"/>
        </w:rPr>
        <w:lastRenderedPageBreak/>
        <w:t>mutilated in response to these beliefs.</w:t>
      </w:r>
      <w:r w:rsidR="00F75C00">
        <w:rPr>
          <w:rFonts w:ascii="Times New Roman" w:hAnsi="Times New Roman" w:cs="Times New Roman"/>
          <w:sz w:val="24"/>
          <w:szCs w:val="24"/>
        </w:rPr>
        <w:t xml:space="preserve"> For if there was no fear of them rising again, then why would they have needed to pin the dead down in some cases using drastic methods? </w:t>
      </w:r>
    </w:p>
    <w:p w:rsidR="00C75124" w:rsidRDefault="00C75124" w:rsidP="00A67EFD">
      <w:pPr>
        <w:jc w:val="center"/>
        <w:rPr>
          <w:rFonts w:ascii="Times New Roman" w:hAnsi="Times New Roman" w:cs="Times New Roman"/>
          <w:b/>
          <w:sz w:val="24"/>
          <w:szCs w:val="24"/>
        </w:rPr>
      </w:pPr>
    </w:p>
    <w:p w:rsidR="00C75124" w:rsidRDefault="00C75124" w:rsidP="00A67EFD">
      <w:pPr>
        <w:jc w:val="center"/>
        <w:rPr>
          <w:rFonts w:ascii="Times New Roman" w:hAnsi="Times New Roman" w:cs="Times New Roman"/>
          <w:b/>
          <w:sz w:val="24"/>
          <w:szCs w:val="24"/>
        </w:rPr>
      </w:pPr>
    </w:p>
    <w:p w:rsidR="00C75124" w:rsidRDefault="00C75124" w:rsidP="00A67EFD">
      <w:pPr>
        <w:jc w:val="center"/>
        <w:rPr>
          <w:rFonts w:ascii="Times New Roman" w:hAnsi="Times New Roman" w:cs="Times New Roman"/>
          <w:b/>
          <w:sz w:val="24"/>
          <w:szCs w:val="24"/>
        </w:rPr>
      </w:pPr>
    </w:p>
    <w:p w:rsidR="00C75124" w:rsidRDefault="00C75124" w:rsidP="00A67EFD">
      <w:pPr>
        <w:jc w:val="center"/>
        <w:rPr>
          <w:rFonts w:ascii="Times New Roman" w:hAnsi="Times New Roman" w:cs="Times New Roman"/>
          <w:b/>
          <w:sz w:val="24"/>
          <w:szCs w:val="24"/>
        </w:rPr>
      </w:pPr>
      <w:bookmarkStart w:id="0" w:name="_GoBack"/>
      <w:bookmarkEnd w:id="0"/>
    </w:p>
    <w:p w:rsidR="00C75124" w:rsidRDefault="00C75124" w:rsidP="00A67EFD">
      <w:pPr>
        <w:jc w:val="center"/>
        <w:rPr>
          <w:rFonts w:ascii="Times New Roman" w:hAnsi="Times New Roman" w:cs="Times New Roman"/>
          <w:b/>
          <w:sz w:val="24"/>
          <w:szCs w:val="24"/>
        </w:rPr>
      </w:pPr>
    </w:p>
    <w:p w:rsidR="00C75124" w:rsidRDefault="00C75124" w:rsidP="00A67EFD">
      <w:pPr>
        <w:jc w:val="center"/>
        <w:rPr>
          <w:rFonts w:ascii="Times New Roman" w:hAnsi="Times New Roman" w:cs="Times New Roman"/>
          <w:b/>
          <w:sz w:val="24"/>
          <w:szCs w:val="24"/>
        </w:rPr>
      </w:pPr>
    </w:p>
    <w:p w:rsidR="00C75124" w:rsidRDefault="00C75124" w:rsidP="00A67EFD">
      <w:pPr>
        <w:jc w:val="center"/>
        <w:rPr>
          <w:rFonts w:ascii="Times New Roman" w:hAnsi="Times New Roman" w:cs="Times New Roman"/>
          <w:b/>
          <w:sz w:val="24"/>
          <w:szCs w:val="24"/>
        </w:rPr>
      </w:pPr>
    </w:p>
    <w:p w:rsidR="00C75124" w:rsidRDefault="00C75124" w:rsidP="00A67EFD">
      <w:pPr>
        <w:jc w:val="center"/>
        <w:rPr>
          <w:rFonts w:ascii="Times New Roman" w:hAnsi="Times New Roman" w:cs="Times New Roman"/>
          <w:b/>
          <w:sz w:val="24"/>
          <w:szCs w:val="24"/>
        </w:rPr>
      </w:pPr>
    </w:p>
    <w:p w:rsidR="00C75124" w:rsidRPr="00C75124" w:rsidRDefault="00C75124" w:rsidP="00A67EFD">
      <w:pPr>
        <w:jc w:val="center"/>
        <w:rPr>
          <w:rFonts w:ascii="Times New Roman" w:hAnsi="Times New Roman" w:cs="Times New Roman"/>
          <w:b/>
          <w:sz w:val="24"/>
          <w:szCs w:val="24"/>
        </w:rPr>
      </w:pPr>
    </w:p>
    <w:p w:rsidR="00B9373A" w:rsidRDefault="00B9373A" w:rsidP="00A67EFD">
      <w:pPr>
        <w:jc w:val="center"/>
        <w:rPr>
          <w:rFonts w:ascii="Times New Roman" w:hAnsi="Times New Roman" w:cs="Times New Roman"/>
          <w:sz w:val="24"/>
          <w:szCs w:val="24"/>
        </w:rPr>
      </w:pPr>
    </w:p>
    <w:p w:rsidR="00B9373A" w:rsidRDefault="00B9373A" w:rsidP="00A67EFD">
      <w:pPr>
        <w:jc w:val="center"/>
        <w:rPr>
          <w:rFonts w:ascii="Times New Roman" w:hAnsi="Times New Roman" w:cs="Times New Roman"/>
          <w:sz w:val="24"/>
          <w:szCs w:val="24"/>
        </w:rPr>
      </w:pPr>
    </w:p>
    <w:p w:rsidR="00B9373A" w:rsidRDefault="00B9373A" w:rsidP="00A67EFD">
      <w:pPr>
        <w:jc w:val="center"/>
        <w:rPr>
          <w:rFonts w:ascii="Times New Roman" w:hAnsi="Times New Roman" w:cs="Times New Roman"/>
          <w:sz w:val="24"/>
          <w:szCs w:val="24"/>
        </w:rPr>
      </w:pPr>
    </w:p>
    <w:p w:rsidR="00B9373A" w:rsidRDefault="00B9373A" w:rsidP="0026758F">
      <w:pPr>
        <w:rPr>
          <w:rFonts w:ascii="Times New Roman" w:hAnsi="Times New Roman" w:cs="Times New Roman"/>
          <w:sz w:val="24"/>
          <w:szCs w:val="24"/>
        </w:rPr>
      </w:pPr>
    </w:p>
    <w:p w:rsidR="00C75124" w:rsidRDefault="00C75124" w:rsidP="0026758F">
      <w:pPr>
        <w:rPr>
          <w:rFonts w:ascii="Times New Roman" w:hAnsi="Times New Roman" w:cs="Times New Roman"/>
          <w:sz w:val="24"/>
          <w:szCs w:val="24"/>
        </w:rPr>
      </w:pPr>
    </w:p>
    <w:p w:rsidR="00C75124" w:rsidRDefault="00C75124" w:rsidP="0026758F">
      <w:pPr>
        <w:rPr>
          <w:rFonts w:ascii="Times New Roman" w:hAnsi="Times New Roman" w:cs="Times New Roman"/>
          <w:sz w:val="24"/>
          <w:szCs w:val="24"/>
        </w:rPr>
      </w:pPr>
    </w:p>
    <w:p w:rsidR="00C75124" w:rsidRDefault="00C75124" w:rsidP="0026758F">
      <w:pPr>
        <w:rPr>
          <w:rFonts w:ascii="Times New Roman" w:hAnsi="Times New Roman" w:cs="Times New Roman"/>
          <w:sz w:val="24"/>
          <w:szCs w:val="24"/>
        </w:rPr>
      </w:pPr>
    </w:p>
    <w:p w:rsidR="00C75124" w:rsidRDefault="00C75124" w:rsidP="0026758F">
      <w:pPr>
        <w:rPr>
          <w:rFonts w:ascii="Times New Roman" w:hAnsi="Times New Roman" w:cs="Times New Roman"/>
          <w:sz w:val="24"/>
          <w:szCs w:val="24"/>
        </w:rPr>
      </w:pPr>
    </w:p>
    <w:p w:rsidR="00C75124" w:rsidRDefault="00C75124" w:rsidP="0026758F">
      <w:pPr>
        <w:rPr>
          <w:rFonts w:ascii="Times New Roman" w:hAnsi="Times New Roman" w:cs="Times New Roman"/>
          <w:sz w:val="24"/>
          <w:szCs w:val="24"/>
        </w:rPr>
      </w:pPr>
    </w:p>
    <w:p w:rsidR="00C75124" w:rsidRDefault="00C75124" w:rsidP="0026758F">
      <w:pPr>
        <w:rPr>
          <w:rFonts w:ascii="Times New Roman" w:hAnsi="Times New Roman" w:cs="Times New Roman"/>
          <w:sz w:val="24"/>
          <w:szCs w:val="24"/>
        </w:rPr>
      </w:pPr>
    </w:p>
    <w:p w:rsidR="00C75124" w:rsidRDefault="00C75124" w:rsidP="0026758F">
      <w:pPr>
        <w:rPr>
          <w:rFonts w:ascii="Times New Roman" w:hAnsi="Times New Roman" w:cs="Times New Roman"/>
          <w:sz w:val="24"/>
          <w:szCs w:val="24"/>
        </w:rPr>
      </w:pPr>
    </w:p>
    <w:p w:rsidR="00C75124" w:rsidRDefault="00C75124" w:rsidP="0026758F">
      <w:pPr>
        <w:rPr>
          <w:rFonts w:ascii="Times New Roman" w:hAnsi="Times New Roman" w:cs="Times New Roman"/>
          <w:sz w:val="24"/>
          <w:szCs w:val="24"/>
        </w:rPr>
      </w:pPr>
    </w:p>
    <w:p w:rsidR="00C75124" w:rsidRDefault="00C75124" w:rsidP="0026758F">
      <w:pPr>
        <w:rPr>
          <w:rFonts w:ascii="Times New Roman" w:hAnsi="Times New Roman" w:cs="Times New Roman"/>
          <w:sz w:val="24"/>
          <w:szCs w:val="24"/>
        </w:rPr>
      </w:pPr>
    </w:p>
    <w:p w:rsidR="00C75124" w:rsidRDefault="00C75124" w:rsidP="0026758F">
      <w:pPr>
        <w:rPr>
          <w:rFonts w:ascii="Times New Roman" w:hAnsi="Times New Roman" w:cs="Times New Roman"/>
          <w:sz w:val="24"/>
          <w:szCs w:val="24"/>
        </w:rPr>
      </w:pPr>
    </w:p>
    <w:p w:rsidR="00C75124" w:rsidRDefault="00C75124" w:rsidP="0026758F">
      <w:pPr>
        <w:rPr>
          <w:rFonts w:ascii="Times New Roman" w:hAnsi="Times New Roman" w:cs="Times New Roman"/>
          <w:sz w:val="24"/>
          <w:szCs w:val="24"/>
        </w:rPr>
      </w:pPr>
    </w:p>
    <w:p w:rsidR="00B9373A" w:rsidRDefault="00B9373A" w:rsidP="0026758F">
      <w:pPr>
        <w:rPr>
          <w:rFonts w:ascii="Times New Roman" w:hAnsi="Times New Roman" w:cs="Times New Roman"/>
          <w:sz w:val="24"/>
          <w:szCs w:val="24"/>
        </w:rPr>
      </w:pPr>
    </w:p>
    <w:p w:rsidR="00BB3F7E" w:rsidRDefault="00BB3F7E" w:rsidP="0026758F">
      <w:pPr>
        <w:rPr>
          <w:rFonts w:ascii="Times New Roman" w:hAnsi="Times New Roman" w:cs="Times New Roman"/>
          <w:sz w:val="24"/>
          <w:szCs w:val="24"/>
        </w:rPr>
      </w:pPr>
    </w:p>
    <w:p w:rsidR="00BB3F7E" w:rsidRDefault="00BB3F7E" w:rsidP="0026758F">
      <w:pPr>
        <w:rPr>
          <w:rFonts w:ascii="Times New Roman" w:hAnsi="Times New Roman" w:cs="Times New Roman"/>
          <w:sz w:val="24"/>
          <w:szCs w:val="24"/>
        </w:rPr>
      </w:pPr>
    </w:p>
    <w:p w:rsidR="00B9373A" w:rsidRDefault="00B9373A" w:rsidP="0026758F">
      <w:pPr>
        <w:rPr>
          <w:rFonts w:ascii="Times New Roman" w:hAnsi="Times New Roman" w:cs="Times New Roman"/>
          <w:sz w:val="24"/>
          <w:szCs w:val="24"/>
        </w:rPr>
      </w:pPr>
    </w:p>
    <w:sdt>
      <w:sdtPr>
        <w:id w:val="-683972435"/>
        <w:docPartObj>
          <w:docPartGallery w:val="Bibliographies"/>
          <w:docPartUnique/>
        </w:docPartObj>
      </w:sdtPr>
      <w:sdtEndPr>
        <w:rPr>
          <w:rFonts w:asciiTheme="minorHAnsi" w:eastAsiaTheme="minorHAnsi" w:hAnsiTheme="minorHAnsi" w:cstheme="minorBidi"/>
          <w:color w:val="auto"/>
          <w:sz w:val="22"/>
          <w:szCs w:val="22"/>
          <w:lang w:val="en-GB"/>
        </w:rPr>
      </w:sdtEndPr>
      <w:sdtContent>
        <w:p w:rsidR="00EE0761" w:rsidRPr="00EE0761" w:rsidRDefault="00EE0761" w:rsidP="00EE0761">
          <w:pPr>
            <w:pStyle w:val="Heading1"/>
          </w:pPr>
          <w:r>
            <w:t>Bibliography</w:t>
          </w:r>
        </w:p>
        <w:sdt>
          <w:sdtPr>
            <w:id w:val="111145805"/>
            <w:bibliography/>
          </w:sdtPr>
          <w:sdtContent>
            <w:p w:rsidR="00BB3F7E" w:rsidRDefault="00BB3F7E">
              <w:r w:rsidRPr="00BB3F7E">
                <w:t xml:space="preserve">Barber, P. (n.d.). </w:t>
              </w:r>
              <w:r w:rsidRPr="00BB3F7E">
                <w:rPr>
                  <w:i/>
                </w:rPr>
                <w:t>Vampires, burial, and death</w:t>
              </w:r>
              <w:r w:rsidRPr="00BB3F7E">
                <w:t>. Yale University Press.</w:t>
              </w:r>
            </w:p>
            <w:p w:rsidR="00BB3F7E" w:rsidRDefault="00BB3F7E">
              <w:r w:rsidRPr="00BB3F7E">
                <w:t xml:space="preserve">Felton, D. (1999). </w:t>
              </w:r>
              <w:r w:rsidRPr="00BB3F7E">
                <w:rPr>
                  <w:i/>
                </w:rPr>
                <w:t>Haunted Greece and Rome</w:t>
              </w:r>
              <w:r w:rsidRPr="00BB3F7E">
                <w:t>. Austin: University of Texas Press.</w:t>
              </w:r>
            </w:p>
            <w:p w:rsidR="00BB3F7E" w:rsidRDefault="00BB3F7E">
              <w:r w:rsidRPr="00BB3F7E">
                <w:t xml:space="preserve">Henriques, M. (2018). </w:t>
              </w:r>
              <w:r w:rsidRPr="00BB3F7E">
                <w:rPr>
                  <w:i/>
                </w:rPr>
                <w:t>'Vampires' mutilated before burial in medieval Poland were just people with health problems.</w:t>
              </w:r>
              <w:r w:rsidRPr="00BB3F7E">
                <w:t xml:space="preserve"> [online] International Business Times UK. Available at: http://www.ibtimes.co.uk/vampires-mutilated-before-burial-medieval-poland-were-just-people-health-problems-1595564 [Accessed 19 Jan. 2018].</w:t>
              </w:r>
            </w:p>
            <w:p w:rsidR="00BB3F7E" w:rsidRDefault="00BB3F7E">
              <w:r w:rsidRPr="00BB3F7E">
                <w:t xml:space="preserve">Murgatroyd, P. (2013). </w:t>
              </w:r>
              <w:r w:rsidRPr="00BB3F7E">
                <w:rPr>
                  <w:i/>
                </w:rPr>
                <w:t>Mythical Monsters in Classical Literature</w:t>
              </w:r>
              <w:r w:rsidRPr="00BB3F7E">
                <w:t>. London: Bloomsbury Publishing.</w:t>
              </w:r>
            </w:p>
            <w:p w:rsidR="00BB3F7E" w:rsidRDefault="00BB3F7E">
              <w:r w:rsidRPr="00BB3F7E">
                <w:t xml:space="preserve">Pliny. </w:t>
              </w:r>
              <w:r w:rsidRPr="00BB3F7E">
                <w:rPr>
                  <w:i/>
                </w:rPr>
                <w:t>Natural History</w:t>
              </w:r>
              <w:r w:rsidRPr="00BB3F7E">
                <w:t xml:space="preserve"> 7.52</w:t>
              </w:r>
            </w:p>
            <w:p w:rsidR="00BB3F7E" w:rsidRDefault="00BB3F7E">
              <w:proofErr w:type="spellStart"/>
              <w:r w:rsidRPr="00BB3F7E">
                <w:t>Sulosky</w:t>
              </w:r>
              <w:proofErr w:type="spellEnd"/>
              <w:r w:rsidRPr="00BB3F7E">
                <w:t xml:space="preserve"> Weaver, C. (2018). </w:t>
              </w:r>
              <w:r w:rsidRPr="00BB3F7E">
                <w:rPr>
                  <w:i/>
                </w:rPr>
                <w:t>Walking Dead and Vengeful Spirits</w:t>
              </w:r>
              <w:r w:rsidRPr="00BB3F7E">
                <w:t xml:space="preserve">. [online] Popular </w:t>
              </w:r>
              <w:proofErr w:type="spellStart"/>
              <w:r w:rsidRPr="00BB3F7E">
                <w:t>Archeology</w:t>
              </w:r>
              <w:proofErr w:type="spellEnd"/>
              <w:r w:rsidRPr="00BB3F7E">
                <w:t>. Available at: http://popular-archaeology.com/issue/summer-2015/article/walking-dead-and-vengeful-spirits [Accessed 19 Jan. 2018].</w:t>
              </w:r>
            </w:p>
            <w:p w:rsidR="00EE0761" w:rsidRDefault="00BB3F7E">
              <w:proofErr w:type="spellStart"/>
              <w:r w:rsidRPr="00BB3F7E">
                <w:t>Sulosky</w:t>
              </w:r>
              <w:proofErr w:type="spellEnd"/>
              <w:r w:rsidRPr="00BB3F7E">
                <w:t xml:space="preserve"> Weaver, C. and Di Stefano, G. (n.d.). </w:t>
              </w:r>
              <w:r w:rsidRPr="00BB3F7E">
                <w:rPr>
                  <w:i/>
                </w:rPr>
                <w:t>The bioarchaeology of Classical Kamarina</w:t>
              </w:r>
              <w:r w:rsidRPr="00BB3F7E">
                <w:t>. Florida: University Press of Florida.</w:t>
              </w:r>
            </w:p>
          </w:sdtContent>
        </w:sdt>
      </w:sdtContent>
    </w:sdt>
    <w:p w:rsidR="00B9373A" w:rsidRDefault="00B9373A" w:rsidP="0026758F">
      <w:pPr>
        <w:rPr>
          <w:rFonts w:ascii="Times New Roman" w:hAnsi="Times New Roman" w:cs="Times New Roman"/>
          <w:sz w:val="24"/>
          <w:szCs w:val="24"/>
        </w:rPr>
      </w:pPr>
    </w:p>
    <w:p w:rsidR="00B9373A" w:rsidRDefault="00B9373A" w:rsidP="0026758F">
      <w:pPr>
        <w:rPr>
          <w:rFonts w:ascii="Times New Roman" w:hAnsi="Times New Roman" w:cs="Times New Roman"/>
          <w:sz w:val="24"/>
          <w:szCs w:val="24"/>
        </w:rPr>
      </w:pPr>
    </w:p>
    <w:p w:rsidR="00B9373A" w:rsidRDefault="00B9373A" w:rsidP="0026758F">
      <w:pPr>
        <w:rPr>
          <w:rFonts w:ascii="Times New Roman" w:hAnsi="Times New Roman" w:cs="Times New Roman"/>
          <w:sz w:val="24"/>
          <w:szCs w:val="24"/>
        </w:rPr>
      </w:pPr>
    </w:p>
    <w:p w:rsidR="00B9373A" w:rsidRDefault="00B9373A" w:rsidP="0026758F">
      <w:pPr>
        <w:rPr>
          <w:rFonts w:ascii="Times New Roman" w:hAnsi="Times New Roman" w:cs="Times New Roman"/>
          <w:sz w:val="24"/>
          <w:szCs w:val="24"/>
        </w:rPr>
      </w:pPr>
    </w:p>
    <w:p w:rsidR="00B9373A" w:rsidRDefault="00B9373A" w:rsidP="0026758F">
      <w:pPr>
        <w:rPr>
          <w:rFonts w:ascii="Times New Roman" w:hAnsi="Times New Roman" w:cs="Times New Roman"/>
          <w:sz w:val="24"/>
          <w:szCs w:val="24"/>
        </w:rPr>
      </w:pPr>
    </w:p>
    <w:p w:rsidR="00B9373A" w:rsidRDefault="00B9373A" w:rsidP="0026758F">
      <w:pPr>
        <w:rPr>
          <w:rFonts w:ascii="Times New Roman" w:hAnsi="Times New Roman" w:cs="Times New Roman"/>
          <w:sz w:val="24"/>
          <w:szCs w:val="24"/>
        </w:rPr>
      </w:pPr>
    </w:p>
    <w:p w:rsidR="00B9373A" w:rsidRDefault="00B9373A" w:rsidP="0026758F">
      <w:pPr>
        <w:rPr>
          <w:rFonts w:ascii="Times New Roman" w:hAnsi="Times New Roman" w:cs="Times New Roman"/>
          <w:sz w:val="24"/>
          <w:szCs w:val="24"/>
        </w:rPr>
      </w:pPr>
    </w:p>
    <w:p w:rsidR="00B9373A" w:rsidRDefault="00B9373A" w:rsidP="0026758F">
      <w:pPr>
        <w:rPr>
          <w:rFonts w:ascii="Times New Roman" w:hAnsi="Times New Roman" w:cs="Times New Roman"/>
          <w:sz w:val="24"/>
          <w:szCs w:val="24"/>
        </w:rPr>
      </w:pPr>
    </w:p>
    <w:p w:rsidR="00B9373A" w:rsidRDefault="00B9373A" w:rsidP="0026758F">
      <w:pPr>
        <w:rPr>
          <w:rFonts w:ascii="Times New Roman" w:hAnsi="Times New Roman" w:cs="Times New Roman"/>
          <w:sz w:val="24"/>
          <w:szCs w:val="24"/>
        </w:rPr>
      </w:pPr>
    </w:p>
    <w:p w:rsidR="00B9373A" w:rsidRDefault="00B9373A" w:rsidP="0026758F">
      <w:pPr>
        <w:rPr>
          <w:rFonts w:ascii="Times New Roman" w:hAnsi="Times New Roman" w:cs="Times New Roman"/>
          <w:sz w:val="24"/>
          <w:szCs w:val="24"/>
        </w:rPr>
      </w:pPr>
    </w:p>
    <w:p w:rsidR="00B9373A" w:rsidRDefault="00B9373A" w:rsidP="0026758F">
      <w:pPr>
        <w:rPr>
          <w:rFonts w:ascii="Times New Roman" w:hAnsi="Times New Roman" w:cs="Times New Roman"/>
          <w:sz w:val="24"/>
          <w:szCs w:val="24"/>
        </w:rPr>
      </w:pPr>
    </w:p>
    <w:p w:rsidR="00B9373A" w:rsidRPr="00B9373A" w:rsidRDefault="00B9373A" w:rsidP="00B9373A">
      <w:pPr>
        <w:rPr>
          <w:rFonts w:ascii="Times New Roman" w:hAnsi="Times New Roman" w:cs="Times New Roman"/>
          <w:b/>
          <w:sz w:val="28"/>
          <w:szCs w:val="28"/>
        </w:rPr>
      </w:pPr>
    </w:p>
    <w:sectPr w:rsidR="00B9373A" w:rsidRPr="00B9373A">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95AD4" w:rsidRDefault="00695AD4" w:rsidP="009B7239">
      <w:pPr>
        <w:spacing w:after="0" w:line="240" w:lineRule="auto"/>
      </w:pPr>
      <w:r>
        <w:separator/>
      </w:r>
    </w:p>
  </w:endnote>
  <w:endnote w:type="continuationSeparator" w:id="0">
    <w:p w:rsidR="00695AD4" w:rsidRDefault="00695AD4" w:rsidP="009B723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886558371"/>
      <w:docPartObj>
        <w:docPartGallery w:val="Page Numbers (Bottom of Page)"/>
        <w:docPartUnique/>
      </w:docPartObj>
    </w:sdtPr>
    <w:sdtEndPr>
      <w:rPr>
        <w:noProof/>
      </w:rPr>
    </w:sdtEndPr>
    <w:sdtContent>
      <w:p w:rsidR="00C960C8" w:rsidRDefault="00C960C8">
        <w:pPr>
          <w:pStyle w:val="Footer"/>
          <w:jc w:val="center"/>
        </w:pPr>
        <w:r>
          <w:fldChar w:fldCharType="begin"/>
        </w:r>
        <w:r>
          <w:instrText xml:space="preserve"> PAGE   \* MERGEFORMAT </w:instrText>
        </w:r>
        <w:r>
          <w:fldChar w:fldCharType="separate"/>
        </w:r>
        <w:r w:rsidR="00187DD7">
          <w:rPr>
            <w:noProof/>
          </w:rPr>
          <w:t>6</w:t>
        </w:r>
        <w:r>
          <w:rPr>
            <w:noProof/>
          </w:rPr>
          <w:fldChar w:fldCharType="end"/>
        </w:r>
      </w:p>
    </w:sdtContent>
  </w:sdt>
  <w:p w:rsidR="00C960C8" w:rsidRDefault="00C960C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95AD4" w:rsidRDefault="00695AD4" w:rsidP="009B7239">
      <w:pPr>
        <w:spacing w:after="0" w:line="240" w:lineRule="auto"/>
      </w:pPr>
      <w:r>
        <w:separator/>
      </w:r>
    </w:p>
  </w:footnote>
  <w:footnote w:type="continuationSeparator" w:id="0">
    <w:p w:rsidR="00695AD4" w:rsidRDefault="00695AD4" w:rsidP="009B7239">
      <w:pPr>
        <w:spacing w:after="0" w:line="240" w:lineRule="auto"/>
      </w:pPr>
      <w:r>
        <w:continuationSeparator/>
      </w:r>
    </w:p>
  </w:footnote>
  <w:footnote w:id="1">
    <w:p w:rsidR="00C960C8" w:rsidRPr="00466341" w:rsidRDefault="00C960C8">
      <w:pPr>
        <w:pStyle w:val="FootnoteText"/>
        <w:rPr>
          <w:rFonts w:ascii="Times New Roman" w:hAnsi="Times New Roman" w:cs="Times New Roman"/>
        </w:rPr>
      </w:pPr>
      <w:r w:rsidRPr="00466341">
        <w:rPr>
          <w:rStyle w:val="FootnoteReference"/>
          <w:rFonts w:ascii="Times New Roman" w:hAnsi="Times New Roman" w:cs="Times New Roman"/>
        </w:rPr>
        <w:footnoteRef/>
      </w:r>
      <w:r w:rsidRPr="00466341">
        <w:rPr>
          <w:rFonts w:ascii="Times New Roman" w:hAnsi="Times New Roman" w:cs="Times New Roman"/>
        </w:rPr>
        <w:t xml:space="preserve"> </w:t>
      </w:r>
      <w:proofErr w:type="spellStart"/>
      <w:r w:rsidRPr="00466341">
        <w:rPr>
          <w:rFonts w:ascii="Times New Roman" w:hAnsi="Times New Roman" w:cs="Times New Roman"/>
        </w:rPr>
        <w:t>Sulosky</w:t>
      </w:r>
      <w:proofErr w:type="spellEnd"/>
      <w:r w:rsidRPr="00466341">
        <w:rPr>
          <w:rFonts w:ascii="Times New Roman" w:hAnsi="Times New Roman" w:cs="Times New Roman"/>
        </w:rPr>
        <w:t xml:space="preserve"> Weaver, C. (2018). </w:t>
      </w:r>
      <w:r w:rsidRPr="00AB140D">
        <w:rPr>
          <w:rFonts w:ascii="Times New Roman" w:hAnsi="Times New Roman" w:cs="Times New Roman"/>
          <w:i/>
        </w:rPr>
        <w:t>Walking Dead and Vengeful Spirits</w:t>
      </w:r>
      <w:r w:rsidRPr="00466341">
        <w:rPr>
          <w:rFonts w:ascii="Times New Roman" w:hAnsi="Times New Roman" w:cs="Times New Roman"/>
        </w:rPr>
        <w:t>. [online] Popular Archaeology. Available at: http://popular-archaeology.com/issue/summer-2015/article/walking-dead-and-vengeful-spirits [Accessed 19 Jan. 2018] P3</w:t>
      </w:r>
    </w:p>
  </w:footnote>
  <w:footnote w:id="2">
    <w:p w:rsidR="00C960C8" w:rsidRDefault="00C960C8">
      <w:pPr>
        <w:pStyle w:val="FootnoteText"/>
      </w:pPr>
      <w:r>
        <w:rPr>
          <w:rStyle w:val="FootnoteReference"/>
        </w:rPr>
        <w:footnoteRef/>
      </w:r>
      <w:r>
        <w:t xml:space="preserve"> Pliny. </w:t>
      </w:r>
      <w:r w:rsidRPr="00AB140D">
        <w:rPr>
          <w:i/>
        </w:rPr>
        <w:t>Natural History.</w:t>
      </w:r>
      <w:r>
        <w:t xml:space="preserve"> 7.52</w:t>
      </w:r>
    </w:p>
  </w:footnote>
  <w:footnote w:id="3">
    <w:p w:rsidR="00C960C8" w:rsidRDefault="00C960C8">
      <w:pPr>
        <w:pStyle w:val="FootnoteText"/>
      </w:pPr>
      <w:r>
        <w:rPr>
          <w:rStyle w:val="FootnoteReference"/>
        </w:rPr>
        <w:footnoteRef/>
      </w:r>
      <w:r>
        <w:t xml:space="preserve"> </w:t>
      </w:r>
      <w:r w:rsidRPr="00344343">
        <w:t xml:space="preserve">Murgatroyd, P. (2013). </w:t>
      </w:r>
      <w:r w:rsidRPr="00AB140D">
        <w:rPr>
          <w:i/>
        </w:rPr>
        <w:t>Mythical Monsters in Classical Literature</w:t>
      </w:r>
      <w:r w:rsidRPr="00344343">
        <w:t>. London: Bloomsbury Publishing.</w:t>
      </w:r>
      <w:r>
        <w:t xml:space="preserve"> P6</w:t>
      </w:r>
    </w:p>
  </w:footnote>
  <w:footnote w:id="4">
    <w:p w:rsidR="00C960C8" w:rsidRDefault="00C960C8">
      <w:pPr>
        <w:pStyle w:val="FootnoteText"/>
      </w:pPr>
      <w:r>
        <w:rPr>
          <w:rStyle w:val="FootnoteReference"/>
        </w:rPr>
        <w:footnoteRef/>
      </w:r>
      <w:r>
        <w:t xml:space="preserve"> </w:t>
      </w:r>
      <w:r w:rsidRPr="00344343">
        <w:t xml:space="preserve">Murgatroyd, P. (2013). </w:t>
      </w:r>
      <w:r w:rsidRPr="00AB140D">
        <w:rPr>
          <w:i/>
        </w:rPr>
        <w:t>Mythical Monsters in Classical Literature</w:t>
      </w:r>
      <w:r w:rsidRPr="00344343">
        <w:t>. London: Bloomsbury Publishing.</w:t>
      </w:r>
      <w:r>
        <w:t xml:space="preserve"> P7</w:t>
      </w:r>
    </w:p>
  </w:footnote>
  <w:footnote w:id="5">
    <w:p w:rsidR="00C960C8" w:rsidRPr="00B86E94" w:rsidRDefault="00C960C8">
      <w:pPr>
        <w:pStyle w:val="FootnoteText"/>
        <w:rPr>
          <w:rFonts w:ascii="Times New Roman" w:hAnsi="Times New Roman" w:cs="Times New Roman"/>
        </w:rPr>
      </w:pPr>
      <w:r w:rsidRPr="00B86E94">
        <w:rPr>
          <w:rStyle w:val="FootnoteReference"/>
          <w:rFonts w:ascii="Times New Roman" w:hAnsi="Times New Roman" w:cs="Times New Roman"/>
        </w:rPr>
        <w:footnoteRef/>
      </w:r>
      <w:r w:rsidRPr="00B86E94">
        <w:rPr>
          <w:rFonts w:ascii="Times New Roman" w:hAnsi="Times New Roman" w:cs="Times New Roman"/>
        </w:rPr>
        <w:t xml:space="preserve"> </w:t>
      </w:r>
      <w:proofErr w:type="spellStart"/>
      <w:r w:rsidRPr="00B86E94">
        <w:rPr>
          <w:rFonts w:ascii="Times New Roman" w:hAnsi="Times New Roman" w:cs="Times New Roman"/>
        </w:rPr>
        <w:t>Sulosky</w:t>
      </w:r>
      <w:proofErr w:type="spellEnd"/>
      <w:r w:rsidRPr="00B86E94">
        <w:rPr>
          <w:rFonts w:ascii="Times New Roman" w:hAnsi="Times New Roman" w:cs="Times New Roman"/>
        </w:rPr>
        <w:t xml:space="preserve"> Weaver, C. (2018). </w:t>
      </w:r>
      <w:r w:rsidRPr="00AB140D">
        <w:rPr>
          <w:rFonts w:ascii="Times New Roman" w:hAnsi="Times New Roman" w:cs="Times New Roman"/>
          <w:i/>
        </w:rPr>
        <w:t>Walking Dead and Vengeful Spirits</w:t>
      </w:r>
      <w:r w:rsidRPr="00B86E94">
        <w:rPr>
          <w:rFonts w:ascii="Times New Roman" w:hAnsi="Times New Roman" w:cs="Times New Roman"/>
        </w:rPr>
        <w:t>. [online] Popular Archaeology. Available at: http://popular-archaeology.com/issue/summer-2015/article/walking-dead-and-vengeful-spirits [Accessed 19 Jan. 2018].</w:t>
      </w:r>
      <w:r>
        <w:rPr>
          <w:rFonts w:ascii="Times New Roman" w:hAnsi="Times New Roman" w:cs="Times New Roman"/>
        </w:rPr>
        <w:t xml:space="preserve"> P15</w:t>
      </w:r>
    </w:p>
  </w:footnote>
  <w:footnote w:id="6">
    <w:p w:rsidR="00C960C8" w:rsidRDefault="00C960C8" w:rsidP="00C14B8F">
      <w:pPr>
        <w:pStyle w:val="FootnoteText"/>
      </w:pPr>
      <w:r>
        <w:rPr>
          <w:rStyle w:val="FootnoteReference"/>
        </w:rPr>
        <w:footnoteRef/>
      </w:r>
      <w:r>
        <w:t xml:space="preserve"> </w:t>
      </w:r>
      <w:r w:rsidRPr="00C14B8F">
        <w:t xml:space="preserve">Barber, P. (n.d.). </w:t>
      </w:r>
      <w:r w:rsidRPr="00AB140D">
        <w:rPr>
          <w:i/>
        </w:rPr>
        <w:t>Vampires, burial, and death</w:t>
      </w:r>
      <w:r w:rsidRPr="00C14B8F">
        <w:t>. Yale University Press.</w:t>
      </w:r>
      <w:r>
        <w:t xml:space="preserve"> P102</w:t>
      </w:r>
    </w:p>
  </w:footnote>
  <w:footnote w:id="7">
    <w:p w:rsidR="00C960C8" w:rsidRDefault="00C960C8">
      <w:pPr>
        <w:pStyle w:val="FootnoteText"/>
      </w:pPr>
      <w:r>
        <w:rPr>
          <w:rStyle w:val="FootnoteReference"/>
        </w:rPr>
        <w:footnoteRef/>
      </w:r>
      <w:r>
        <w:t xml:space="preserve"> </w:t>
      </w:r>
      <w:r w:rsidRPr="003D5112">
        <w:t xml:space="preserve">Barber, P. (n.d.). </w:t>
      </w:r>
      <w:r w:rsidRPr="00AB140D">
        <w:rPr>
          <w:i/>
        </w:rPr>
        <w:t>Vampires, burial, and death</w:t>
      </w:r>
      <w:r w:rsidRPr="003D5112">
        <w:t>. Yale University Press.</w:t>
      </w:r>
      <w:r>
        <w:t xml:space="preserve"> P102-103</w:t>
      </w:r>
    </w:p>
  </w:footnote>
  <w:footnote w:id="8">
    <w:p w:rsidR="00C960C8" w:rsidRDefault="00C960C8">
      <w:pPr>
        <w:pStyle w:val="FootnoteText"/>
      </w:pPr>
      <w:r>
        <w:rPr>
          <w:rStyle w:val="FootnoteReference"/>
        </w:rPr>
        <w:footnoteRef/>
      </w:r>
      <w:r>
        <w:t xml:space="preserve"> </w:t>
      </w:r>
      <w:r w:rsidRPr="00C21EFA">
        <w:t xml:space="preserve">Barber, P. (n.d.). </w:t>
      </w:r>
      <w:r w:rsidRPr="00AB140D">
        <w:rPr>
          <w:i/>
        </w:rPr>
        <w:t>Vampires, burial, and death</w:t>
      </w:r>
      <w:r w:rsidRPr="00C21EFA">
        <w:t>. Yale University Press.</w:t>
      </w:r>
      <w:r>
        <w:t xml:space="preserve"> P102-103</w:t>
      </w:r>
    </w:p>
  </w:footnote>
  <w:footnote w:id="9">
    <w:p w:rsidR="00C960C8" w:rsidRPr="000E0D6B" w:rsidRDefault="00C960C8">
      <w:pPr>
        <w:pStyle w:val="FootnoteText"/>
        <w:rPr>
          <w:rFonts w:ascii="Times New Roman" w:hAnsi="Times New Roman" w:cs="Times New Roman"/>
        </w:rPr>
      </w:pPr>
      <w:r w:rsidRPr="000E0D6B">
        <w:rPr>
          <w:rStyle w:val="FootnoteReference"/>
          <w:rFonts w:ascii="Times New Roman" w:hAnsi="Times New Roman" w:cs="Times New Roman"/>
        </w:rPr>
        <w:footnoteRef/>
      </w:r>
      <w:r w:rsidRPr="000E0D6B">
        <w:rPr>
          <w:rFonts w:ascii="Times New Roman" w:hAnsi="Times New Roman" w:cs="Times New Roman"/>
        </w:rPr>
        <w:t xml:space="preserve"> </w:t>
      </w:r>
      <w:proofErr w:type="spellStart"/>
      <w:r w:rsidRPr="000E0D6B">
        <w:rPr>
          <w:rFonts w:ascii="Times New Roman" w:hAnsi="Times New Roman" w:cs="Times New Roman"/>
        </w:rPr>
        <w:t>Sulosky</w:t>
      </w:r>
      <w:proofErr w:type="spellEnd"/>
      <w:r w:rsidRPr="000E0D6B">
        <w:rPr>
          <w:rFonts w:ascii="Times New Roman" w:hAnsi="Times New Roman" w:cs="Times New Roman"/>
        </w:rPr>
        <w:t xml:space="preserve"> Weaver, C. (2018). </w:t>
      </w:r>
      <w:r w:rsidRPr="000E0D6B">
        <w:rPr>
          <w:rFonts w:ascii="Times New Roman" w:hAnsi="Times New Roman" w:cs="Times New Roman"/>
          <w:i/>
        </w:rPr>
        <w:t>Walking Dead and Vengeful Spirits</w:t>
      </w:r>
      <w:r w:rsidRPr="000E0D6B">
        <w:rPr>
          <w:rFonts w:ascii="Times New Roman" w:hAnsi="Times New Roman" w:cs="Times New Roman"/>
        </w:rPr>
        <w:t>. [online] Popular Archaeology. Available at: http://popular-archaeology.com/issue/summer-2015/article/walking-dead-and-vengeful-spirits [Accessed 19 Jan. 2018].</w:t>
      </w:r>
      <w:r>
        <w:rPr>
          <w:rFonts w:ascii="Times New Roman" w:hAnsi="Times New Roman" w:cs="Times New Roman"/>
        </w:rPr>
        <w:t xml:space="preserve"> P6</w:t>
      </w:r>
    </w:p>
  </w:footnote>
  <w:footnote w:id="10">
    <w:p w:rsidR="00C960C8" w:rsidRPr="00622BFC" w:rsidRDefault="00C960C8">
      <w:pPr>
        <w:pStyle w:val="FootnoteText"/>
        <w:rPr>
          <w:rFonts w:ascii="Times New Roman" w:hAnsi="Times New Roman" w:cs="Times New Roman"/>
        </w:rPr>
      </w:pPr>
      <w:r w:rsidRPr="00622BFC">
        <w:rPr>
          <w:rStyle w:val="FootnoteReference"/>
          <w:rFonts w:ascii="Times New Roman" w:hAnsi="Times New Roman" w:cs="Times New Roman"/>
        </w:rPr>
        <w:footnoteRef/>
      </w:r>
      <w:r w:rsidRPr="00622BFC">
        <w:rPr>
          <w:rFonts w:ascii="Times New Roman" w:hAnsi="Times New Roman" w:cs="Times New Roman"/>
        </w:rPr>
        <w:t xml:space="preserve"> </w:t>
      </w:r>
      <w:proofErr w:type="spellStart"/>
      <w:r w:rsidRPr="00622BFC">
        <w:rPr>
          <w:rFonts w:ascii="Times New Roman" w:hAnsi="Times New Roman" w:cs="Times New Roman"/>
        </w:rPr>
        <w:t>Sulosky</w:t>
      </w:r>
      <w:proofErr w:type="spellEnd"/>
      <w:r w:rsidRPr="00622BFC">
        <w:rPr>
          <w:rFonts w:ascii="Times New Roman" w:hAnsi="Times New Roman" w:cs="Times New Roman"/>
        </w:rPr>
        <w:t xml:space="preserve"> Weaver, C. (2018). </w:t>
      </w:r>
      <w:r w:rsidRPr="00622BFC">
        <w:rPr>
          <w:rFonts w:ascii="Times New Roman" w:hAnsi="Times New Roman" w:cs="Times New Roman"/>
          <w:i/>
        </w:rPr>
        <w:t>Walking Dead and Vengeful Spirits</w:t>
      </w:r>
      <w:r w:rsidRPr="00622BFC">
        <w:rPr>
          <w:rFonts w:ascii="Times New Roman" w:hAnsi="Times New Roman" w:cs="Times New Roman"/>
        </w:rPr>
        <w:t xml:space="preserve">. [online] Popular </w:t>
      </w:r>
      <w:proofErr w:type="spellStart"/>
      <w:r w:rsidRPr="00622BFC">
        <w:rPr>
          <w:rFonts w:ascii="Times New Roman" w:hAnsi="Times New Roman" w:cs="Times New Roman"/>
        </w:rPr>
        <w:t>Archeology</w:t>
      </w:r>
      <w:proofErr w:type="spellEnd"/>
      <w:r w:rsidRPr="00622BFC">
        <w:rPr>
          <w:rFonts w:ascii="Times New Roman" w:hAnsi="Times New Roman" w:cs="Times New Roman"/>
        </w:rPr>
        <w:t>. Available at: http://popular-archaeology.com/issue/summer-2015/article/walking-dead-and-vengeful-spirits [Accessed 19 Jan. 2018].</w:t>
      </w:r>
      <w:r>
        <w:rPr>
          <w:rFonts w:ascii="Times New Roman" w:hAnsi="Times New Roman" w:cs="Times New Roman"/>
        </w:rPr>
        <w:t xml:space="preserve"> P7</w:t>
      </w:r>
    </w:p>
  </w:footnote>
  <w:footnote w:id="11">
    <w:p w:rsidR="00C960C8" w:rsidRPr="000B134D" w:rsidRDefault="00C960C8">
      <w:pPr>
        <w:pStyle w:val="FootnoteText"/>
        <w:rPr>
          <w:rFonts w:ascii="Times New Roman" w:hAnsi="Times New Roman" w:cs="Times New Roman"/>
        </w:rPr>
      </w:pPr>
      <w:r w:rsidRPr="000B134D">
        <w:rPr>
          <w:rStyle w:val="FootnoteReference"/>
          <w:rFonts w:ascii="Times New Roman" w:hAnsi="Times New Roman" w:cs="Times New Roman"/>
        </w:rPr>
        <w:footnoteRef/>
      </w:r>
      <w:r w:rsidRPr="000B134D">
        <w:rPr>
          <w:rFonts w:ascii="Times New Roman" w:hAnsi="Times New Roman" w:cs="Times New Roman"/>
        </w:rPr>
        <w:t xml:space="preserve"> </w:t>
      </w:r>
      <w:proofErr w:type="spellStart"/>
      <w:r w:rsidRPr="000B134D">
        <w:rPr>
          <w:rFonts w:ascii="Times New Roman" w:hAnsi="Times New Roman" w:cs="Times New Roman"/>
        </w:rPr>
        <w:t>Sulosky</w:t>
      </w:r>
      <w:proofErr w:type="spellEnd"/>
      <w:r w:rsidRPr="000B134D">
        <w:rPr>
          <w:rFonts w:ascii="Times New Roman" w:hAnsi="Times New Roman" w:cs="Times New Roman"/>
        </w:rPr>
        <w:t xml:space="preserve"> Weaver, C. and Di Stefano, G. (n.d</w:t>
      </w:r>
      <w:r w:rsidRPr="00AB140D">
        <w:rPr>
          <w:rFonts w:ascii="Times New Roman" w:hAnsi="Times New Roman" w:cs="Times New Roman"/>
          <w:i/>
        </w:rPr>
        <w:t>.). The bioarchaeology of Classical Kamarina</w:t>
      </w:r>
      <w:r w:rsidRPr="000B134D">
        <w:rPr>
          <w:rFonts w:ascii="Times New Roman" w:hAnsi="Times New Roman" w:cs="Times New Roman"/>
        </w:rPr>
        <w:t>. Florida: University Press of Florida.</w:t>
      </w:r>
      <w:r>
        <w:rPr>
          <w:rFonts w:ascii="Times New Roman" w:hAnsi="Times New Roman" w:cs="Times New Roman"/>
        </w:rPr>
        <w:t xml:space="preserve"> P38</w:t>
      </w:r>
    </w:p>
  </w:footnote>
  <w:footnote w:id="12">
    <w:p w:rsidR="00C960C8" w:rsidRPr="00982227" w:rsidRDefault="00C960C8">
      <w:pPr>
        <w:pStyle w:val="FootnoteText"/>
        <w:rPr>
          <w:rFonts w:ascii="Times New Roman" w:hAnsi="Times New Roman" w:cs="Times New Roman"/>
        </w:rPr>
      </w:pPr>
      <w:r w:rsidRPr="00982227">
        <w:rPr>
          <w:rStyle w:val="FootnoteReference"/>
          <w:rFonts w:ascii="Times New Roman" w:hAnsi="Times New Roman" w:cs="Times New Roman"/>
        </w:rPr>
        <w:footnoteRef/>
      </w:r>
      <w:r w:rsidRPr="00982227">
        <w:rPr>
          <w:rFonts w:ascii="Times New Roman" w:hAnsi="Times New Roman" w:cs="Times New Roman"/>
        </w:rPr>
        <w:t xml:space="preserve"> </w:t>
      </w:r>
      <w:proofErr w:type="spellStart"/>
      <w:r w:rsidRPr="00982227">
        <w:rPr>
          <w:rFonts w:ascii="Times New Roman" w:hAnsi="Times New Roman" w:cs="Times New Roman"/>
        </w:rPr>
        <w:t>Sulosky</w:t>
      </w:r>
      <w:proofErr w:type="spellEnd"/>
      <w:r w:rsidRPr="00982227">
        <w:rPr>
          <w:rFonts w:ascii="Times New Roman" w:hAnsi="Times New Roman" w:cs="Times New Roman"/>
        </w:rPr>
        <w:t xml:space="preserve"> Weaver, C. (2018). </w:t>
      </w:r>
      <w:r w:rsidRPr="00AB140D">
        <w:rPr>
          <w:rFonts w:ascii="Times New Roman" w:hAnsi="Times New Roman" w:cs="Times New Roman"/>
          <w:i/>
        </w:rPr>
        <w:t>Walking Dead and Vengeful Spirits</w:t>
      </w:r>
      <w:r w:rsidRPr="00982227">
        <w:rPr>
          <w:rFonts w:ascii="Times New Roman" w:hAnsi="Times New Roman" w:cs="Times New Roman"/>
        </w:rPr>
        <w:t xml:space="preserve">. [online] Popular </w:t>
      </w:r>
      <w:proofErr w:type="spellStart"/>
      <w:r w:rsidRPr="00982227">
        <w:rPr>
          <w:rFonts w:ascii="Times New Roman" w:hAnsi="Times New Roman" w:cs="Times New Roman"/>
        </w:rPr>
        <w:t>Archeology</w:t>
      </w:r>
      <w:proofErr w:type="spellEnd"/>
      <w:r w:rsidRPr="00982227">
        <w:rPr>
          <w:rFonts w:ascii="Times New Roman" w:hAnsi="Times New Roman" w:cs="Times New Roman"/>
        </w:rPr>
        <w:t>. Available at: http://popular-archaeology.com/issue/summer-2015/article/walking-dead-and-vengeful-spirits [Accessed 19 Jan. 2018].</w:t>
      </w:r>
      <w:r>
        <w:rPr>
          <w:rFonts w:ascii="Times New Roman" w:hAnsi="Times New Roman" w:cs="Times New Roman"/>
        </w:rPr>
        <w:t xml:space="preserve"> P7</w:t>
      </w:r>
    </w:p>
  </w:footnote>
  <w:footnote w:id="13">
    <w:p w:rsidR="00C960C8" w:rsidRDefault="00C960C8">
      <w:pPr>
        <w:pStyle w:val="FootnoteText"/>
      </w:pPr>
      <w:r>
        <w:rPr>
          <w:rStyle w:val="FootnoteReference"/>
        </w:rPr>
        <w:footnoteRef/>
      </w:r>
      <w:r>
        <w:t xml:space="preserve"> Ibid, P7</w:t>
      </w:r>
    </w:p>
  </w:footnote>
  <w:footnote w:id="14">
    <w:p w:rsidR="00C960C8" w:rsidRDefault="00C960C8">
      <w:pPr>
        <w:pStyle w:val="FootnoteText"/>
      </w:pPr>
      <w:r>
        <w:rPr>
          <w:rStyle w:val="FootnoteReference"/>
        </w:rPr>
        <w:footnoteRef/>
      </w:r>
      <w:r>
        <w:t xml:space="preserve"> Ibid, P7</w:t>
      </w:r>
    </w:p>
  </w:footnote>
  <w:footnote w:id="15">
    <w:p w:rsidR="00C960C8" w:rsidRDefault="00C960C8">
      <w:pPr>
        <w:pStyle w:val="FootnoteText"/>
      </w:pPr>
      <w:r>
        <w:rPr>
          <w:rStyle w:val="FootnoteReference"/>
        </w:rPr>
        <w:footnoteRef/>
      </w:r>
      <w:r>
        <w:t xml:space="preserve"> Ibid, P9</w:t>
      </w:r>
    </w:p>
  </w:footnote>
  <w:footnote w:id="16">
    <w:p w:rsidR="00C960C8" w:rsidRDefault="00C960C8">
      <w:pPr>
        <w:pStyle w:val="FootnoteText"/>
      </w:pPr>
      <w:r>
        <w:rPr>
          <w:rStyle w:val="FootnoteReference"/>
        </w:rPr>
        <w:footnoteRef/>
      </w:r>
      <w:r>
        <w:t xml:space="preserve"> Ibid, P9 </w:t>
      </w:r>
    </w:p>
  </w:footnote>
  <w:footnote w:id="17">
    <w:p w:rsidR="00C960C8" w:rsidRDefault="00C960C8">
      <w:pPr>
        <w:pStyle w:val="FootnoteText"/>
      </w:pPr>
      <w:r>
        <w:rPr>
          <w:rStyle w:val="FootnoteReference"/>
        </w:rPr>
        <w:footnoteRef/>
      </w:r>
      <w:r>
        <w:t xml:space="preserve"> Ibid, P9</w:t>
      </w:r>
    </w:p>
  </w:footnote>
  <w:footnote w:id="18">
    <w:p w:rsidR="00C960C8" w:rsidRDefault="00C960C8">
      <w:pPr>
        <w:pStyle w:val="FootnoteText"/>
      </w:pPr>
      <w:r>
        <w:rPr>
          <w:rStyle w:val="FootnoteReference"/>
        </w:rPr>
        <w:footnoteRef/>
      </w:r>
      <w:r>
        <w:t xml:space="preserve"> Ibid, P10</w:t>
      </w:r>
    </w:p>
  </w:footnote>
  <w:footnote w:id="19">
    <w:p w:rsidR="00C960C8" w:rsidRDefault="00C960C8">
      <w:pPr>
        <w:pStyle w:val="FootnoteText"/>
      </w:pPr>
      <w:r>
        <w:rPr>
          <w:rStyle w:val="FootnoteReference"/>
        </w:rPr>
        <w:footnoteRef/>
      </w:r>
      <w:r>
        <w:t xml:space="preserve"> Ibid, P10</w:t>
      </w:r>
    </w:p>
  </w:footnote>
  <w:footnote w:id="20">
    <w:p w:rsidR="00C960C8" w:rsidRDefault="00C960C8">
      <w:pPr>
        <w:pStyle w:val="FootnoteText"/>
      </w:pPr>
      <w:r>
        <w:rPr>
          <w:rStyle w:val="FootnoteReference"/>
        </w:rPr>
        <w:footnoteRef/>
      </w:r>
      <w:r>
        <w:t xml:space="preserve"> Ibid, P10</w:t>
      </w:r>
    </w:p>
  </w:footnote>
  <w:footnote w:id="21">
    <w:p w:rsidR="00C960C8" w:rsidRDefault="00C960C8">
      <w:pPr>
        <w:pStyle w:val="FootnoteText"/>
      </w:pPr>
      <w:r>
        <w:rPr>
          <w:rStyle w:val="FootnoteReference"/>
        </w:rPr>
        <w:footnoteRef/>
      </w:r>
      <w:r>
        <w:t xml:space="preserve"> Ibid, P10</w:t>
      </w:r>
    </w:p>
  </w:footnote>
  <w:footnote w:id="22">
    <w:p w:rsidR="00C960C8" w:rsidRDefault="00C960C8">
      <w:pPr>
        <w:pStyle w:val="FootnoteText"/>
      </w:pPr>
      <w:r>
        <w:rPr>
          <w:rStyle w:val="FootnoteReference"/>
        </w:rPr>
        <w:footnoteRef/>
      </w:r>
      <w:r>
        <w:t xml:space="preserve"> </w:t>
      </w:r>
      <w:proofErr w:type="spellStart"/>
      <w:r w:rsidRPr="00773803">
        <w:t>Sulosky</w:t>
      </w:r>
      <w:proofErr w:type="spellEnd"/>
      <w:r w:rsidRPr="00773803">
        <w:t xml:space="preserve"> Weaver, C. (2018</w:t>
      </w:r>
      <w:r w:rsidRPr="00AB140D">
        <w:rPr>
          <w:i/>
        </w:rPr>
        <w:t>). Walking Dead and Vengeful Spirits</w:t>
      </w:r>
      <w:r w:rsidRPr="00773803">
        <w:t xml:space="preserve">. [online] Popular </w:t>
      </w:r>
      <w:proofErr w:type="spellStart"/>
      <w:r w:rsidRPr="00773803">
        <w:t>Archeology</w:t>
      </w:r>
      <w:proofErr w:type="spellEnd"/>
      <w:r w:rsidRPr="00773803">
        <w:t>. Available at: http://popular-archaeology.com/issue/summer-2015/article/walking-dead-and-vengeful-spirits [Accessed 19 Jan. 2018].</w:t>
      </w:r>
      <w:r>
        <w:t xml:space="preserve"> P17.</w:t>
      </w:r>
    </w:p>
  </w:footnote>
  <w:footnote w:id="23">
    <w:p w:rsidR="00C960C8" w:rsidRDefault="00C960C8">
      <w:pPr>
        <w:pStyle w:val="FootnoteText"/>
      </w:pPr>
      <w:r>
        <w:rPr>
          <w:rStyle w:val="FootnoteReference"/>
        </w:rPr>
        <w:footnoteRef/>
      </w:r>
      <w:r>
        <w:t xml:space="preserve"> </w:t>
      </w:r>
      <w:proofErr w:type="spellStart"/>
      <w:r w:rsidRPr="00773803">
        <w:t>Sulosky</w:t>
      </w:r>
      <w:proofErr w:type="spellEnd"/>
      <w:r w:rsidRPr="00773803">
        <w:t xml:space="preserve"> Weaver, C. (2018). </w:t>
      </w:r>
      <w:r w:rsidRPr="00AB140D">
        <w:rPr>
          <w:i/>
        </w:rPr>
        <w:t>Walking Dead and Vengeful Spirits</w:t>
      </w:r>
      <w:r w:rsidRPr="00773803">
        <w:t xml:space="preserve">. [online] Popular </w:t>
      </w:r>
      <w:proofErr w:type="spellStart"/>
      <w:r w:rsidRPr="00773803">
        <w:t>Archeology</w:t>
      </w:r>
      <w:proofErr w:type="spellEnd"/>
      <w:r w:rsidRPr="00773803">
        <w:t>. Available at: http://popular-archaeology.com/issue/summer-2015/article/walking-dead-and-vengeful-spirits [Accessed 19 Jan. 2018].</w:t>
      </w:r>
      <w:r>
        <w:t xml:space="preserve"> P17</w:t>
      </w:r>
    </w:p>
  </w:footnote>
  <w:footnote w:id="24">
    <w:p w:rsidR="00630432" w:rsidRPr="00630432" w:rsidRDefault="00630432">
      <w:pPr>
        <w:pStyle w:val="FootnoteText"/>
        <w:rPr>
          <w:rFonts w:ascii="Times New Roman" w:hAnsi="Times New Roman" w:cs="Times New Roman"/>
        </w:rPr>
      </w:pPr>
      <w:r w:rsidRPr="00630432">
        <w:rPr>
          <w:rStyle w:val="FootnoteReference"/>
          <w:rFonts w:ascii="Times New Roman" w:hAnsi="Times New Roman" w:cs="Times New Roman"/>
        </w:rPr>
        <w:footnoteRef/>
      </w:r>
      <w:r w:rsidRPr="00630432">
        <w:rPr>
          <w:rFonts w:ascii="Times New Roman" w:hAnsi="Times New Roman" w:cs="Times New Roman"/>
        </w:rPr>
        <w:t xml:space="preserve"> Henriques, M. (2018). </w:t>
      </w:r>
      <w:r w:rsidRPr="00AB140D">
        <w:rPr>
          <w:rFonts w:ascii="Times New Roman" w:hAnsi="Times New Roman" w:cs="Times New Roman"/>
          <w:i/>
        </w:rPr>
        <w:t>'Vampires' mutilated before burial in medieval Poland were just people with health problems</w:t>
      </w:r>
      <w:r w:rsidRPr="00630432">
        <w:rPr>
          <w:rFonts w:ascii="Times New Roman" w:hAnsi="Times New Roman" w:cs="Times New Roman"/>
        </w:rPr>
        <w:t>. [online] International Business Times UK. Available at: http://www.ibtimes.co.uk/vampires-mutilated-before-burial-medieval-poland-were-just-people-health-problems-1595564 [Accessed 19 Jan. 2018].</w:t>
      </w:r>
    </w:p>
  </w:footnote>
  <w:footnote w:id="25">
    <w:p w:rsidR="00630432" w:rsidRPr="00630432" w:rsidRDefault="00630432">
      <w:pPr>
        <w:pStyle w:val="FootnoteText"/>
        <w:rPr>
          <w:rFonts w:ascii="Times New Roman" w:hAnsi="Times New Roman" w:cs="Times New Roman"/>
        </w:rPr>
      </w:pPr>
      <w:r w:rsidRPr="00630432">
        <w:rPr>
          <w:rStyle w:val="FootnoteReference"/>
          <w:rFonts w:ascii="Times New Roman" w:hAnsi="Times New Roman" w:cs="Times New Roman"/>
        </w:rPr>
        <w:footnoteRef/>
      </w:r>
      <w:r w:rsidRPr="00630432">
        <w:rPr>
          <w:rFonts w:ascii="Times New Roman" w:hAnsi="Times New Roman" w:cs="Times New Roman"/>
        </w:rPr>
        <w:t xml:space="preserve"> Henriques, M. (2018). </w:t>
      </w:r>
      <w:r w:rsidRPr="00AB140D">
        <w:rPr>
          <w:rFonts w:ascii="Times New Roman" w:hAnsi="Times New Roman" w:cs="Times New Roman"/>
          <w:i/>
        </w:rPr>
        <w:t>'Vampires' mutilated before burial in medieval Poland were just people with health problems</w:t>
      </w:r>
      <w:r w:rsidRPr="00630432">
        <w:rPr>
          <w:rFonts w:ascii="Times New Roman" w:hAnsi="Times New Roman" w:cs="Times New Roman"/>
        </w:rPr>
        <w:t>. [online] International Business Times UK. Available at: http://www.ibtimes.co.uk/vampires-mutilated-before-burial-medieval-poland-were-just-people-health-problems-1595564 [Accessed 19 Jan. 2018].</w:t>
      </w:r>
    </w:p>
  </w:footnote>
  <w:footnote w:id="26">
    <w:p w:rsidR="00630432" w:rsidRPr="00630432" w:rsidRDefault="00630432">
      <w:pPr>
        <w:pStyle w:val="FootnoteText"/>
        <w:rPr>
          <w:rFonts w:ascii="Times New Roman" w:hAnsi="Times New Roman" w:cs="Times New Roman"/>
        </w:rPr>
      </w:pPr>
      <w:r w:rsidRPr="00630432">
        <w:rPr>
          <w:rStyle w:val="FootnoteReference"/>
          <w:rFonts w:ascii="Times New Roman" w:hAnsi="Times New Roman" w:cs="Times New Roman"/>
        </w:rPr>
        <w:footnoteRef/>
      </w:r>
      <w:r w:rsidRPr="00630432">
        <w:rPr>
          <w:rFonts w:ascii="Times New Roman" w:hAnsi="Times New Roman" w:cs="Times New Roman"/>
        </w:rPr>
        <w:t xml:space="preserve"> Henriques, M. (2018). </w:t>
      </w:r>
      <w:r w:rsidRPr="00AB140D">
        <w:rPr>
          <w:rFonts w:ascii="Times New Roman" w:hAnsi="Times New Roman" w:cs="Times New Roman"/>
          <w:i/>
        </w:rPr>
        <w:t>'Vampires' mutilated before burial in medieval Poland were just people with health problems</w:t>
      </w:r>
      <w:r w:rsidRPr="00630432">
        <w:rPr>
          <w:rFonts w:ascii="Times New Roman" w:hAnsi="Times New Roman" w:cs="Times New Roman"/>
        </w:rPr>
        <w:t>. [online] International Business Times UK. Available at: http://www.ibtimes.co.uk/vampires-mutilated-before-burial-medieval-poland-were-just-people-health-problems-1595564 [Accessed 19 Jan. 2018].</w:t>
      </w:r>
    </w:p>
  </w:footnote>
  <w:footnote w:id="27">
    <w:p w:rsidR="00630432" w:rsidRPr="00630432" w:rsidRDefault="00630432">
      <w:pPr>
        <w:pStyle w:val="FootnoteText"/>
        <w:rPr>
          <w:rFonts w:ascii="Times New Roman" w:hAnsi="Times New Roman" w:cs="Times New Roman"/>
        </w:rPr>
      </w:pPr>
      <w:r w:rsidRPr="00630432">
        <w:rPr>
          <w:rStyle w:val="FootnoteReference"/>
          <w:rFonts w:ascii="Times New Roman" w:hAnsi="Times New Roman" w:cs="Times New Roman"/>
        </w:rPr>
        <w:footnoteRef/>
      </w:r>
      <w:r w:rsidRPr="00630432">
        <w:rPr>
          <w:rFonts w:ascii="Times New Roman" w:hAnsi="Times New Roman" w:cs="Times New Roman"/>
        </w:rPr>
        <w:t xml:space="preserve"> Henriques, M. (2018</w:t>
      </w:r>
      <w:r w:rsidRPr="00AB140D">
        <w:rPr>
          <w:rFonts w:ascii="Times New Roman" w:hAnsi="Times New Roman" w:cs="Times New Roman"/>
          <w:i/>
        </w:rPr>
        <w:t>). 'Vampires' mutilated before burial in medieval Poland were just people with health problems</w:t>
      </w:r>
      <w:r w:rsidRPr="00630432">
        <w:rPr>
          <w:rFonts w:ascii="Times New Roman" w:hAnsi="Times New Roman" w:cs="Times New Roman"/>
        </w:rPr>
        <w:t>. [online] International Business Times UK. Available at: http://www.ibtimes.co.uk/vampires-mutilated-before-burial-medieval-poland-were-just-people-health-problems-1595564 [Accessed 19 Jan. 2018].</w:t>
      </w:r>
    </w:p>
  </w:footnote>
  <w:footnote w:id="28">
    <w:p w:rsidR="00630432" w:rsidRPr="00630432" w:rsidRDefault="00630432">
      <w:pPr>
        <w:pStyle w:val="FootnoteText"/>
        <w:rPr>
          <w:rFonts w:ascii="Times New Roman" w:hAnsi="Times New Roman" w:cs="Times New Roman"/>
        </w:rPr>
      </w:pPr>
      <w:r w:rsidRPr="00630432">
        <w:rPr>
          <w:rStyle w:val="FootnoteReference"/>
          <w:rFonts w:ascii="Times New Roman" w:hAnsi="Times New Roman" w:cs="Times New Roman"/>
        </w:rPr>
        <w:footnoteRef/>
      </w:r>
      <w:r w:rsidRPr="00630432">
        <w:rPr>
          <w:rFonts w:ascii="Times New Roman" w:hAnsi="Times New Roman" w:cs="Times New Roman"/>
        </w:rPr>
        <w:t xml:space="preserve"> Henriques, M. (2018). 'V</w:t>
      </w:r>
      <w:r w:rsidRPr="00AB140D">
        <w:rPr>
          <w:rFonts w:ascii="Times New Roman" w:hAnsi="Times New Roman" w:cs="Times New Roman"/>
          <w:i/>
        </w:rPr>
        <w:t xml:space="preserve">ampires' mutilated before burial in medieval Poland were just people with health problems. </w:t>
      </w:r>
      <w:r w:rsidRPr="00630432">
        <w:rPr>
          <w:rFonts w:ascii="Times New Roman" w:hAnsi="Times New Roman" w:cs="Times New Roman"/>
        </w:rPr>
        <w:t>[online] International Business Times UK. Available at: http://www.ibtimes.co.uk/vampires-mutilated-before-burial-medieval-poland-were-just-people-health-problems-1595564 [Accessed 19 Jan. 2018].</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781B7CCB"/>
    <w:multiLevelType w:val="hybridMultilevel"/>
    <w:tmpl w:val="9FF402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B7239"/>
    <w:rsid w:val="00012C55"/>
    <w:rsid w:val="00027EA2"/>
    <w:rsid w:val="00035453"/>
    <w:rsid w:val="0009192C"/>
    <w:rsid w:val="000B134D"/>
    <w:rsid w:val="000B68D8"/>
    <w:rsid w:val="000E0D6B"/>
    <w:rsid w:val="000F54DF"/>
    <w:rsid w:val="00105859"/>
    <w:rsid w:val="00106838"/>
    <w:rsid w:val="00112657"/>
    <w:rsid w:val="00161463"/>
    <w:rsid w:val="001630EA"/>
    <w:rsid w:val="00187DD7"/>
    <w:rsid w:val="001A025C"/>
    <w:rsid w:val="001B0004"/>
    <w:rsid w:val="001E2735"/>
    <w:rsid w:val="0026758F"/>
    <w:rsid w:val="002E4668"/>
    <w:rsid w:val="00344343"/>
    <w:rsid w:val="00396EAA"/>
    <w:rsid w:val="003C0B9E"/>
    <w:rsid w:val="003D5112"/>
    <w:rsid w:val="003F4B10"/>
    <w:rsid w:val="004055BA"/>
    <w:rsid w:val="00462FF3"/>
    <w:rsid w:val="00466341"/>
    <w:rsid w:val="00475556"/>
    <w:rsid w:val="004F375E"/>
    <w:rsid w:val="004F4EFE"/>
    <w:rsid w:val="00522D70"/>
    <w:rsid w:val="005242F2"/>
    <w:rsid w:val="005B662E"/>
    <w:rsid w:val="00622BFC"/>
    <w:rsid w:val="00630432"/>
    <w:rsid w:val="00695AD4"/>
    <w:rsid w:val="006A2F08"/>
    <w:rsid w:val="006C3FBB"/>
    <w:rsid w:val="006D5A2D"/>
    <w:rsid w:val="006F6B4A"/>
    <w:rsid w:val="00773803"/>
    <w:rsid w:val="0079771C"/>
    <w:rsid w:val="00801C8E"/>
    <w:rsid w:val="00860F3D"/>
    <w:rsid w:val="009205E8"/>
    <w:rsid w:val="00923487"/>
    <w:rsid w:val="009271C6"/>
    <w:rsid w:val="0095371D"/>
    <w:rsid w:val="00982227"/>
    <w:rsid w:val="009A1976"/>
    <w:rsid w:val="009B7239"/>
    <w:rsid w:val="009C7B12"/>
    <w:rsid w:val="00A46922"/>
    <w:rsid w:val="00A536F7"/>
    <w:rsid w:val="00A609FA"/>
    <w:rsid w:val="00A67EFD"/>
    <w:rsid w:val="00AB140D"/>
    <w:rsid w:val="00AE069C"/>
    <w:rsid w:val="00B65F41"/>
    <w:rsid w:val="00B86E94"/>
    <w:rsid w:val="00B9373A"/>
    <w:rsid w:val="00BB3F7E"/>
    <w:rsid w:val="00BD5E3B"/>
    <w:rsid w:val="00BD757C"/>
    <w:rsid w:val="00BF316B"/>
    <w:rsid w:val="00BF659F"/>
    <w:rsid w:val="00C14B8F"/>
    <w:rsid w:val="00C21EFA"/>
    <w:rsid w:val="00C5199C"/>
    <w:rsid w:val="00C75124"/>
    <w:rsid w:val="00C960C8"/>
    <w:rsid w:val="00CB71E4"/>
    <w:rsid w:val="00D131A0"/>
    <w:rsid w:val="00D72BBE"/>
    <w:rsid w:val="00D805A5"/>
    <w:rsid w:val="00DC2715"/>
    <w:rsid w:val="00DD2FD8"/>
    <w:rsid w:val="00DE1255"/>
    <w:rsid w:val="00E574AD"/>
    <w:rsid w:val="00E80745"/>
    <w:rsid w:val="00E90783"/>
    <w:rsid w:val="00EE0761"/>
    <w:rsid w:val="00F75C0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F136757"/>
  <w15:chartTrackingRefBased/>
  <w15:docId w15:val="{442E5592-CAAF-440A-BCEC-B029DC62D9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0761"/>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9B7239"/>
    <w:pPr>
      <w:tabs>
        <w:tab w:val="center" w:pos="4513"/>
        <w:tab w:val="right" w:pos="9026"/>
      </w:tabs>
      <w:spacing w:after="0" w:line="240" w:lineRule="auto"/>
    </w:pPr>
  </w:style>
  <w:style w:type="character" w:customStyle="1" w:styleId="HeaderChar">
    <w:name w:val="Header Char"/>
    <w:basedOn w:val="DefaultParagraphFont"/>
    <w:link w:val="Header"/>
    <w:uiPriority w:val="99"/>
    <w:rsid w:val="009B7239"/>
  </w:style>
  <w:style w:type="paragraph" w:styleId="Footer">
    <w:name w:val="footer"/>
    <w:basedOn w:val="Normal"/>
    <w:link w:val="FooterChar"/>
    <w:uiPriority w:val="99"/>
    <w:unhideWhenUsed/>
    <w:rsid w:val="009B7239"/>
    <w:pPr>
      <w:tabs>
        <w:tab w:val="center" w:pos="4513"/>
        <w:tab w:val="right" w:pos="9026"/>
      </w:tabs>
      <w:spacing w:after="0" w:line="240" w:lineRule="auto"/>
    </w:pPr>
  </w:style>
  <w:style w:type="character" w:customStyle="1" w:styleId="FooterChar">
    <w:name w:val="Footer Char"/>
    <w:basedOn w:val="DefaultParagraphFont"/>
    <w:link w:val="Footer"/>
    <w:uiPriority w:val="99"/>
    <w:rsid w:val="009B7239"/>
  </w:style>
  <w:style w:type="paragraph" w:styleId="FootnoteText">
    <w:name w:val="footnote text"/>
    <w:basedOn w:val="Normal"/>
    <w:link w:val="FootnoteTextChar"/>
    <w:uiPriority w:val="99"/>
    <w:semiHidden/>
    <w:unhideWhenUsed/>
    <w:rsid w:val="000E0D6B"/>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0E0D6B"/>
    <w:rPr>
      <w:sz w:val="20"/>
      <w:szCs w:val="20"/>
    </w:rPr>
  </w:style>
  <w:style w:type="character" w:styleId="FootnoteReference">
    <w:name w:val="footnote reference"/>
    <w:basedOn w:val="DefaultParagraphFont"/>
    <w:uiPriority w:val="99"/>
    <w:semiHidden/>
    <w:unhideWhenUsed/>
    <w:rsid w:val="000E0D6B"/>
    <w:rPr>
      <w:vertAlign w:val="superscript"/>
    </w:rPr>
  </w:style>
  <w:style w:type="paragraph" w:styleId="ListParagraph">
    <w:name w:val="List Paragraph"/>
    <w:basedOn w:val="Normal"/>
    <w:uiPriority w:val="34"/>
    <w:qFormat/>
    <w:rsid w:val="00B9373A"/>
    <w:pPr>
      <w:ind w:left="720"/>
      <w:contextualSpacing/>
    </w:pPr>
  </w:style>
  <w:style w:type="character" w:customStyle="1" w:styleId="Heading1Char">
    <w:name w:val="Heading 1 Char"/>
    <w:basedOn w:val="DefaultParagraphFont"/>
    <w:link w:val="Heading1"/>
    <w:uiPriority w:val="9"/>
    <w:rsid w:val="00EE0761"/>
    <w:rPr>
      <w:rFonts w:asciiTheme="majorHAnsi" w:eastAsiaTheme="majorEastAsia" w:hAnsiTheme="majorHAnsi" w:cstheme="majorBidi"/>
      <w:color w:val="2F5496" w:themeColor="accent1" w:themeShade="BF"/>
      <w:sz w:val="32"/>
      <w:szCs w:val="32"/>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301AE97-A814-4D37-9781-2E6F35458FB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389</TotalTime>
  <Pages>6</Pages>
  <Words>1875</Words>
  <Characters>8963</Characters>
  <Application>Microsoft Office Word</Application>
  <DocSecurity>0</DocSecurity>
  <Lines>142</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10800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Cerys</dc:creator>
  <cp:keywords/>
  <dc:description/>
  <cp:lastModifiedBy>Cerys</cp:lastModifiedBy>
  <cp:revision>52</cp:revision>
  <dcterms:created xsi:type="dcterms:W3CDTF">2018-01-19T10:27:00Z</dcterms:created>
  <dcterms:modified xsi:type="dcterms:W3CDTF">2018-01-19T16:56:00Z</dcterms:modified>
</cp:coreProperties>
</file>