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0F33C" w14:textId="77777777" w:rsidR="00366E5B" w:rsidRPr="00EF34A5" w:rsidRDefault="00366E5B" w:rsidP="00366E5B">
      <w:pPr>
        <w:spacing w:line="240" w:lineRule="auto"/>
        <w:rPr>
          <w:rFonts w:ascii="Arial" w:hAnsi="Arial" w:cs="Arial"/>
          <w:i/>
          <w:color w:val="A6A6A6" w:themeColor="background1" w:themeShade="A6"/>
          <w:sz w:val="24"/>
          <w:szCs w:val="24"/>
        </w:rPr>
      </w:pPr>
      <w:r w:rsidRPr="00EF34A5">
        <w:rPr>
          <w:rFonts w:ascii="Arial" w:hAnsi="Arial" w:cs="Arial"/>
          <w:i/>
          <w:color w:val="A6A6A6" w:themeColor="background1" w:themeShade="A6"/>
          <w:sz w:val="24"/>
          <w:szCs w:val="24"/>
        </w:rPr>
        <w:t xml:space="preserve">Students are required to critically consider the strengths and weaknesses of the research article, with a particular focus on methodology and methods used, and the ethics of the study. </w:t>
      </w:r>
    </w:p>
    <w:p w14:paraId="6460139F" w14:textId="77777777" w:rsidR="00366E5B" w:rsidRPr="00DC5F7B" w:rsidRDefault="00366E5B" w:rsidP="00366E5B">
      <w:pPr>
        <w:spacing w:line="240" w:lineRule="auto"/>
        <w:rPr>
          <w:rFonts w:ascii="Arial" w:hAnsi="Arial" w:cs="Arial"/>
          <w:sz w:val="28"/>
          <w:szCs w:val="28"/>
        </w:rPr>
      </w:pPr>
      <w:bookmarkStart w:id="0" w:name="_GoBack"/>
      <w:bookmarkEnd w:id="0"/>
    </w:p>
    <w:p w14:paraId="54DD97E6" w14:textId="263F7AAE" w:rsidR="002567CB" w:rsidRPr="00DC5F7B" w:rsidRDefault="002567CB" w:rsidP="007133D7">
      <w:pPr>
        <w:spacing w:line="480" w:lineRule="auto"/>
        <w:rPr>
          <w:rFonts w:ascii="Arial" w:hAnsi="Arial" w:cs="Arial"/>
          <w:sz w:val="24"/>
          <w:szCs w:val="24"/>
        </w:rPr>
      </w:pPr>
      <w:r w:rsidRPr="00DC5F7B">
        <w:rPr>
          <w:rFonts w:ascii="Arial" w:hAnsi="Arial" w:cs="Arial"/>
          <w:sz w:val="24"/>
          <w:szCs w:val="24"/>
        </w:rPr>
        <w:t xml:space="preserve">In this assignment a critical discussion will be given on the strengths and weaknesses of the following article ‘A </w:t>
      </w:r>
      <w:r w:rsidR="00982CD0" w:rsidRPr="00DC5F7B">
        <w:rPr>
          <w:rFonts w:ascii="Arial" w:hAnsi="Arial" w:cs="Arial"/>
          <w:sz w:val="24"/>
          <w:szCs w:val="24"/>
        </w:rPr>
        <w:t>H</w:t>
      </w:r>
      <w:r w:rsidRPr="00DC5F7B">
        <w:rPr>
          <w:rFonts w:ascii="Arial" w:hAnsi="Arial" w:cs="Arial"/>
          <w:sz w:val="24"/>
          <w:szCs w:val="24"/>
        </w:rPr>
        <w:t xml:space="preserve">aven of </w:t>
      </w:r>
      <w:r w:rsidR="00982CD0" w:rsidRPr="00DC5F7B">
        <w:rPr>
          <w:rFonts w:ascii="Arial" w:hAnsi="Arial" w:cs="Arial"/>
          <w:sz w:val="24"/>
          <w:szCs w:val="24"/>
        </w:rPr>
        <w:t>G</w:t>
      </w:r>
      <w:r w:rsidRPr="00DC5F7B">
        <w:rPr>
          <w:rFonts w:ascii="Arial" w:hAnsi="Arial" w:cs="Arial"/>
          <w:sz w:val="24"/>
          <w:szCs w:val="24"/>
        </w:rPr>
        <w:t xml:space="preserve">reen </w:t>
      </w:r>
      <w:r w:rsidR="00982CD0" w:rsidRPr="00DC5F7B">
        <w:rPr>
          <w:rFonts w:ascii="Arial" w:hAnsi="Arial" w:cs="Arial"/>
          <w:sz w:val="24"/>
          <w:szCs w:val="24"/>
        </w:rPr>
        <w:t>S</w:t>
      </w:r>
      <w:r w:rsidRPr="00DC5F7B">
        <w:rPr>
          <w:rFonts w:ascii="Arial" w:hAnsi="Arial" w:cs="Arial"/>
          <w:sz w:val="24"/>
          <w:szCs w:val="24"/>
        </w:rPr>
        <w:t>pace: learning from a pre-post evaluation of a school-based social and therapeutic horticulture intervention with children’ It was first published in 2018. The lead author Ann</w:t>
      </w:r>
      <w:r w:rsidR="00144B7A">
        <w:rPr>
          <w:rFonts w:ascii="Arial" w:hAnsi="Arial" w:cs="Arial"/>
          <w:sz w:val="24"/>
          <w:szCs w:val="24"/>
        </w:rPr>
        <w:t>a</w:t>
      </w:r>
      <w:r w:rsidRPr="00DC5F7B">
        <w:rPr>
          <w:rFonts w:ascii="Arial" w:hAnsi="Arial" w:cs="Arial"/>
          <w:sz w:val="24"/>
          <w:szCs w:val="24"/>
        </w:rPr>
        <w:t xml:space="preserve"> </w:t>
      </w:r>
      <w:proofErr w:type="spellStart"/>
      <w:r w:rsidRPr="00DC5F7B">
        <w:rPr>
          <w:rFonts w:ascii="Arial" w:hAnsi="Arial" w:cs="Arial"/>
          <w:sz w:val="24"/>
          <w:szCs w:val="24"/>
        </w:rPr>
        <w:t>Chiumento</w:t>
      </w:r>
      <w:proofErr w:type="spellEnd"/>
      <w:r w:rsidRPr="00DC5F7B">
        <w:rPr>
          <w:rFonts w:ascii="Arial" w:hAnsi="Arial" w:cs="Arial"/>
          <w:sz w:val="24"/>
          <w:szCs w:val="24"/>
        </w:rPr>
        <w:t xml:space="preserve"> is a therapeutic researcher in post-war and humanitarian crisis settings.</w:t>
      </w:r>
      <w:r w:rsidR="005F04DC" w:rsidRPr="00DC5F7B">
        <w:rPr>
          <w:rFonts w:ascii="Arial" w:hAnsi="Arial" w:cs="Arial"/>
          <w:sz w:val="24"/>
          <w:szCs w:val="24"/>
        </w:rPr>
        <w:t xml:space="preserve"> However, this</w:t>
      </w:r>
      <w:r w:rsidRPr="00DC5F7B">
        <w:rPr>
          <w:rFonts w:ascii="Arial" w:hAnsi="Arial" w:cs="Arial"/>
          <w:sz w:val="24"/>
          <w:szCs w:val="24"/>
        </w:rPr>
        <w:t xml:space="preserve"> research article is concerned with children aged 9-15 identified as experiencing behavioural, emotional and social difficulties. ‘A </w:t>
      </w:r>
      <w:r w:rsidR="00982CD0" w:rsidRPr="00DC5F7B">
        <w:rPr>
          <w:rFonts w:ascii="Arial" w:hAnsi="Arial" w:cs="Arial"/>
          <w:sz w:val="24"/>
          <w:szCs w:val="24"/>
        </w:rPr>
        <w:t>H</w:t>
      </w:r>
      <w:r w:rsidRPr="00DC5F7B">
        <w:rPr>
          <w:rFonts w:ascii="Arial" w:hAnsi="Arial" w:cs="Arial"/>
          <w:sz w:val="24"/>
          <w:szCs w:val="24"/>
        </w:rPr>
        <w:t xml:space="preserve">aven of </w:t>
      </w:r>
      <w:r w:rsidR="00982CD0" w:rsidRPr="00DC5F7B">
        <w:rPr>
          <w:rFonts w:ascii="Arial" w:hAnsi="Arial" w:cs="Arial"/>
          <w:sz w:val="24"/>
          <w:szCs w:val="24"/>
        </w:rPr>
        <w:t>G</w:t>
      </w:r>
      <w:r w:rsidRPr="00DC5F7B">
        <w:rPr>
          <w:rFonts w:ascii="Arial" w:hAnsi="Arial" w:cs="Arial"/>
          <w:sz w:val="24"/>
          <w:szCs w:val="24"/>
        </w:rPr>
        <w:t xml:space="preserve">reen </w:t>
      </w:r>
      <w:r w:rsidR="00982CD0" w:rsidRPr="00DC5F7B">
        <w:rPr>
          <w:rFonts w:ascii="Arial" w:hAnsi="Arial" w:cs="Arial"/>
          <w:sz w:val="24"/>
          <w:szCs w:val="24"/>
        </w:rPr>
        <w:t>S</w:t>
      </w:r>
      <w:r w:rsidRPr="00DC5F7B">
        <w:rPr>
          <w:rFonts w:ascii="Arial" w:hAnsi="Arial" w:cs="Arial"/>
          <w:sz w:val="24"/>
          <w:szCs w:val="24"/>
        </w:rPr>
        <w:t xml:space="preserve">pace’, was set up as a pilot intervention for children experiencing these difficulties. The authors’ aimed to test the theory that green spaces can have a variety of health promoting benefits for children. The research was undertaken with the University of Liverpool and the article was published in Biomed Central (BMC) Public Health Journal. BMC is part of Springer Nature who focus on open access and peer reviewed journal articles. North West PCT funded the Haven of Green Space intervention as well as this peer reviewed article.    This </w:t>
      </w:r>
      <w:r w:rsidR="005F04DC" w:rsidRPr="00DC5F7B">
        <w:rPr>
          <w:rFonts w:ascii="Arial" w:hAnsi="Arial" w:cs="Arial"/>
          <w:sz w:val="24"/>
          <w:szCs w:val="24"/>
        </w:rPr>
        <w:t>assignment will also investigate other research that that concur with the finding of this article.</w:t>
      </w:r>
      <w:r w:rsidRPr="00DC5F7B">
        <w:rPr>
          <w:rFonts w:ascii="Arial" w:hAnsi="Arial" w:cs="Arial"/>
          <w:sz w:val="24"/>
          <w:szCs w:val="24"/>
        </w:rPr>
        <w:t xml:space="preserve"> </w:t>
      </w:r>
      <w:r w:rsidR="005F04DC" w:rsidRPr="00DC5F7B">
        <w:rPr>
          <w:rFonts w:ascii="Arial" w:hAnsi="Arial" w:cs="Arial"/>
          <w:sz w:val="24"/>
          <w:szCs w:val="24"/>
        </w:rPr>
        <w:t xml:space="preserve"> It will also make suggestions </w:t>
      </w:r>
      <w:r w:rsidRPr="00DC5F7B">
        <w:rPr>
          <w:rFonts w:ascii="Arial" w:hAnsi="Arial" w:cs="Arial"/>
          <w:sz w:val="24"/>
          <w:szCs w:val="24"/>
        </w:rPr>
        <w:t xml:space="preserve">what could have been done differently in the process and whether the review covers all aspects of the research and its methodologies. </w:t>
      </w:r>
    </w:p>
    <w:p w14:paraId="63841EFA" w14:textId="160E732E" w:rsidR="002567CB" w:rsidRPr="00DC5F7B" w:rsidRDefault="002567CB" w:rsidP="007133D7">
      <w:pPr>
        <w:spacing w:line="480" w:lineRule="auto"/>
        <w:rPr>
          <w:rFonts w:ascii="Arial" w:hAnsi="Arial" w:cs="Arial"/>
          <w:sz w:val="24"/>
          <w:szCs w:val="24"/>
        </w:rPr>
      </w:pPr>
      <w:r w:rsidRPr="00DC5F7B">
        <w:rPr>
          <w:rFonts w:ascii="Arial" w:hAnsi="Arial" w:cs="Arial"/>
          <w:sz w:val="24"/>
          <w:szCs w:val="24"/>
        </w:rPr>
        <w:t>The methods employed during this research were clear, and the teachers identified thirty-six children to participate in this intervention who were experiencing behavioural emotional and social difficulties (BESD) through the schools Pastoral Care Team.</w:t>
      </w:r>
      <w:r w:rsidR="00EF34A5">
        <w:rPr>
          <w:rFonts w:ascii="Arial" w:hAnsi="Arial" w:cs="Arial"/>
          <w:sz w:val="24"/>
          <w:szCs w:val="24"/>
        </w:rPr>
        <w:t xml:space="preserve"> </w:t>
      </w:r>
      <w:r w:rsidRPr="00DC5F7B">
        <w:rPr>
          <w:rFonts w:ascii="Arial" w:hAnsi="Arial" w:cs="Arial"/>
          <w:sz w:val="24"/>
          <w:szCs w:val="24"/>
        </w:rPr>
        <w:t xml:space="preserve">This research used both qualitative and quantitative methodologies. The evaluations were taken from the ‘Five Ways to Wellbeing’ framework and were </w:t>
      </w:r>
      <w:r w:rsidRPr="00DC5F7B">
        <w:rPr>
          <w:rFonts w:ascii="Arial" w:hAnsi="Arial" w:cs="Arial"/>
          <w:sz w:val="24"/>
          <w:szCs w:val="24"/>
        </w:rPr>
        <w:lastRenderedPageBreak/>
        <w:t>therefore not original and the other evaluations were adapted from public mental health evaluation that were changed in order to be used with school children</w:t>
      </w:r>
      <w:r w:rsidR="00F50838">
        <w:rPr>
          <w:rFonts w:ascii="Arial" w:hAnsi="Arial" w:cs="Arial"/>
          <w:sz w:val="24"/>
          <w:szCs w:val="24"/>
        </w:rPr>
        <w:t xml:space="preserve"> (</w:t>
      </w:r>
      <w:proofErr w:type="spellStart"/>
      <w:r w:rsidR="00F50838">
        <w:rPr>
          <w:rFonts w:ascii="Arial" w:hAnsi="Arial" w:cs="Arial"/>
          <w:sz w:val="24"/>
          <w:szCs w:val="24"/>
        </w:rPr>
        <w:t>Aked</w:t>
      </w:r>
      <w:proofErr w:type="spellEnd"/>
      <w:r w:rsidR="00F50838">
        <w:rPr>
          <w:rFonts w:ascii="Arial" w:hAnsi="Arial" w:cs="Arial"/>
          <w:sz w:val="24"/>
          <w:szCs w:val="24"/>
        </w:rPr>
        <w:t xml:space="preserve"> and Thompson, 2011)</w:t>
      </w:r>
      <w:r w:rsidRPr="00DC5F7B">
        <w:rPr>
          <w:rFonts w:ascii="Arial" w:hAnsi="Arial" w:cs="Arial"/>
          <w:sz w:val="24"/>
          <w:szCs w:val="24"/>
        </w:rPr>
        <w:t>.</w:t>
      </w:r>
      <w:r w:rsidR="0073098A" w:rsidRPr="00DC5F7B">
        <w:rPr>
          <w:rFonts w:ascii="Arial" w:hAnsi="Arial" w:cs="Arial"/>
          <w:sz w:val="24"/>
          <w:szCs w:val="24"/>
        </w:rPr>
        <w:t xml:space="preserve"> </w:t>
      </w:r>
      <w:r w:rsidRPr="00DC5F7B">
        <w:rPr>
          <w:rFonts w:ascii="Arial" w:hAnsi="Arial" w:cs="Arial"/>
          <w:sz w:val="24"/>
          <w:szCs w:val="24"/>
        </w:rPr>
        <w:t>According Surbhi (2018) to qualitative research is the favoured method over quantitative, as the qualitative research shows much deeper understanding of the situation and provides more detailed research, which is used to gain a more in-depth understanding of the human behaviour, experiences, attitudes, intentions, and motivations, on the basis of observation and interpretation, to find out the way people think and feel.</w:t>
      </w:r>
    </w:p>
    <w:p w14:paraId="5EA53B87" w14:textId="77777777" w:rsidR="00982CD0" w:rsidRPr="00DC5F7B" w:rsidRDefault="002567CB" w:rsidP="007133D7">
      <w:pPr>
        <w:spacing w:line="480" w:lineRule="auto"/>
        <w:rPr>
          <w:rFonts w:ascii="Arial" w:hAnsi="Arial" w:cs="Arial"/>
          <w:sz w:val="24"/>
          <w:szCs w:val="24"/>
        </w:rPr>
      </w:pPr>
      <w:r w:rsidRPr="00DC5F7B">
        <w:rPr>
          <w:rFonts w:ascii="Arial" w:hAnsi="Arial" w:cs="Arial"/>
          <w:sz w:val="24"/>
          <w:szCs w:val="24"/>
        </w:rPr>
        <w:t>Whereas quantitative research is a form of research which produces numerical data and hard facts (Surbhi, 2018). The authors utilised Wellbeing check cards to gather quantitative data such as gender, age and postcode. Unfortunately, little use was made of this data, and whether any of these factors influenced how well the individuals responded to the therapy. Two examples of how this data could have been used are: tracking age of individuals and looking at whether response to the therapy was better in certain age groups, another is how access to greenspace in the home environment (postcode data searched using google satellite to show green space access) may have influenced to what extent the therapeutic treatment was successful.</w:t>
      </w:r>
    </w:p>
    <w:p w14:paraId="03E99AAA" w14:textId="58163E82" w:rsidR="00366E5B" w:rsidRPr="00DC5F7B" w:rsidRDefault="00366E5B" w:rsidP="007133D7">
      <w:pPr>
        <w:spacing w:line="480" w:lineRule="auto"/>
        <w:rPr>
          <w:rFonts w:ascii="Arial" w:hAnsi="Arial" w:cs="Arial"/>
          <w:sz w:val="24"/>
          <w:szCs w:val="24"/>
        </w:rPr>
      </w:pPr>
      <w:r w:rsidRPr="00DC5F7B">
        <w:rPr>
          <w:rFonts w:ascii="Arial" w:hAnsi="Arial" w:cs="Arial"/>
          <w:sz w:val="24"/>
          <w:szCs w:val="24"/>
        </w:rPr>
        <w:t xml:space="preserve">In the article as stated both methods of data collection are </w:t>
      </w:r>
      <w:r w:rsidR="00214DD9" w:rsidRPr="00DC5F7B">
        <w:rPr>
          <w:rFonts w:ascii="Arial" w:hAnsi="Arial" w:cs="Arial"/>
          <w:sz w:val="24"/>
          <w:szCs w:val="24"/>
        </w:rPr>
        <w:t>employed,</w:t>
      </w:r>
      <w:r w:rsidRPr="00DC5F7B">
        <w:rPr>
          <w:rFonts w:ascii="Arial" w:hAnsi="Arial" w:cs="Arial"/>
          <w:sz w:val="24"/>
          <w:szCs w:val="24"/>
        </w:rPr>
        <w:t xml:space="preserve"> and this </w:t>
      </w:r>
      <w:r w:rsidR="001F535F" w:rsidRPr="00DC5F7B">
        <w:rPr>
          <w:rFonts w:ascii="Arial" w:hAnsi="Arial" w:cs="Arial"/>
          <w:sz w:val="24"/>
          <w:szCs w:val="24"/>
        </w:rPr>
        <w:t xml:space="preserve">was then converged to lead to </w:t>
      </w:r>
      <w:r w:rsidRPr="00DC5F7B">
        <w:rPr>
          <w:rFonts w:ascii="Arial" w:hAnsi="Arial" w:cs="Arial"/>
          <w:sz w:val="24"/>
          <w:szCs w:val="24"/>
        </w:rPr>
        <w:t>triangulation as numerous sources of information are employed which after analysis adds to the integrity of the research. Triangulation as used in this research allows the qualitative to support the quantitative and vice ver</w:t>
      </w:r>
      <w:r w:rsidR="00EF34A5">
        <w:rPr>
          <w:rFonts w:ascii="Arial" w:hAnsi="Arial" w:cs="Arial"/>
          <w:sz w:val="24"/>
          <w:szCs w:val="24"/>
        </w:rPr>
        <w:t>sa</w:t>
      </w:r>
      <w:r w:rsidRPr="00DC5F7B">
        <w:rPr>
          <w:rFonts w:ascii="Arial" w:hAnsi="Arial" w:cs="Arial"/>
          <w:sz w:val="24"/>
          <w:szCs w:val="24"/>
        </w:rPr>
        <w:t xml:space="preserve"> and so this enhances the credibility of the whole research.   </w:t>
      </w:r>
    </w:p>
    <w:p w14:paraId="33DF1F76" w14:textId="77777777" w:rsidR="002567CB" w:rsidRPr="00DC5F7B" w:rsidRDefault="002567CB" w:rsidP="007133D7">
      <w:pPr>
        <w:spacing w:line="480" w:lineRule="auto"/>
        <w:rPr>
          <w:rFonts w:ascii="Arial" w:hAnsi="Arial" w:cs="Arial"/>
          <w:sz w:val="24"/>
          <w:szCs w:val="24"/>
        </w:rPr>
      </w:pPr>
      <w:r w:rsidRPr="00DC5F7B">
        <w:rPr>
          <w:rFonts w:ascii="Arial" w:hAnsi="Arial" w:cs="Arial"/>
          <w:sz w:val="24"/>
          <w:szCs w:val="24"/>
        </w:rPr>
        <w:lastRenderedPageBreak/>
        <w:t xml:space="preserve">It would be beneficial </w:t>
      </w:r>
      <w:r w:rsidR="00670049" w:rsidRPr="00DC5F7B">
        <w:rPr>
          <w:rFonts w:ascii="Arial" w:hAnsi="Arial" w:cs="Arial"/>
          <w:sz w:val="24"/>
          <w:szCs w:val="24"/>
        </w:rPr>
        <w:t xml:space="preserve">to this </w:t>
      </w:r>
      <w:r w:rsidRPr="00DC5F7B">
        <w:rPr>
          <w:rFonts w:ascii="Arial" w:hAnsi="Arial" w:cs="Arial"/>
          <w:sz w:val="24"/>
          <w:szCs w:val="24"/>
        </w:rPr>
        <w:t>research</w:t>
      </w:r>
      <w:r w:rsidR="00670049" w:rsidRPr="00DC5F7B">
        <w:rPr>
          <w:rFonts w:ascii="Arial" w:hAnsi="Arial" w:cs="Arial"/>
          <w:sz w:val="24"/>
          <w:szCs w:val="24"/>
        </w:rPr>
        <w:t xml:space="preserve"> to find out how</w:t>
      </w:r>
      <w:r w:rsidRPr="00DC5F7B">
        <w:rPr>
          <w:rFonts w:ascii="Arial" w:hAnsi="Arial" w:cs="Arial"/>
          <w:sz w:val="24"/>
          <w:szCs w:val="24"/>
        </w:rPr>
        <w:t xml:space="preserve"> well children respond to these green therapies in relation to their everyday access to green spaces and ascertain whether there is a relationship between limited access and a stronger response to these types of interventions for children. A study conducted by Thompson </w:t>
      </w:r>
      <w:r w:rsidRPr="00F50838">
        <w:rPr>
          <w:rFonts w:ascii="Arial" w:hAnsi="Arial" w:cs="Arial"/>
          <w:i/>
          <w:sz w:val="24"/>
          <w:szCs w:val="24"/>
        </w:rPr>
        <w:t>et al</w:t>
      </w:r>
      <w:r w:rsidRPr="00DC5F7B">
        <w:rPr>
          <w:rFonts w:ascii="Arial" w:hAnsi="Arial" w:cs="Arial"/>
          <w:sz w:val="24"/>
          <w:szCs w:val="24"/>
        </w:rPr>
        <w:t xml:space="preserve">, (2008), indicates that distance from home is an important factor in peoples use of green spaces, so this postcode data may have opened another line of interest in this study. The authors of this study also note the variety of psychological and wellbeing benefits associated with use of green spaces throughout the life course, but find interestingly that use of green spaces as a child influences the likelihood of visiting green spaces in adult life. </w:t>
      </w:r>
    </w:p>
    <w:p w14:paraId="11C6B215" w14:textId="4BE67945" w:rsidR="00CB4919" w:rsidRPr="00DC5F7B" w:rsidRDefault="002567CB" w:rsidP="007133D7">
      <w:pPr>
        <w:spacing w:line="480" w:lineRule="auto"/>
        <w:rPr>
          <w:rFonts w:ascii="Arial" w:hAnsi="Arial" w:cs="Arial"/>
          <w:sz w:val="24"/>
          <w:szCs w:val="24"/>
        </w:rPr>
      </w:pPr>
      <w:r w:rsidRPr="00DC5F7B">
        <w:rPr>
          <w:rFonts w:ascii="Arial" w:hAnsi="Arial" w:cs="Arial"/>
          <w:sz w:val="24"/>
          <w:szCs w:val="24"/>
        </w:rPr>
        <w:t>The importance of outdoor play in natural environments as a child may be instrumental in setting up nature bonds throughout life that go hand in hand with the added wellbeing benefits already discussed (Kellert, 2002 p.136)</w:t>
      </w:r>
      <w:r w:rsidR="00CB4919" w:rsidRPr="00DC5F7B">
        <w:rPr>
          <w:rFonts w:ascii="Arial" w:hAnsi="Arial" w:cs="Arial"/>
          <w:sz w:val="24"/>
          <w:szCs w:val="24"/>
        </w:rPr>
        <w:t xml:space="preserve">.  </w:t>
      </w:r>
      <w:r w:rsidR="00982CD0" w:rsidRPr="00DC5F7B">
        <w:rPr>
          <w:rFonts w:ascii="Arial" w:hAnsi="Arial" w:cs="Arial"/>
          <w:sz w:val="24"/>
          <w:szCs w:val="24"/>
        </w:rPr>
        <w:t>However, age</w:t>
      </w:r>
      <w:r w:rsidRPr="00DC5F7B">
        <w:rPr>
          <w:rFonts w:ascii="Arial" w:hAnsi="Arial" w:cs="Arial"/>
          <w:sz w:val="24"/>
          <w:szCs w:val="24"/>
        </w:rPr>
        <w:t xml:space="preserve"> of entry to this type of therapy may play a role in how effective it can be. </w:t>
      </w:r>
      <w:proofErr w:type="spellStart"/>
      <w:r w:rsidRPr="00DC5F7B">
        <w:rPr>
          <w:rFonts w:ascii="Arial" w:hAnsi="Arial" w:cs="Arial"/>
          <w:sz w:val="24"/>
          <w:szCs w:val="24"/>
        </w:rPr>
        <w:t>Lieflander</w:t>
      </w:r>
      <w:proofErr w:type="spellEnd"/>
      <w:r w:rsidR="00F50838">
        <w:rPr>
          <w:rFonts w:ascii="Arial" w:hAnsi="Arial" w:cs="Arial"/>
          <w:sz w:val="24"/>
          <w:szCs w:val="24"/>
        </w:rPr>
        <w:t xml:space="preserve"> </w:t>
      </w:r>
      <w:r w:rsidRPr="00DC5F7B">
        <w:rPr>
          <w:rFonts w:ascii="Arial" w:hAnsi="Arial" w:cs="Arial"/>
          <w:sz w:val="24"/>
          <w:szCs w:val="24"/>
        </w:rPr>
        <w:t>(2013) and his colleagues found that the benefits associated with natural environments lasts four weeks longer in children who have access to these environments before the age of 11. The Haven of Green Space study has one</w:t>
      </w:r>
      <w:r w:rsidR="00CB4919" w:rsidRPr="00DC5F7B">
        <w:rPr>
          <w:rFonts w:ascii="Arial" w:hAnsi="Arial" w:cs="Arial"/>
          <w:sz w:val="24"/>
          <w:szCs w:val="24"/>
        </w:rPr>
        <w:t xml:space="preserve"> group of students who are definitely over this threshold and may not have benefitted in a similar way to the other participants, throughout the therapy and afterwards. Another </w:t>
      </w:r>
      <w:r w:rsidR="00982CD0" w:rsidRPr="00DC5F7B">
        <w:rPr>
          <w:rFonts w:ascii="Arial" w:hAnsi="Arial" w:cs="Arial"/>
          <w:sz w:val="24"/>
          <w:szCs w:val="24"/>
        </w:rPr>
        <w:t xml:space="preserve">author </w:t>
      </w:r>
      <w:r w:rsidR="00CB4919" w:rsidRPr="00DC5F7B">
        <w:rPr>
          <w:rFonts w:ascii="Arial" w:hAnsi="Arial" w:cs="Arial"/>
          <w:sz w:val="24"/>
          <w:szCs w:val="24"/>
        </w:rPr>
        <w:t xml:space="preserve">has found that there are lasting benefits to green space environments, and access to this natural play setting as a child is linked with wellbeing in later stages of development (Bingley &amp; Milligan, 2004). The quantitative data on the age of individuals may have given some insight as to whether the response to the therapy methods were effective over all age groups participating in the study or whether it was more effective for younger individuals as suggested by </w:t>
      </w:r>
      <w:proofErr w:type="spellStart"/>
      <w:r w:rsidR="00CB4919" w:rsidRPr="00DC5F7B">
        <w:rPr>
          <w:rFonts w:ascii="Arial" w:hAnsi="Arial" w:cs="Arial"/>
          <w:sz w:val="24"/>
          <w:szCs w:val="24"/>
        </w:rPr>
        <w:t>Lieflander</w:t>
      </w:r>
      <w:proofErr w:type="spellEnd"/>
      <w:r w:rsidR="00CB4919" w:rsidRPr="00DC5F7B">
        <w:rPr>
          <w:rFonts w:ascii="Arial" w:hAnsi="Arial" w:cs="Arial"/>
          <w:sz w:val="24"/>
          <w:szCs w:val="24"/>
        </w:rPr>
        <w:t xml:space="preserve"> (2013).</w:t>
      </w:r>
    </w:p>
    <w:p w14:paraId="0EAA9CA9" w14:textId="77777777" w:rsidR="002567CB" w:rsidRPr="00DC5F7B" w:rsidRDefault="002567CB" w:rsidP="007133D7">
      <w:pPr>
        <w:spacing w:line="480" w:lineRule="auto"/>
        <w:rPr>
          <w:rFonts w:ascii="Arial" w:hAnsi="Arial" w:cs="Arial"/>
          <w:sz w:val="24"/>
          <w:szCs w:val="24"/>
        </w:rPr>
      </w:pPr>
      <w:r w:rsidRPr="00DC5F7B">
        <w:rPr>
          <w:rFonts w:ascii="Arial" w:hAnsi="Arial" w:cs="Arial"/>
          <w:sz w:val="24"/>
          <w:szCs w:val="24"/>
        </w:rPr>
        <w:lastRenderedPageBreak/>
        <w:t>According to McCormick (2017) there appears to be an increasing amount of research showing the association between green space and overall health. The author</w:t>
      </w:r>
      <w:r w:rsidR="00670049" w:rsidRPr="00DC5F7B">
        <w:rPr>
          <w:rFonts w:ascii="Arial" w:hAnsi="Arial" w:cs="Arial"/>
          <w:sz w:val="24"/>
          <w:szCs w:val="24"/>
        </w:rPr>
        <w:t xml:space="preserve"> in this article highlights</w:t>
      </w:r>
      <w:r w:rsidRPr="00DC5F7B">
        <w:rPr>
          <w:rFonts w:ascii="Arial" w:hAnsi="Arial" w:cs="Arial"/>
          <w:sz w:val="24"/>
          <w:szCs w:val="24"/>
        </w:rPr>
        <w:t xml:space="preserve"> more children are spending more time indoors while the paediatric mental and behavioural this health problems are increasing.  In addition, McCormick suggests that children living in disadvantaged urban areas have a greater chance of having an emotional disorder and being diagnosed with depression/anxiety or ADHD/disruptive behaviour.</w:t>
      </w:r>
    </w:p>
    <w:p w14:paraId="4248A861" w14:textId="77777777" w:rsidR="002567CB" w:rsidRPr="00DC5F7B" w:rsidRDefault="002567CB" w:rsidP="007133D7">
      <w:pPr>
        <w:spacing w:line="480" w:lineRule="auto"/>
        <w:rPr>
          <w:rFonts w:ascii="Arial" w:hAnsi="Arial" w:cs="Arial"/>
          <w:sz w:val="24"/>
          <w:szCs w:val="24"/>
        </w:rPr>
      </w:pPr>
      <w:r w:rsidRPr="00DC5F7B">
        <w:rPr>
          <w:rFonts w:ascii="Arial" w:hAnsi="Arial" w:cs="Arial"/>
          <w:sz w:val="24"/>
          <w:szCs w:val="24"/>
        </w:rPr>
        <w:t>McCormick highlights that at-risk children are more likely to live in neighbourhoods that are in poor condition without amenities such as sidewalks and libraries children also in deprived neighbourhoods may lack access to green space and these could be for a variety of reasons some including long walking distances, and some of the reasons are the parental concerns about safety that keep children inside. The postcode data collected could have been used to undertake community profiling to ascertain whether these areas would come under these criteria and may influence how likely the participants are to use the green spaces available to them.</w:t>
      </w:r>
    </w:p>
    <w:p w14:paraId="787078C9" w14:textId="44C78B11" w:rsidR="00670049" w:rsidRPr="00DC5F7B" w:rsidRDefault="00670049" w:rsidP="007133D7">
      <w:pPr>
        <w:spacing w:line="480" w:lineRule="auto"/>
        <w:rPr>
          <w:rFonts w:ascii="Arial" w:hAnsi="Arial" w:cs="Arial"/>
          <w:sz w:val="24"/>
          <w:szCs w:val="24"/>
        </w:rPr>
      </w:pPr>
      <w:r w:rsidRPr="00DC5F7B">
        <w:rPr>
          <w:rFonts w:ascii="Arial" w:hAnsi="Arial" w:cs="Arial"/>
          <w:sz w:val="24"/>
          <w:szCs w:val="24"/>
        </w:rPr>
        <w:t xml:space="preserve">In </w:t>
      </w:r>
      <w:r w:rsidR="007E0752" w:rsidRPr="00DC5F7B">
        <w:rPr>
          <w:rFonts w:ascii="Arial" w:hAnsi="Arial" w:cs="Arial"/>
          <w:sz w:val="24"/>
          <w:szCs w:val="24"/>
        </w:rPr>
        <w:t>2015</w:t>
      </w:r>
      <w:r w:rsidRPr="00DC5F7B">
        <w:rPr>
          <w:rFonts w:ascii="Arial" w:hAnsi="Arial" w:cs="Arial"/>
          <w:sz w:val="24"/>
          <w:szCs w:val="24"/>
        </w:rPr>
        <w:t xml:space="preserve"> the Welsh </w:t>
      </w:r>
      <w:r w:rsidR="001F535F" w:rsidRPr="00DC5F7B">
        <w:rPr>
          <w:rFonts w:ascii="Arial" w:hAnsi="Arial" w:cs="Arial"/>
          <w:sz w:val="24"/>
          <w:szCs w:val="24"/>
        </w:rPr>
        <w:t>Government brought</w:t>
      </w:r>
      <w:r w:rsidRPr="00DC5F7B">
        <w:rPr>
          <w:rFonts w:ascii="Arial" w:hAnsi="Arial" w:cs="Arial"/>
          <w:sz w:val="24"/>
          <w:szCs w:val="24"/>
        </w:rPr>
        <w:t xml:space="preserve"> in a</w:t>
      </w:r>
      <w:r w:rsidR="007E0752" w:rsidRPr="00DC5F7B">
        <w:rPr>
          <w:rFonts w:ascii="Arial" w:hAnsi="Arial" w:cs="Arial"/>
          <w:sz w:val="24"/>
          <w:szCs w:val="24"/>
        </w:rPr>
        <w:t xml:space="preserve"> new </w:t>
      </w:r>
      <w:r w:rsidRPr="00DC5F7B">
        <w:rPr>
          <w:rFonts w:ascii="Arial" w:hAnsi="Arial" w:cs="Arial"/>
          <w:sz w:val="24"/>
          <w:szCs w:val="24"/>
        </w:rPr>
        <w:t>A</w:t>
      </w:r>
      <w:r w:rsidR="007E0752" w:rsidRPr="00DC5F7B">
        <w:rPr>
          <w:rFonts w:ascii="Arial" w:hAnsi="Arial" w:cs="Arial"/>
          <w:sz w:val="24"/>
          <w:szCs w:val="24"/>
        </w:rPr>
        <w:t xml:space="preserve">ct </w:t>
      </w:r>
      <w:r w:rsidRPr="00DC5F7B">
        <w:rPr>
          <w:rFonts w:ascii="Arial" w:hAnsi="Arial" w:cs="Arial"/>
          <w:sz w:val="24"/>
          <w:szCs w:val="24"/>
        </w:rPr>
        <w:t xml:space="preserve">called </w:t>
      </w:r>
      <w:r w:rsidR="0073098A" w:rsidRPr="00DC5F7B">
        <w:rPr>
          <w:rFonts w:ascii="Arial" w:hAnsi="Arial" w:cs="Arial"/>
          <w:sz w:val="24"/>
          <w:szCs w:val="24"/>
        </w:rPr>
        <w:t>“</w:t>
      </w:r>
      <w:r w:rsidRPr="00DC5F7B">
        <w:rPr>
          <w:rFonts w:ascii="Arial" w:hAnsi="Arial" w:cs="Arial"/>
          <w:sz w:val="24"/>
          <w:szCs w:val="24"/>
        </w:rPr>
        <w:t>The W</w:t>
      </w:r>
      <w:r w:rsidR="007E0752" w:rsidRPr="00DC5F7B">
        <w:rPr>
          <w:rFonts w:ascii="Arial" w:hAnsi="Arial" w:cs="Arial"/>
          <w:sz w:val="24"/>
          <w:szCs w:val="24"/>
        </w:rPr>
        <w:t xml:space="preserve">ell-being </w:t>
      </w:r>
      <w:r w:rsidRPr="00DC5F7B">
        <w:rPr>
          <w:rFonts w:ascii="Arial" w:hAnsi="Arial" w:cs="Arial"/>
          <w:sz w:val="24"/>
          <w:szCs w:val="24"/>
        </w:rPr>
        <w:t>of F</w:t>
      </w:r>
      <w:r w:rsidR="007E0752" w:rsidRPr="00DC5F7B">
        <w:rPr>
          <w:rFonts w:ascii="Arial" w:hAnsi="Arial" w:cs="Arial"/>
          <w:sz w:val="24"/>
          <w:szCs w:val="24"/>
        </w:rPr>
        <w:t xml:space="preserve">uture </w:t>
      </w:r>
      <w:r w:rsidRPr="00DC5F7B">
        <w:rPr>
          <w:rFonts w:ascii="Arial" w:hAnsi="Arial" w:cs="Arial"/>
          <w:sz w:val="24"/>
          <w:szCs w:val="24"/>
        </w:rPr>
        <w:t>G</w:t>
      </w:r>
      <w:r w:rsidR="007E0752" w:rsidRPr="00DC5F7B">
        <w:rPr>
          <w:rFonts w:ascii="Arial" w:hAnsi="Arial" w:cs="Arial"/>
          <w:sz w:val="24"/>
          <w:szCs w:val="24"/>
        </w:rPr>
        <w:t>enerations</w:t>
      </w:r>
      <w:r w:rsidR="0073098A" w:rsidRPr="00DC5F7B">
        <w:rPr>
          <w:rFonts w:ascii="Arial" w:hAnsi="Arial" w:cs="Arial"/>
          <w:sz w:val="24"/>
          <w:szCs w:val="24"/>
        </w:rPr>
        <w:t>”</w:t>
      </w:r>
      <w:r w:rsidR="007E0752" w:rsidRPr="00DC5F7B">
        <w:rPr>
          <w:rFonts w:ascii="Arial" w:hAnsi="Arial" w:cs="Arial"/>
          <w:sz w:val="24"/>
          <w:szCs w:val="24"/>
        </w:rPr>
        <w:t xml:space="preserve">, which is </w:t>
      </w:r>
      <w:r w:rsidRPr="00DC5F7B">
        <w:rPr>
          <w:rFonts w:ascii="Arial" w:hAnsi="Arial" w:cs="Arial"/>
          <w:sz w:val="24"/>
          <w:szCs w:val="24"/>
        </w:rPr>
        <w:t xml:space="preserve">concerned with </w:t>
      </w:r>
      <w:r w:rsidR="007E0752" w:rsidRPr="00DC5F7B">
        <w:rPr>
          <w:rFonts w:ascii="Arial" w:hAnsi="Arial" w:cs="Arial"/>
          <w:sz w:val="24"/>
          <w:szCs w:val="24"/>
        </w:rPr>
        <w:t>improving the social, economic, environmental and cultural well-being of Wales as a whole.</w:t>
      </w:r>
      <w:r w:rsidR="00E43AFB" w:rsidRPr="00DC5F7B">
        <w:rPr>
          <w:rFonts w:ascii="Arial" w:hAnsi="Arial" w:cs="Arial"/>
          <w:sz w:val="24"/>
          <w:szCs w:val="24"/>
        </w:rPr>
        <w:t xml:space="preserve"> </w:t>
      </w:r>
      <w:r w:rsidRPr="00DC5F7B">
        <w:rPr>
          <w:rFonts w:ascii="Arial" w:hAnsi="Arial" w:cs="Arial"/>
          <w:sz w:val="24"/>
          <w:szCs w:val="24"/>
        </w:rPr>
        <w:t>One of the seven key points concentrates on a healthier both in terms of physical health and metal we-being. It is in this area that the Government hopes to engage in the provision of more green spaces for children in order to improve mental health outcomes. This relates directly to the research undertaken in the article that green spaces can help give positive outcomes for children.</w:t>
      </w:r>
    </w:p>
    <w:p w14:paraId="0DD6B846" w14:textId="2797A0B4" w:rsidR="00CB4919" w:rsidRPr="00DC5F7B" w:rsidRDefault="00670049" w:rsidP="007133D7">
      <w:pPr>
        <w:spacing w:line="480" w:lineRule="auto"/>
        <w:rPr>
          <w:rFonts w:ascii="Arial" w:hAnsi="Arial" w:cs="Arial"/>
          <w:sz w:val="24"/>
          <w:szCs w:val="24"/>
        </w:rPr>
      </w:pPr>
      <w:r w:rsidRPr="00DC5F7B">
        <w:rPr>
          <w:rFonts w:ascii="Arial" w:hAnsi="Arial" w:cs="Arial"/>
          <w:sz w:val="24"/>
          <w:szCs w:val="24"/>
        </w:rPr>
        <w:lastRenderedPageBreak/>
        <w:t xml:space="preserve">One of the </w:t>
      </w:r>
      <w:r w:rsidR="00CB4919" w:rsidRPr="00DC5F7B">
        <w:rPr>
          <w:rFonts w:ascii="Arial" w:hAnsi="Arial" w:cs="Arial"/>
          <w:sz w:val="24"/>
          <w:szCs w:val="24"/>
        </w:rPr>
        <w:t>weakness</w:t>
      </w:r>
      <w:r w:rsidRPr="00DC5F7B">
        <w:rPr>
          <w:rFonts w:ascii="Arial" w:hAnsi="Arial" w:cs="Arial"/>
          <w:sz w:val="24"/>
          <w:szCs w:val="24"/>
        </w:rPr>
        <w:t xml:space="preserve"> in the </w:t>
      </w:r>
      <w:r w:rsidR="001F535F" w:rsidRPr="00DC5F7B">
        <w:rPr>
          <w:rFonts w:ascii="Arial" w:hAnsi="Arial" w:cs="Arial"/>
          <w:sz w:val="24"/>
          <w:szCs w:val="24"/>
        </w:rPr>
        <w:t>research is</w:t>
      </w:r>
      <w:r w:rsidR="00CB4919" w:rsidRPr="00DC5F7B">
        <w:rPr>
          <w:rFonts w:ascii="Arial" w:hAnsi="Arial" w:cs="Arial"/>
          <w:sz w:val="24"/>
          <w:szCs w:val="24"/>
        </w:rPr>
        <w:t xml:space="preserve"> concerned with the number of participants in the study. There is not enough data for a reliable result reading with regards seeing only 36 children During these results the data was only conducted from only 36 children from across three participating schools, and for an accurate result it would have been far more beneficial, if it was 360 children instead of only 36 children (</w:t>
      </w:r>
      <w:proofErr w:type="spellStart"/>
      <w:r w:rsidR="00CB4919" w:rsidRPr="00DC5F7B">
        <w:rPr>
          <w:rFonts w:ascii="Arial" w:hAnsi="Arial" w:cs="Arial"/>
          <w:sz w:val="24"/>
          <w:szCs w:val="24"/>
        </w:rPr>
        <w:t>Delgardo</w:t>
      </w:r>
      <w:proofErr w:type="spellEnd"/>
      <w:r w:rsidR="00CB4919" w:rsidRPr="00DC5F7B">
        <w:rPr>
          <w:rFonts w:ascii="Arial" w:hAnsi="Arial" w:cs="Arial"/>
          <w:sz w:val="24"/>
          <w:szCs w:val="24"/>
        </w:rPr>
        <w:t>, 2015</w:t>
      </w:r>
      <w:r w:rsidR="00144B7A">
        <w:rPr>
          <w:rFonts w:ascii="Arial" w:hAnsi="Arial" w:cs="Arial"/>
          <w:sz w:val="24"/>
          <w:szCs w:val="24"/>
        </w:rPr>
        <w:t>; Salkind, 2010</w:t>
      </w:r>
      <w:r w:rsidR="00CB4919" w:rsidRPr="00DC5F7B">
        <w:rPr>
          <w:rFonts w:ascii="Arial" w:hAnsi="Arial" w:cs="Arial"/>
          <w:sz w:val="24"/>
          <w:szCs w:val="24"/>
        </w:rPr>
        <w:t>).As a result of this the data that has been collected in my opinion may not have been enough data for a clear result indicating how effective Green spaces are as a therapeutic intervention for children. A more extensive evaluation with more test subjects would have given a better outcome for the research, leading to a more accurate representation of the importance of green spaces as therapy (</w:t>
      </w:r>
      <w:proofErr w:type="spellStart"/>
      <w:r w:rsidR="00CB4919" w:rsidRPr="00DC5F7B">
        <w:rPr>
          <w:rFonts w:ascii="Arial" w:hAnsi="Arial" w:cs="Arial"/>
          <w:sz w:val="24"/>
          <w:szCs w:val="24"/>
        </w:rPr>
        <w:t>Delgardo</w:t>
      </w:r>
      <w:proofErr w:type="spellEnd"/>
      <w:r w:rsidR="00CB4919" w:rsidRPr="00DC5F7B">
        <w:rPr>
          <w:rFonts w:ascii="Arial" w:hAnsi="Arial" w:cs="Arial"/>
          <w:sz w:val="24"/>
          <w:szCs w:val="24"/>
        </w:rPr>
        <w:t>, 2015</w:t>
      </w:r>
      <w:r w:rsidR="00144B7A">
        <w:rPr>
          <w:rFonts w:ascii="Arial" w:hAnsi="Arial" w:cs="Arial"/>
          <w:sz w:val="24"/>
          <w:szCs w:val="24"/>
        </w:rPr>
        <w:t>; Salkind 2010</w:t>
      </w:r>
      <w:r w:rsidR="00366E5B" w:rsidRPr="00DC5F7B">
        <w:rPr>
          <w:rFonts w:ascii="Arial" w:hAnsi="Arial" w:cs="Arial"/>
          <w:sz w:val="24"/>
          <w:szCs w:val="24"/>
        </w:rPr>
        <w:t>)</w:t>
      </w:r>
      <w:r w:rsidR="00CB4919" w:rsidRPr="00DC5F7B">
        <w:rPr>
          <w:rFonts w:ascii="Arial" w:hAnsi="Arial" w:cs="Arial"/>
          <w:sz w:val="24"/>
          <w:szCs w:val="24"/>
        </w:rPr>
        <w:t xml:space="preserve">. </w:t>
      </w:r>
    </w:p>
    <w:p w14:paraId="016815A6" w14:textId="5C153228" w:rsidR="00CB4919" w:rsidRPr="00DC5F7B" w:rsidRDefault="00CB4919" w:rsidP="007133D7">
      <w:pPr>
        <w:spacing w:line="480" w:lineRule="auto"/>
        <w:rPr>
          <w:rFonts w:ascii="Arial" w:hAnsi="Arial" w:cs="Arial"/>
          <w:sz w:val="24"/>
          <w:szCs w:val="24"/>
        </w:rPr>
      </w:pPr>
      <w:r w:rsidRPr="00DC5F7B">
        <w:rPr>
          <w:rFonts w:ascii="Arial" w:hAnsi="Arial" w:cs="Arial"/>
          <w:sz w:val="24"/>
          <w:szCs w:val="24"/>
        </w:rPr>
        <w:t>It has also been noted that the information that has been put in the article does not specify where and how far apart the schools were from each other. Geographical features which may influence test results are also similarly omitted from the original paper. In particular, access to green spaces in school catchment areas is not mentioned and it is possible that the normal availability of these green spaces available to children involved in this study, may have influenced how they responded to this particular therapeutic intervention (Thompson &amp; Thomas, 2005). Residential green space and the participants access to this space is also not mentioned and could similarly influence the response to this particular intervention (Barton</w:t>
      </w:r>
      <w:r w:rsidR="00F50838">
        <w:rPr>
          <w:rFonts w:ascii="Arial" w:hAnsi="Arial" w:cs="Arial"/>
          <w:sz w:val="24"/>
          <w:szCs w:val="24"/>
        </w:rPr>
        <w:t xml:space="preserve"> </w:t>
      </w:r>
      <w:r w:rsidR="00F50838" w:rsidRPr="00F50838">
        <w:rPr>
          <w:rFonts w:ascii="Arial" w:hAnsi="Arial" w:cs="Arial"/>
          <w:i/>
          <w:sz w:val="24"/>
          <w:szCs w:val="24"/>
        </w:rPr>
        <w:t>et al</w:t>
      </w:r>
      <w:r w:rsidR="00F50838">
        <w:rPr>
          <w:rFonts w:ascii="Arial" w:hAnsi="Arial" w:cs="Arial"/>
          <w:sz w:val="24"/>
          <w:szCs w:val="24"/>
        </w:rPr>
        <w:t xml:space="preserve">, </w:t>
      </w:r>
      <w:r w:rsidRPr="00DC5F7B">
        <w:rPr>
          <w:rFonts w:ascii="Arial" w:hAnsi="Arial" w:cs="Arial"/>
          <w:sz w:val="24"/>
          <w:szCs w:val="24"/>
        </w:rPr>
        <w:t>2016).</w:t>
      </w:r>
    </w:p>
    <w:p w14:paraId="111327F9" w14:textId="24231BE8" w:rsidR="00366E5B" w:rsidRPr="00DC5F7B" w:rsidRDefault="001F535F" w:rsidP="007133D7">
      <w:pPr>
        <w:spacing w:line="480" w:lineRule="auto"/>
        <w:rPr>
          <w:rFonts w:ascii="Arial" w:hAnsi="Arial" w:cs="Arial"/>
          <w:sz w:val="24"/>
          <w:szCs w:val="24"/>
        </w:rPr>
      </w:pPr>
      <w:r w:rsidRPr="00DC5F7B">
        <w:rPr>
          <w:rFonts w:ascii="Arial" w:hAnsi="Arial" w:cs="Arial"/>
          <w:sz w:val="24"/>
          <w:szCs w:val="24"/>
        </w:rPr>
        <w:t>Before undertaking this research, consent was obtained from the parents and guardians of the children</w:t>
      </w:r>
      <w:r w:rsidR="00144B7A">
        <w:rPr>
          <w:rFonts w:ascii="Arial" w:hAnsi="Arial" w:cs="Arial"/>
          <w:sz w:val="24"/>
          <w:szCs w:val="24"/>
        </w:rPr>
        <w:t xml:space="preserve"> (NSPCC, 2019)</w:t>
      </w:r>
      <w:r w:rsidRPr="00DC5F7B">
        <w:rPr>
          <w:rFonts w:ascii="Arial" w:hAnsi="Arial" w:cs="Arial"/>
          <w:sz w:val="24"/>
          <w:szCs w:val="24"/>
        </w:rPr>
        <w:t xml:space="preserve">. However, it should also be noted that the children participating in the research also provided their consent. </w:t>
      </w:r>
      <w:r w:rsidR="00CB4919" w:rsidRPr="00DC5F7B">
        <w:rPr>
          <w:rFonts w:ascii="Arial" w:hAnsi="Arial" w:cs="Arial"/>
          <w:sz w:val="24"/>
          <w:szCs w:val="24"/>
        </w:rPr>
        <w:t xml:space="preserve">According to Bell, </w:t>
      </w:r>
      <w:r w:rsidR="00144B7A">
        <w:rPr>
          <w:rFonts w:ascii="Arial" w:hAnsi="Arial" w:cs="Arial"/>
          <w:sz w:val="24"/>
          <w:szCs w:val="24"/>
        </w:rPr>
        <w:t>(</w:t>
      </w:r>
      <w:r w:rsidR="00CB4919" w:rsidRPr="00DC5F7B">
        <w:rPr>
          <w:rFonts w:ascii="Arial" w:hAnsi="Arial" w:cs="Arial"/>
          <w:sz w:val="24"/>
          <w:szCs w:val="24"/>
        </w:rPr>
        <w:t>2008</w:t>
      </w:r>
      <w:r w:rsidR="00144B7A">
        <w:rPr>
          <w:rFonts w:ascii="Arial" w:hAnsi="Arial" w:cs="Arial"/>
          <w:sz w:val="24"/>
          <w:szCs w:val="24"/>
        </w:rPr>
        <w:t>)</w:t>
      </w:r>
      <w:r w:rsidR="00CB4919" w:rsidRPr="00DC5F7B">
        <w:rPr>
          <w:rFonts w:ascii="Arial" w:hAnsi="Arial" w:cs="Arial"/>
          <w:sz w:val="24"/>
          <w:szCs w:val="24"/>
        </w:rPr>
        <w:t xml:space="preserve"> children’s rights are important as a result of children’s vulnerability and many</w:t>
      </w:r>
      <w:r w:rsidR="00366E5B" w:rsidRPr="00DC5F7B">
        <w:rPr>
          <w:rFonts w:ascii="Arial" w:hAnsi="Arial" w:cs="Arial"/>
          <w:sz w:val="24"/>
          <w:szCs w:val="24"/>
        </w:rPr>
        <w:t xml:space="preserve"> </w:t>
      </w:r>
      <w:r w:rsidR="00366E5B" w:rsidRPr="00DC5F7B">
        <w:rPr>
          <w:rFonts w:ascii="Arial" w:hAnsi="Arial" w:cs="Arial"/>
          <w:sz w:val="24"/>
          <w:szCs w:val="24"/>
        </w:rPr>
        <w:lastRenderedPageBreak/>
        <w:t xml:space="preserve">forms of legislation have been formulated to protect the rights of children in accordance with the UN Convention on the Rights of the Child (United Nations, 1989).Under the UNCRC in article 12 it states that Children have the right to say what they think should happen, when adults are making decisions that affect them, and to have their opinions </w:t>
      </w:r>
      <w:r w:rsidR="0015631D" w:rsidRPr="00DC5F7B">
        <w:rPr>
          <w:rFonts w:ascii="Arial" w:hAnsi="Arial" w:cs="Arial"/>
          <w:sz w:val="24"/>
          <w:szCs w:val="24"/>
        </w:rPr>
        <w:t>considered</w:t>
      </w:r>
      <w:r w:rsidR="00366E5B" w:rsidRPr="00DC5F7B">
        <w:rPr>
          <w:rFonts w:ascii="Arial" w:hAnsi="Arial" w:cs="Arial"/>
          <w:sz w:val="24"/>
          <w:szCs w:val="24"/>
        </w:rPr>
        <w:t xml:space="preserve">. </w:t>
      </w:r>
      <w:proofErr w:type="spellStart"/>
      <w:r w:rsidR="00366E5B" w:rsidRPr="00DC5F7B">
        <w:rPr>
          <w:rFonts w:ascii="Arial" w:hAnsi="Arial" w:cs="Arial"/>
          <w:sz w:val="24"/>
          <w:szCs w:val="24"/>
        </w:rPr>
        <w:t>Fargas-Malet</w:t>
      </w:r>
      <w:proofErr w:type="spellEnd"/>
      <w:r w:rsidR="00366E5B" w:rsidRPr="00DC5F7B">
        <w:rPr>
          <w:rFonts w:ascii="Arial" w:hAnsi="Arial" w:cs="Arial"/>
          <w:sz w:val="24"/>
          <w:szCs w:val="24"/>
        </w:rPr>
        <w:t xml:space="preserve"> </w:t>
      </w:r>
      <w:r w:rsidR="00F50838" w:rsidRPr="00F50838">
        <w:rPr>
          <w:rFonts w:ascii="Arial" w:hAnsi="Arial" w:cs="Arial"/>
          <w:i/>
          <w:sz w:val="24"/>
          <w:szCs w:val="24"/>
        </w:rPr>
        <w:t>et al</w:t>
      </w:r>
      <w:r w:rsidR="00F50838">
        <w:rPr>
          <w:rFonts w:ascii="Arial" w:hAnsi="Arial" w:cs="Arial"/>
          <w:sz w:val="24"/>
          <w:szCs w:val="24"/>
        </w:rPr>
        <w:t xml:space="preserve"> </w:t>
      </w:r>
      <w:r w:rsidR="00366E5B" w:rsidRPr="00DC5F7B">
        <w:rPr>
          <w:rFonts w:ascii="Arial" w:hAnsi="Arial" w:cs="Arial"/>
          <w:sz w:val="24"/>
          <w:szCs w:val="24"/>
        </w:rPr>
        <w:t xml:space="preserve">(2010) state that when undertaking any research with children / young people in a care </w:t>
      </w:r>
      <w:r w:rsidR="0015631D" w:rsidRPr="00DC5F7B">
        <w:rPr>
          <w:rFonts w:ascii="Arial" w:hAnsi="Arial" w:cs="Arial"/>
          <w:sz w:val="24"/>
          <w:szCs w:val="24"/>
        </w:rPr>
        <w:t xml:space="preserve">setting </w:t>
      </w:r>
      <w:r w:rsidR="00144B7A">
        <w:rPr>
          <w:rFonts w:ascii="Arial" w:hAnsi="Arial" w:cs="Arial"/>
          <w:sz w:val="24"/>
          <w:szCs w:val="24"/>
        </w:rPr>
        <w:t>t</w:t>
      </w:r>
      <w:r w:rsidR="00366E5B" w:rsidRPr="00DC5F7B">
        <w:rPr>
          <w:rFonts w:ascii="Arial" w:hAnsi="Arial" w:cs="Arial"/>
          <w:sz w:val="24"/>
          <w:szCs w:val="24"/>
        </w:rPr>
        <w:t xml:space="preserve">hat researchers must </w:t>
      </w:r>
      <w:r w:rsidR="00144B7A">
        <w:rPr>
          <w:rFonts w:ascii="Arial" w:hAnsi="Arial" w:cs="Arial"/>
          <w:sz w:val="24"/>
          <w:szCs w:val="24"/>
        </w:rPr>
        <w:t xml:space="preserve">gain </w:t>
      </w:r>
      <w:r w:rsidR="00366E5B" w:rsidRPr="00DC5F7B">
        <w:rPr>
          <w:rFonts w:ascii="Arial" w:hAnsi="Arial" w:cs="Arial"/>
          <w:sz w:val="24"/>
          <w:szCs w:val="24"/>
        </w:rPr>
        <w:t>the co-operation from a range of gatekeepers such as school staff and parents / guardians.</w:t>
      </w:r>
      <w:r w:rsidRPr="00DC5F7B">
        <w:rPr>
          <w:rFonts w:ascii="Arial" w:hAnsi="Arial" w:cs="Arial"/>
          <w:sz w:val="24"/>
          <w:szCs w:val="24"/>
        </w:rPr>
        <w:t xml:space="preserve"> Informed consent should be freely given without coercion, threat or persuasion by the children / young people who are able to make an appropriately informed decision, (Cocks, 2006</w:t>
      </w:r>
      <w:r w:rsidR="00F50838">
        <w:rPr>
          <w:rFonts w:ascii="Arial" w:hAnsi="Arial" w:cs="Arial"/>
          <w:sz w:val="24"/>
          <w:szCs w:val="24"/>
        </w:rPr>
        <w:t>; NSPCC, 2019; Bell, 2008</w:t>
      </w:r>
      <w:r w:rsidRPr="00DC5F7B">
        <w:rPr>
          <w:rFonts w:ascii="Arial" w:hAnsi="Arial" w:cs="Arial"/>
          <w:sz w:val="24"/>
          <w:szCs w:val="24"/>
        </w:rPr>
        <w:t xml:space="preserve">). </w:t>
      </w:r>
    </w:p>
    <w:p w14:paraId="26F12472" w14:textId="5E455E4C" w:rsidR="005F04DC" w:rsidRPr="00DC5F7B" w:rsidRDefault="005F04DC" w:rsidP="007133D7">
      <w:pPr>
        <w:spacing w:line="480" w:lineRule="auto"/>
        <w:rPr>
          <w:rFonts w:ascii="Arial" w:hAnsi="Arial" w:cs="Arial"/>
          <w:sz w:val="24"/>
          <w:szCs w:val="24"/>
        </w:rPr>
      </w:pPr>
      <w:r w:rsidRPr="00DC5F7B">
        <w:rPr>
          <w:rFonts w:ascii="Arial" w:hAnsi="Arial" w:cs="Arial"/>
          <w:sz w:val="24"/>
          <w:szCs w:val="24"/>
        </w:rPr>
        <w:t xml:space="preserve">In assessing the impact of the green spaces and their therapeutic value for the children involved there may have been misunderstandings of the terminology used by the researchers. This could cause problems in interpreting the data as the children may not have understood what was being asked of them.  </w:t>
      </w:r>
      <w:r w:rsidR="00E43AFB" w:rsidRPr="00DC5F7B">
        <w:rPr>
          <w:rFonts w:ascii="Arial" w:hAnsi="Arial" w:cs="Arial"/>
          <w:sz w:val="24"/>
          <w:szCs w:val="24"/>
        </w:rPr>
        <w:t xml:space="preserve"> However, when collecting the data as will be described later the language of the check cards on the Warwick Edinburgh Mental Wellbeing Scale (WEMW) was adapted and simplified in order to enable the children to understand the question.  </w:t>
      </w:r>
      <w:r w:rsidRPr="00DC5F7B">
        <w:rPr>
          <w:rFonts w:ascii="Arial" w:hAnsi="Arial" w:cs="Arial"/>
          <w:sz w:val="24"/>
          <w:szCs w:val="24"/>
        </w:rPr>
        <w:t>This fact has been noted by the authors of th</w:t>
      </w:r>
      <w:r w:rsidR="00144B7A">
        <w:rPr>
          <w:rFonts w:ascii="Arial" w:hAnsi="Arial" w:cs="Arial"/>
          <w:sz w:val="24"/>
          <w:szCs w:val="24"/>
        </w:rPr>
        <w:t>e article being criticised</w:t>
      </w:r>
      <w:r w:rsidRPr="00DC5F7B">
        <w:rPr>
          <w:rFonts w:ascii="Arial" w:hAnsi="Arial" w:cs="Arial"/>
          <w:sz w:val="24"/>
          <w:szCs w:val="24"/>
        </w:rPr>
        <w:t xml:space="preserve">, and many other experts in the field of researching with young </w:t>
      </w:r>
      <w:r w:rsidR="0017283F" w:rsidRPr="00DC5F7B">
        <w:rPr>
          <w:rFonts w:ascii="Arial" w:hAnsi="Arial" w:cs="Arial"/>
          <w:sz w:val="24"/>
          <w:szCs w:val="24"/>
        </w:rPr>
        <w:t>people. Although in</w:t>
      </w:r>
      <w:r w:rsidRPr="00DC5F7B">
        <w:rPr>
          <w:rFonts w:ascii="Arial" w:hAnsi="Arial" w:cs="Arial"/>
          <w:sz w:val="24"/>
          <w:szCs w:val="24"/>
        </w:rPr>
        <w:t xml:space="preserve"> the article it is noted that recommendations for age-appropriate methods</w:t>
      </w:r>
      <w:r w:rsidR="0017283F" w:rsidRPr="00DC5F7B">
        <w:rPr>
          <w:rFonts w:ascii="Arial" w:hAnsi="Arial" w:cs="Arial"/>
          <w:sz w:val="24"/>
          <w:szCs w:val="24"/>
        </w:rPr>
        <w:t xml:space="preserve"> were to be used</w:t>
      </w:r>
      <w:r w:rsidRPr="00DC5F7B">
        <w:rPr>
          <w:rFonts w:ascii="Arial" w:hAnsi="Arial" w:cs="Arial"/>
          <w:sz w:val="24"/>
          <w:szCs w:val="24"/>
        </w:rPr>
        <w:t xml:space="preserve"> for the evaluation to be a success</w:t>
      </w:r>
      <w:r w:rsidR="0017283F" w:rsidRPr="00DC5F7B">
        <w:rPr>
          <w:rFonts w:ascii="Arial" w:hAnsi="Arial" w:cs="Arial"/>
          <w:sz w:val="24"/>
          <w:szCs w:val="24"/>
        </w:rPr>
        <w:t>.</w:t>
      </w:r>
      <w:r w:rsidRPr="00DC5F7B">
        <w:rPr>
          <w:rFonts w:ascii="Arial" w:hAnsi="Arial" w:cs="Arial"/>
          <w:sz w:val="24"/>
          <w:szCs w:val="24"/>
        </w:rPr>
        <w:t xml:space="preserve"> </w:t>
      </w:r>
    </w:p>
    <w:p w14:paraId="0C0FF61B" w14:textId="7DD468D7" w:rsidR="00366E5B" w:rsidRPr="00DC5F7B" w:rsidRDefault="00366E5B" w:rsidP="007133D7">
      <w:pPr>
        <w:spacing w:line="480" w:lineRule="auto"/>
        <w:rPr>
          <w:rFonts w:ascii="Arial" w:hAnsi="Arial" w:cs="Arial"/>
          <w:sz w:val="24"/>
          <w:szCs w:val="24"/>
        </w:rPr>
      </w:pPr>
      <w:r w:rsidRPr="00DC5F7B">
        <w:rPr>
          <w:rFonts w:ascii="Arial" w:hAnsi="Arial" w:cs="Arial"/>
          <w:sz w:val="24"/>
          <w:szCs w:val="24"/>
        </w:rPr>
        <w:t>This research did not follow the British Educational Research Association (BERA</w:t>
      </w:r>
      <w:r w:rsidR="00F776AB" w:rsidRPr="00DC5F7B">
        <w:rPr>
          <w:rFonts w:ascii="Arial" w:hAnsi="Arial" w:cs="Arial"/>
          <w:sz w:val="24"/>
          <w:szCs w:val="24"/>
        </w:rPr>
        <w:t>)</w:t>
      </w:r>
      <w:r w:rsidR="0073098A" w:rsidRPr="00DC5F7B">
        <w:rPr>
          <w:rFonts w:ascii="Arial" w:hAnsi="Arial" w:cs="Arial"/>
          <w:color w:val="92D050"/>
          <w:sz w:val="24"/>
          <w:szCs w:val="24"/>
        </w:rPr>
        <w:t xml:space="preserve"> </w:t>
      </w:r>
      <w:r w:rsidR="0017283F" w:rsidRPr="00DC5F7B">
        <w:rPr>
          <w:rFonts w:ascii="Arial" w:hAnsi="Arial" w:cs="Arial"/>
          <w:sz w:val="24"/>
          <w:szCs w:val="24"/>
        </w:rPr>
        <w:t>guidelines as</w:t>
      </w:r>
      <w:r w:rsidR="0073098A" w:rsidRPr="00DC5F7B">
        <w:rPr>
          <w:rFonts w:ascii="Arial" w:hAnsi="Arial" w:cs="Arial"/>
          <w:sz w:val="24"/>
          <w:szCs w:val="24"/>
        </w:rPr>
        <w:t xml:space="preserve"> it was concerned with children’s well-</w:t>
      </w:r>
      <w:r w:rsidR="0017283F" w:rsidRPr="00DC5F7B">
        <w:rPr>
          <w:rFonts w:ascii="Arial" w:hAnsi="Arial" w:cs="Arial"/>
          <w:sz w:val="24"/>
          <w:szCs w:val="24"/>
        </w:rPr>
        <w:t>being.</w:t>
      </w:r>
      <w:r w:rsidR="0073098A" w:rsidRPr="00DC5F7B">
        <w:rPr>
          <w:rFonts w:ascii="Arial" w:hAnsi="Arial" w:cs="Arial"/>
          <w:sz w:val="24"/>
          <w:szCs w:val="24"/>
        </w:rPr>
        <w:t xml:space="preserve">  Instead </w:t>
      </w:r>
      <w:r w:rsidRPr="00DC5F7B">
        <w:rPr>
          <w:rFonts w:ascii="Arial" w:hAnsi="Arial" w:cs="Arial"/>
          <w:sz w:val="24"/>
          <w:szCs w:val="24"/>
        </w:rPr>
        <w:t xml:space="preserve">the NHS </w:t>
      </w:r>
      <w:r w:rsidR="0017283F" w:rsidRPr="00DC5F7B">
        <w:rPr>
          <w:rFonts w:ascii="Arial" w:hAnsi="Arial" w:cs="Arial"/>
          <w:sz w:val="24"/>
          <w:szCs w:val="24"/>
        </w:rPr>
        <w:t>Trust,</w:t>
      </w:r>
      <w:r w:rsidRPr="00DC5F7B">
        <w:rPr>
          <w:rFonts w:ascii="Arial" w:hAnsi="Arial" w:cs="Arial"/>
          <w:sz w:val="24"/>
          <w:szCs w:val="24"/>
        </w:rPr>
        <w:t xml:space="preserve"> in which the Child and Adolescent Mental Health Services (CAMHS</w:t>
      </w:r>
      <w:r w:rsidR="0017283F" w:rsidRPr="00DC5F7B">
        <w:rPr>
          <w:rFonts w:ascii="Arial" w:hAnsi="Arial" w:cs="Arial"/>
          <w:sz w:val="24"/>
          <w:szCs w:val="24"/>
        </w:rPr>
        <w:t>, 2019</w:t>
      </w:r>
      <w:r w:rsidRPr="00DC5F7B">
        <w:rPr>
          <w:rFonts w:ascii="Arial" w:hAnsi="Arial" w:cs="Arial"/>
          <w:sz w:val="24"/>
          <w:szCs w:val="24"/>
        </w:rPr>
        <w:t>) psychotherapist worked</w:t>
      </w:r>
      <w:r w:rsidR="005F04DC" w:rsidRPr="00DC5F7B">
        <w:rPr>
          <w:rFonts w:ascii="Arial" w:hAnsi="Arial" w:cs="Arial"/>
          <w:sz w:val="24"/>
          <w:szCs w:val="24"/>
        </w:rPr>
        <w:t>,</w:t>
      </w:r>
      <w:r w:rsidR="0073098A" w:rsidRPr="00DC5F7B">
        <w:rPr>
          <w:rFonts w:ascii="Arial" w:hAnsi="Arial" w:cs="Arial"/>
          <w:sz w:val="24"/>
          <w:szCs w:val="24"/>
        </w:rPr>
        <w:t xml:space="preserve"> employed </w:t>
      </w:r>
      <w:r w:rsidRPr="00DC5F7B">
        <w:rPr>
          <w:rFonts w:ascii="Arial" w:hAnsi="Arial" w:cs="Arial"/>
          <w:sz w:val="24"/>
          <w:szCs w:val="24"/>
        </w:rPr>
        <w:t>their guiding principles</w:t>
      </w:r>
      <w:r w:rsidR="001F535F" w:rsidRPr="00DC5F7B">
        <w:rPr>
          <w:rFonts w:ascii="Arial" w:hAnsi="Arial" w:cs="Arial"/>
          <w:sz w:val="24"/>
          <w:szCs w:val="24"/>
        </w:rPr>
        <w:t xml:space="preserve">. This was to ensure that </w:t>
      </w:r>
      <w:r w:rsidR="001F535F" w:rsidRPr="00DC5F7B">
        <w:rPr>
          <w:rFonts w:ascii="Arial" w:hAnsi="Arial" w:cs="Arial"/>
          <w:sz w:val="24"/>
          <w:szCs w:val="24"/>
        </w:rPr>
        <w:lastRenderedPageBreak/>
        <w:t xml:space="preserve">all the research </w:t>
      </w:r>
      <w:r w:rsidR="0073098A" w:rsidRPr="00DC5F7B">
        <w:rPr>
          <w:rFonts w:ascii="Arial" w:hAnsi="Arial" w:cs="Arial"/>
          <w:sz w:val="24"/>
          <w:szCs w:val="24"/>
        </w:rPr>
        <w:t xml:space="preserve">was </w:t>
      </w:r>
      <w:r w:rsidR="00DC5F7B" w:rsidRPr="00DC5F7B">
        <w:rPr>
          <w:rFonts w:ascii="Arial" w:hAnsi="Arial" w:cs="Arial"/>
          <w:sz w:val="24"/>
          <w:szCs w:val="24"/>
        </w:rPr>
        <w:t>undertaken using</w:t>
      </w:r>
      <w:r w:rsidR="0073098A" w:rsidRPr="00DC5F7B">
        <w:rPr>
          <w:rFonts w:ascii="Arial" w:hAnsi="Arial" w:cs="Arial"/>
          <w:sz w:val="24"/>
          <w:szCs w:val="24"/>
        </w:rPr>
        <w:t xml:space="preserve"> guiding </w:t>
      </w:r>
      <w:r w:rsidR="00DC5F7B" w:rsidRPr="00DC5F7B">
        <w:rPr>
          <w:rFonts w:ascii="Arial" w:hAnsi="Arial" w:cs="Arial"/>
          <w:sz w:val="24"/>
          <w:szCs w:val="24"/>
        </w:rPr>
        <w:t xml:space="preserve">principles </w:t>
      </w:r>
      <w:r w:rsidR="0073098A" w:rsidRPr="00DC5F7B">
        <w:rPr>
          <w:rFonts w:ascii="Arial" w:hAnsi="Arial" w:cs="Arial"/>
          <w:sz w:val="24"/>
          <w:szCs w:val="24"/>
        </w:rPr>
        <w:t xml:space="preserve">and therefore </w:t>
      </w:r>
      <w:r w:rsidR="00DC5F7B" w:rsidRPr="00DC5F7B">
        <w:rPr>
          <w:rFonts w:ascii="Arial" w:hAnsi="Arial" w:cs="Arial"/>
          <w:sz w:val="24"/>
          <w:szCs w:val="24"/>
        </w:rPr>
        <w:t xml:space="preserve">was done in an </w:t>
      </w:r>
      <w:r w:rsidR="001F535F" w:rsidRPr="00DC5F7B">
        <w:rPr>
          <w:rFonts w:ascii="Arial" w:hAnsi="Arial" w:cs="Arial"/>
          <w:sz w:val="24"/>
          <w:szCs w:val="24"/>
        </w:rPr>
        <w:t>ethical manner</w:t>
      </w:r>
      <w:r w:rsidR="00144B7A">
        <w:rPr>
          <w:rFonts w:ascii="Arial" w:hAnsi="Arial" w:cs="Arial"/>
          <w:sz w:val="24"/>
          <w:szCs w:val="24"/>
        </w:rPr>
        <w:t xml:space="preserve"> (NSPCC, 2019)</w:t>
      </w:r>
      <w:r w:rsidR="001F535F" w:rsidRPr="00DC5F7B">
        <w:rPr>
          <w:rFonts w:ascii="Arial" w:hAnsi="Arial" w:cs="Arial"/>
          <w:sz w:val="24"/>
          <w:szCs w:val="24"/>
        </w:rPr>
        <w:t xml:space="preserve">. </w:t>
      </w:r>
    </w:p>
    <w:p w14:paraId="5B612CFB" w14:textId="45EEB968" w:rsidR="00EB4A01" w:rsidRPr="00DC5F7B" w:rsidRDefault="00E410CB" w:rsidP="007133D7">
      <w:pPr>
        <w:spacing w:line="480" w:lineRule="auto"/>
        <w:rPr>
          <w:rFonts w:ascii="Arial" w:hAnsi="Arial" w:cs="Arial"/>
          <w:sz w:val="24"/>
          <w:szCs w:val="24"/>
        </w:rPr>
      </w:pPr>
      <w:r w:rsidRPr="00DC5F7B">
        <w:rPr>
          <w:rFonts w:ascii="Arial" w:hAnsi="Arial" w:cs="Arial"/>
          <w:sz w:val="24"/>
          <w:szCs w:val="24"/>
        </w:rPr>
        <w:t xml:space="preserve">During this research </w:t>
      </w:r>
      <w:r w:rsidR="004B7AE4" w:rsidRPr="00DC5F7B">
        <w:rPr>
          <w:rFonts w:ascii="Arial" w:hAnsi="Arial" w:cs="Arial"/>
          <w:sz w:val="24"/>
          <w:szCs w:val="24"/>
        </w:rPr>
        <w:t>the</w:t>
      </w:r>
      <w:r w:rsidR="00595F75" w:rsidRPr="00DC5F7B">
        <w:rPr>
          <w:rFonts w:ascii="Arial" w:hAnsi="Arial" w:cs="Arial"/>
          <w:sz w:val="24"/>
          <w:szCs w:val="24"/>
        </w:rPr>
        <w:t xml:space="preserve"> Haven of</w:t>
      </w:r>
      <w:r w:rsidR="004B7AE4" w:rsidRPr="00DC5F7B">
        <w:rPr>
          <w:rFonts w:ascii="Arial" w:hAnsi="Arial" w:cs="Arial"/>
          <w:sz w:val="24"/>
          <w:szCs w:val="24"/>
        </w:rPr>
        <w:t xml:space="preserve"> Green</w:t>
      </w:r>
      <w:r w:rsidR="00595F75" w:rsidRPr="00DC5F7B">
        <w:rPr>
          <w:rFonts w:ascii="Arial" w:hAnsi="Arial" w:cs="Arial"/>
          <w:sz w:val="24"/>
          <w:szCs w:val="24"/>
        </w:rPr>
        <w:t xml:space="preserve"> Space used </w:t>
      </w:r>
      <w:r w:rsidR="00EB4A01" w:rsidRPr="00DC5F7B">
        <w:rPr>
          <w:rFonts w:ascii="Arial" w:hAnsi="Arial" w:cs="Arial"/>
          <w:sz w:val="24"/>
          <w:szCs w:val="24"/>
        </w:rPr>
        <w:t xml:space="preserve">the Warwick-Edinburgh Mental Well-being Scale (WEMWBS).  The scale is scored by summing responses to each item answered on a 1 to 5 Likert scale. </w:t>
      </w:r>
      <w:r w:rsidR="00E43AFB" w:rsidRPr="00DC5F7B">
        <w:rPr>
          <w:rFonts w:ascii="Arial" w:hAnsi="Arial" w:cs="Arial"/>
          <w:sz w:val="24"/>
          <w:szCs w:val="24"/>
        </w:rPr>
        <w:t xml:space="preserve"> </w:t>
      </w:r>
      <w:r w:rsidR="00EB4A01" w:rsidRPr="00DC5F7B">
        <w:rPr>
          <w:rFonts w:ascii="Arial" w:hAnsi="Arial" w:cs="Arial"/>
          <w:sz w:val="24"/>
          <w:szCs w:val="24"/>
        </w:rPr>
        <w:t>This approach was not found to be beneficial as they were not a reliable source of data.  When addressing this it was discovered that primary schools had in fact turned out to have the opposite effect than what was intended, so it would have been better to adapt a different approach with the younger aged children.</w:t>
      </w:r>
    </w:p>
    <w:p w14:paraId="3A078019" w14:textId="0E3BA0FC" w:rsidR="0017283F" w:rsidRPr="00DC5F7B" w:rsidRDefault="0017283F" w:rsidP="007133D7">
      <w:pPr>
        <w:spacing w:line="480" w:lineRule="auto"/>
        <w:rPr>
          <w:rFonts w:ascii="Arial" w:hAnsi="Arial" w:cs="Arial"/>
          <w:sz w:val="24"/>
          <w:szCs w:val="24"/>
        </w:rPr>
      </w:pPr>
      <w:r w:rsidRPr="00DC5F7B">
        <w:rPr>
          <w:rFonts w:ascii="Arial" w:hAnsi="Arial" w:cs="Arial"/>
          <w:sz w:val="24"/>
          <w:szCs w:val="24"/>
        </w:rPr>
        <w:t xml:space="preserve">Overall this article and the research behind it </w:t>
      </w:r>
      <w:r w:rsidR="003C62F6" w:rsidRPr="00DC5F7B">
        <w:rPr>
          <w:rFonts w:ascii="Arial" w:hAnsi="Arial" w:cs="Arial"/>
          <w:sz w:val="24"/>
          <w:szCs w:val="24"/>
        </w:rPr>
        <w:t>were</w:t>
      </w:r>
      <w:r w:rsidRPr="00DC5F7B">
        <w:rPr>
          <w:rFonts w:ascii="Arial" w:hAnsi="Arial" w:cs="Arial"/>
          <w:sz w:val="24"/>
          <w:szCs w:val="24"/>
        </w:rPr>
        <w:t xml:space="preserve"> useful in confirming that green space</w:t>
      </w:r>
      <w:r w:rsidR="00EB4A01" w:rsidRPr="00DC5F7B">
        <w:rPr>
          <w:rFonts w:ascii="Arial" w:hAnsi="Arial" w:cs="Arial"/>
          <w:sz w:val="24"/>
          <w:szCs w:val="24"/>
        </w:rPr>
        <w:t>s</w:t>
      </w:r>
      <w:r w:rsidRPr="00DC5F7B">
        <w:rPr>
          <w:rFonts w:ascii="Arial" w:hAnsi="Arial" w:cs="Arial"/>
          <w:sz w:val="24"/>
          <w:szCs w:val="24"/>
        </w:rPr>
        <w:t xml:space="preserve"> have positive benefits in aiding the well-being</w:t>
      </w:r>
      <w:r w:rsidR="00EB4A01" w:rsidRPr="00DC5F7B">
        <w:rPr>
          <w:rFonts w:ascii="Arial" w:hAnsi="Arial" w:cs="Arial"/>
          <w:sz w:val="24"/>
          <w:szCs w:val="24"/>
        </w:rPr>
        <w:t xml:space="preserve"> of young children. The limitations of the research have been discussed but there is much further </w:t>
      </w:r>
      <w:r w:rsidR="003C62F6" w:rsidRPr="00DC5F7B">
        <w:rPr>
          <w:rFonts w:ascii="Arial" w:hAnsi="Arial" w:cs="Arial"/>
          <w:sz w:val="24"/>
          <w:szCs w:val="24"/>
        </w:rPr>
        <w:t xml:space="preserve">evidence by other experts that confirm the findings in this article. As recently the interest in the relationship between green spaces when exposed to child and adolescents and the benefit that this gives to the mental health and well-being has increased greatly. </w:t>
      </w:r>
      <w:r w:rsidR="00E43AFB" w:rsidRPr="00DC5F7B">
        <w:rPr>
          <w:rFonts w:ascii="Arial" w:hAnsi="Arial" w:cs="Arial"/>
          <w:sz w:val="24"/>
          <w:szCs w:val="24"/>
        </w:rPr>
        <w:t>Thus,</w:t>
      </w:r>
      <w:r w:rsidR="003C62F6" w:rsidRPr="00DC5F7B">
        <w:rPr>
          <w:rFonts w:ascii="Arial" w:hAnsi="Arial" w:cs="Arial"/>
          <w:sz w:val="24"/>
          <w:szCs w:val="24"/>
        </w:rPr>
        <w:t xml:space="preserve"> the </w:t>
      </w:r>
      <w:r w:rsidRPr="00DC5F7B">
        <w:rPr>
          <w:rFonts w:ascii="Arial" w:hAnsi="Arial" w:cs="Arial"/>
          <w:sz w:val="24"/>
          <w:szCs w:val="24"/>
        </w:rPr>
        <w:t>research is very relevant to young people today as it is widely reported that mental health problems are increasing especially for young people.</w:t>
      </w:r>
      <w:r w:rsidR="00DC5F7B" w:rsidRPr="00DC5F7B">
        <w:rPr>
          <w:rFonts w:ascii="Arial" w:hAnsi="Arial" w:cs="Arial"/>
          <w:sz w:val="24"/>
          <w:szCs w:val="24"/>
        </w:rPr>
        <w:t xml:space="preserve"> However, this limited data set was problematic for producing relevant insights into green spaces and child wellbeing. The standardisation of this type of research would allow for multiple researchers to work separately in all areas and would allow them to follow a structured procedure when undertaking this type of research. An added benefit would be the creation of a dataset which will be applicable for future research in this area of child wellbeing and allow researchers to fully analyse a large comprehensive dataset, allowing for further insights and knowledge into the effect of greenspaces on child well-being.</w:t>
      </w:r>
      <w:r w:rsidRPr="00DC5F7B">
        <w:rPr>
          <w:rFonts w:ascii="Arial" w:hAnsi="Arial" w:cs="Arial"/>
          <w:sz w:val="24"/>
          <w:szCs w:val="24"/>
        </w:rPr>
        <w:t xml:space="preserve"> </w:t>
      </w:r>
    </w:p>
    <w:p w14:paraId="4CCA183F" w14:textId="77777777" w:rsidR="0017283F" w:rsidRPr="00DC5F7B" w:rsidRDefault="0017283F" w:rsidP="00366E5B">
      <w:pPr>
        <w:spacing w:line="360" w:lineRule="auto"/>
        <w:rPr>
          <w:rFonts w:ascii="Arial" w:hAnsi="Arial" w:cs="Arial"/>
          <w:color w:val="FF0000"/>
          <w:sz w:val="24"/>
          <w:szCs w:val="24"/>
        </w:rPr>
      </w:pPr>
    </w:p>
    <w:p w14:paraId="00110893" w14:textId="77777777" w:rsidR="00366E5B" w:rsidRPr="00DC5F7B" w:rsidRDefault="00366E5B" w:rsidP="00366E5B">
      <w:pPr>
        <w:spacing w:line="360" w:lineRule="auto"/>
        <w:rPr>
          <w:rFonts w:ascii="Arial" w:hAnsi="Arial" w:cs="Arial"/>
          <w:color w:val="000000"/>
          <w:sz w:val="24"/>
          <w:szCs w:val="24"/>
          <w:shd w:val="clear" w:color="auto" w:fill="FFFFFF"/>
        </w:rPr>
      </w:pPr>
    </w:p>
    <w:p w14:paraId="2882A128" w14:textId="77777777" w:rsidR="00366E5B" w:rsidRPr="00DC5F7B" w:rsidRDefault="00366E5B" w:rsidP="00366E5B">
      <w:pPr>
        <w:spacing w:line="360" w:lineRule="auto"/>
        <w:rPr>
          <w:rFonts w:ascii="Arial" w:hAnsi="Arial" w:cs="Arial"/>
          <w:sz w:val="24"/>
          <w:szCs w:val="24"/>
        </w:rPr>
      </w:pPr>
    </w:p>
    <w:p w14:paraId="366D4663" w14:textId="77777777" w:rsidR="00366E5B" w:rsidRPr="00DC5F7B" w:rsidRDefault="00366E5B" w:rsidP="00366E5B">
      <w:pPr>
        <w:spacing w:line="360" w:lineRule="auto"/>
        <w:rPr>
          <w:rFonts w:ascii="Arial" w:hAnsi="Arial" w:cs="Arial"/>
          <w:sz w:val="24"/>
          <w:szCs w:val="24"/>
        </w:rPr>
      </w:pPr>
    </w:p>
    <w:p w14:paraId="193216B0" w14:textId="77777777" w:rsidR="00366E5B" w:rsidRPr="00DC5F7B" w:rsidRDefault="00366E5B" w:rsidP="00366E5B">
      <w:pPr>
        <w:spacing w:line="360" w:lineRule="auto"/>
        <w:rPr>
          <w:rFonts w:ascii="Arial" w:hAnsi="Arial" w:cs="Arial"/>
          <w:color w:val="FF0000"/>
          <w:sz w:val="24"/>
          <w:szCs w:val="24"/>
        </w:rPr>
      </w:pPr>
    </w:p>
    <w:p w14:paraId="319D25CC" w14:textId="77777777" w:rsidR="00CB4919" w:rsidRPr="00DC5F7B" w:rsidRDefault="00CB4919" w:rsidP="00CB4919">
      <w:pPr>
        <w:spacing w:line="360" w:lineRule="auto"/>
        <w:rPr>
          <w:rFonts w:ascii="Arial" w:hAnsi="Arial" w:cs="Arial"/>
          <w:sz w:val="24"/>
          <w:szCs w:val="24"/>
        </w:rPr>
      </w:pPr>
    </w:p>
    <w:p w14:paraId="74BFBE00" w14:textId="77777777" w:rsidR="00CB4919" w:rsidRPr="00DC5F7B" w:rsidRDefault="00CB4919" w:rsidP="00CB4919">
      <w:pPr>
        <w:spacing w:line="360" w:lineRule="auto"/>
        <w:rPr>
          <w:rFonts w:ascii="Arial" w:hAnsi="Arial" w:cs="Arial"/>
          <w:color w:val="000000"/>
          <w:sz w:val="24"/>
          <w:szCs w:val="24"/>
          <w:shd w:val="clear" w:color="auto" w:fill="FFFFFF"/>
        </w:rPr>
      </w:pPr>
    </w:p>
    <w:p w14:paraId="7AE8FD5C" w14:textId="77777777" w:rsidR="003C62F6" w:rsidRPr="00DC5F7B" w:rsidRDefault="003C62F6" w:rsidP="000D6C85">
      <w:pPr>
        <w:spacing w:line="360" w:lineRule="auto"/>
        <w:jc w:val="center"/>
        <w:rPr>
          <w:rFonts w:ascii="Arial" w:hAnsi="Arial" w:cs="Arial"/>
          <w:sz w:val="28"/>
          <w:szCs w:val="28"/>
        </w:rPr>
      </w:pPr>
    </w:p>
    <w:p w14:paraId="574C99E6" w14:textId="77777777" w:rsidR="003C62F6" w:rsidRPr="00DC5F7B" w:rsidRDefault="003C62F6" w:rsidP="000D6C85">
      <w:pPr>
        <w:spacing w:line="360" w:lineRule="auto"/>
        <w:jc w:val="center"/>
        <w:rPr>
          <w:rFonts w:ascii="Arial" w:hAnsi="Arial" w:cs="Arial"/>
          <w:sz w:val="28"/>
          <w:szCs w:val="28"/>
        </w:rPr>
      </w:pPr>
    </w:p>
    <w:p w14:paraId="30B8E08D" w14:textId="77777777" w:rsidR="003C62F6" w:rsidRPr="00DC5F7B" w:rsidRDefault="003C62F6" w:rsidP="000D6C85">
      <w:pPr>
        <w:spacing w:line="360" w:lineRule="auto"/>
        <w:jc w:val="center"/>
        <w:rPr>
          <w:rFonts w:ascii="Arial" w:hAnsi="Arial" w:cs="Arial"/>
          <w:sz w:val="28"/>
          <w:szCs w:val="28"/>
        </w:rPr>
      </w:pPr>
    </w:p>
    <w:p w14:paraId="3F8B4C73" w14:textId="77777777" w:rsidR="003C62F6" w:rsidRPr="00DC5F7B" w:rsidRDefault="003C62F6" w:rsidP="000D6C85">
      <w:pPr>
        <w:spacing w:line="360" w:lineRule="auto"/>
        <w:jc w:val="center"/>
        <w:rPr>
          <w:rFonts w:ascii="Arial" w:hAnsi="Arial" w:cs="Arial"/>
          <w:sz w:val="28"/>
          <w:szCs w:val="28"/>
        </w:rPr>
      </w:pPr>
    </w:p>
    <w:p w14:paraId="5E00BFB4" w14:textId="6868EEB2" w:rsidR="003C62F6" w:rsidRDefault="003C62F6" w:rsidP="000D6C85">
      <w:pPr>
        <w:spacing w:line="360" w:lineRule="auto"/>
        <w:jc w:val="center"/>
        <w:rPr>
          <w:rFonts w:ascii="Arial" w:hAnsi="Arial" w:cs="Arial"/>
          <w:sz w:val="28"/>
          <w:szCs w:val="28"/>
        </w:rPr>
      </w:pPr>
    </w:p>
    <w:p w14:paraId="1C9A0AF7" w14:textId="5CA37993" w:rsidR="00EF34A5" w:rsidRDefault="00EF34A5" w:rsidP="000D6C85">
      <w:pPr>
        <w:spacing w:line="360" w:lineRule="auto"/>
        <w:jc w:val="center"/>
        <w:rPr>
          <w:rFonts w:ascii="Arial" w:hAnsi="Arial" w:cs="Arial"/>
          <w:sz w:val="28"/>
          <w:szCs w:val="28"/>
        </w:rPr>
      </w:pPr>
    </w:p>
    <w:p w14:paraId="067BE010" w14:textId="594F6941" w:rsidR="00EF34A5" w:rsidRDefault="00EF34A5" w:rsidP="000D6C85">
      <w:pPr>
        <w:spacing w:line="360" w:lineRule="auto"/>
        <w:jc w:val="center"/>
        <w:rPr>
          <w:rFonts w:ascii="Arial" w:hAnsi="Arial" w:cs="Arial"/>
          <w:sz w:val="28"/>
          <w:szCs w:val="28"/>
        </w:rPr>
      </w:pPr>
    </w:p>
    <w:p w14:paraId="5685B93B" w14:textId="631FE55F" w:rsidR="00EF34A5" w:rsidRDefault="00EF34A5" w:rsidP="000D6C85">
      <w:pPr>
        <w:spacing w:line="360" w:lineRule="auto"/>
        <w:jc w:val="center"/>
        <w:rPr>
          <w:rFonts w:ascii="Arial" w:hAnsi="Arial" w:cs="Arial"/>
          <w:sz w:val="28"/>
          <w:szCs w:val="28"/>
        </w:rPr>
      </w:pPr>
    </w:p>
    <w:p w14:paraId="59AF5EA7" w14:textId="77777777" w:rsidR="00EF34A5" w:rsidRPr="00DC5F7B" w:rsidRDefault="00EF34A5" w:rsidP="000D6C85">
      <w:pPr>
        <w:spacing w:line="360" w:lineRule="auto"/>
        <w:jc w:val="center"/>
        <w:rPr>
          <w:rFonts w:ascii="Arial" w:hAnsi="Arial" w:cs="Arial"/>
          <w:sz w:val="28"/>
          <w:szCs w:val="28"/>
        </w:rPr>
      </w:pPr>
    </w:p>
    <w:p w14:paraId="5DC733C1" w14:textId="77777777" w:rsidR="00366E5B" w:rsidRPr="00EF34A5" w:rsidRDefault="00366E5B" w:rsidP="000D6C85">
      <w:pPr>
        <w:spacing w:line="360" w:lineRule="auto"/>
        <w:jc w:val="center"/>
        <w:rPr>
          <w:rFonts w:ascii="Arial" w:hAnsi="Arial" w:cs="Arial"/>
          <w:b/>
          <w:sz w:val="24"/>
          <w:szCs w:val="24"/>
        </w:rPr>
      </w:pPr>
      <w:r w:rsidRPr="00EF34A5">
        <w:rPr>
          <w:rFonts w:ascii="Arial" w:hAnsi="Arial" w:cs="Arial"/>
          <w:b/>
          <w:sz w:val="24"/>
          <w:szCs w:val="24"/>
        </w:rPr>
        <w:t>Reference List</w:t>
      </w:r>
    </w:p>
    <w:p w14:paraId="0851DC96" w14:textId="77777777" w:rsidR="008903F0" w:rsidRPr="00EF34A5" w:rsidRDefault="008903F0" w:rsidP="00A34BA2">
      <w:pPr>
        <w:spacing w:line="360" w:lineRule="auto"/>
        <w:rPr>
          <w:rFonts w:ascii="Arial" w:hAnsi="Arial" w:cs="Arial"/>
          <w:sz w:val="24"/>
          <w:szCs w:val="24"/>
        </w:rPr>
      </w:pPr>
      <w:proofErr w:type="spellStart"/>
      <w:r w:rsidRPr="00EF34A5">
        <w:rPr>
          <w:rFonts w:ascii="Arial" w:hAnsi="Arial" w:cs="Arial"/>
          <w:sz w:val="24"/>
          <w:szCs w:val="24"/>
          <w:shd w:val="clear" w:color="auto" w:fill="FFFFFF"/>
        </w:rPr>
        <w:t>Aked</w:t>
      </w:r>
      <w:proofErr w:type="spellEnd"/>
      <w:r w:rsidRPr="00EF34A5">
        <w:rPr>
          <w:rFonts w:ascii="Arial" w:hAnsi="Arial" w:cs="Arial"/>
          <w:sz w:val="24"/>
          <w:szCs w:val="24"/>
          <w:shd w:val="clear" w:color="auto" w:fill="FFFFFF"/>
        </w:rPr>
        <w:t xml:space="preserve">, J., Thompson, S. (2011). </w:t>
      </w:r>
      <w:r w:rsidRPr="00EF34A5">
        <w:rPr>
          <w:rFonts w:ascii="Arial" w:hAnsi="Arial" w:cs="Arial"/>
          <w:i/>
          <w:iCs/>
          <w:sz w:val="24"/>
          <w:szCs w:val="24"/>
        </w:rPr>
        <w:t>Five Ways to Well-being: New applications, new ways of thinking.</w:t>
      </w:r>
      <w:r w:rsidRPr="00EF34A5">
        <w:rPr>
          <w:rFonts w:ascii="Arial" w:hAnsi="Arial" w:cs="Arial"/>
          <w:sz w:val="24"/>
          <w:szCs w:val="24"/>
          <w:shd w:val="clear" w:color="auto" w:fill="FFFFFF"/>
        </w:rPr>
        <w:t xml:space="preserve"> </w:t>
      </w:r>
      <w:r>
        <w:rPr>
          <w:rFonts w:ascii="Arial" w:hAnsi="Arial" w:cs="Arial"/>
          <w:sz w:val="24"/>
          <w:szCs w:val="24"/>
          <w:shd w:val="clear" w:color="auto" w:fill="FFFFFF"/>
        </w:rPr>
        <w:t xml:space="preserve">[online] </w:t>
      </w:r>
      <w:r w:rsidRPr="00EF34A5">
        <w:rPr>
          <w:rFonts w:ascii="Arial" w:hAnsi="Arial" w:cs="Arial"/>
          <w:sz w:val="24"/>
          <w:szCs w:val="24"/>
          <w:shd w:val="clear" w:color="auto" w:fill="FFFFFF"/>
        </w:rPr>
        <w:t>Available</w:t>
      </w:r>
      <w:r>
        <w:rPr>
          <w:rFonts w:ascii="Arial" w:hAnsi="Arial" w:cs="Arial"/>
          <w:sz w:val="24"/>
          <w:szCs w:val="24"/>
          <w:shd w:val="clear" w:color="auto" w:fill="FFFFFF"/>
        </w:rPr>
        <w:t xml:space="preserve"> at</w:t>
      </w:r>
      <w:r w:rsidRPr="00EF34A5">
        <w:rPr>
          <w:rFonts w:ascii="Arial" w:hAnsi="Arial" w:cs="Arial"/>
          <w:sz w:val="24"/>
          <w:szCs w:val="24"/>
          <w:shd w:val="clear" w:color="auto" w:fill="FFFFFF"/>
        </w:rPr>
        <w:t>: https://neweconomics.org/2011/07/five-ways-well-new-applications-new-ways-thinking. [Last accessed 17th October 2019].</w:t>
      </w:r>
    </w:p>
    <w:p w14:paraId="47880ECE"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 xml:space="preserve">Barton, J., Bragg, R., Wood, C. and Pretty, J. eds., (2016). </w:t>
      </w:r>
      <w:r w:rsidRPr="00EF34A5">
        <w:rPr>
          <w:rFonts w:ascii="Arial" w:hAnsi="Arial" w:cs="Arial"/>
          <w:i/>
          <w:iCs/>
          <w:sz w:val="24"/>
          <w:szCs w:val="24"/>
        </w:rPr>
        <w:t>Green exercise: Linking nature, health and well-being</w:t>
      </w:r>
      <w:r w:rsidRPr="00EF34A5">
        <w:rPr>
          <w:rFonts w:ascii="Arial" w:hAnsi="Arial" w:cs="Arial"/>
          <w:sz w:val="24"/>
          <w:szCs w:val="24"/>
          <w:shd w:val="clear" w:color="auto" w:fill="FFFFFF"/>
        </w:rPr>
        <w:t>. Routledge. Pp. preface xii-xv.</w:t>
      </w:r>
    </w:p>
    <w:p w14:paraId="49ACC409"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Bell, N., (2008). ‘Ethics in child research: rights, reason and responsibilities.’</w:t>
      </w:r>
      <w:r>
        <w:rPr>
          <w:rFonts w:ascii="Arial" w:hAnsi="Arial" w:cs="Arial"/>
          <w:sz w:val="24"/>
          <w:szCs w:val="24"/>
          <w:shd w:val="clear" w:color="auto" w:fill="FFFFFF"/>
        </w:rPr>
        <w:t xml:space="preserve"> </w:t>
      </w:r>
      <w:r w:rsidRPr="00EF34A5">
        <w:rPr>
          <w:rFonts w:ascii="Arial" w:hAnsi="Arial" w:cs="Arial"/>
          <w:i/>
          <w:iCs/>
          <w:sz w:val="24"/>
          <w:szCs w:val="24"/>
        </w:rPr>
        <w:t>Children's Geographies</w:t>
      </w:r>
      <w:r w:rsidRPr="00EF34A5">
        <w:rPr>
          <w:rFonts w:ascii="Arial" w:hAnsi="Arial" w:cs="Arial"/>
          <w:sz w:val="24"/>
          <w:szCs w:val="24"/>
          <w:shd w:val="clear" w:color="auto" w:fill="FFFFFF"/>
        </w:rPr>
        <w:t xml:space="preserve">, </w:t>
      </w:r>
      <w:r w:rsidRPr="00EF34A5">
        <w:rPr>
          <w:rFonts w:ascii="Arial" w:hAnsi="Arial" w:cs="Arial"/>
          <w:i/>
          <w:iCs/>
          <w:sz w:val="24"/>
          <w:szCs w:val="24"/>
        </w:rPr>
        <w:t>6</w:t>
      </w:r>
      <w:r w:rsidRPr="00EF34A5">
        <w:rPr>
          <w:rFonts w:ascii="Arial" w:hAnsi="Arial" w:cs="Arial"/>
          <w:sz w:val="24"/>
          <w:szCs w:val="24"/>
          <w:shd w:val="clear" w:color="auto" w:fill="FFFFFF"/>
        </w:rPr>
        <w:t>(1), pp.7-20.</w:t>
      </w:r>
    </w:p>
    <w:p w14:paraId="03E966E3" w14:textId="77777777" w:rsidR="008903F0" w:rsidRPr="00EF34A5" w:rsidRDefault="008903F0" w:rsidP="00A34BA2">
      <w:pPr>
        <w:spacing w:line="360" w:lineRule="auto"/>
        <w:rPr>
          <w:rFonts w:ascii="Arial" w:hAnsi="Arial" w:cs="Arial"/>
          <w:sz w:val="24"/>
          <w:szCs w:val="24"/>
          <w:bdr w:val="none" w:sz="0" w:space="0" w:color="auto" w:frame="1"/>
          <w:shd w:val="clear" w:color="auto" w:fill="FFFFFF"/>
        </w:rPr>
      </w:pPr>
      <w:r w:rsidRPr="00EF34A5">
        <w:rPr>
          <w:rFonts w:ascii="Arial" w:hAnsi="Arial" w:cs="Arial"/>
          <w:sz w:val="24"/>
          <w:szCs w:val="24"/>
          <w:shd w:val="clear" w:color="auto" w:fill="FFFFFF"/>
        </w:rPr>
        <w:lastRenderedPageBreak/>
        <w:t xml:space="preserve">Bingley, A. and Milligan, C., (2004). ‘Climbing Trees and Building Dens: Mental health and well-being in young adults and the long-term effects of childhood play experience’. </w:t>
      </w:r>
      <w:r w:rsidRPr="00EF34A5">
        <w:rPr>
          <w:rFonts w:ascii="Arial" w:hAnsi="Arial" w:cs="Arial"/>
          <w:i/>
          <w:sz w:val="24"/>
          <w:szCs w:val="24"/>
          <w:shd w:val="clear" w:color="auto" w:fill="FFFFFF"/>
        </w:rPr>
        <w:t>Institute for Health Research,</w:t>
      </w:r>
      <w:r w:rsidRPr="00EF34A5">
        <w:rPr>
          <w:rFonts w:ascii="Arial" w:hAnsi="Arial" w:cs="Arial"/>
          <w:sz w:val="24"/>
          <w:szCs w:val="24"/>
          <w:shd w:val="clear" w:color="auto" w:fill="FFFFFF"/>
        </w:rPr>
        <w:t xml:space="preserve"> Lancaster University.</w:t>
      </w:r>
    </w:p>
    <w:p w14:paraId="2C1CCF3C" w14:textId="77777777" w:rsidR="008903F0" w:rsidRPr="00EF34A5" w:rsidRDefault="008903F0" w:rsidP="0015631D">
      <w:pPr>
        <w:spacing w:line="360" w:lineRule="auto"/>
        <w:rPr>
          <w:rFonts w:ascii="Arial" w:hAnsi="Arial" w:cs="Arial"/>
          <w:sz w:val="24"/>
          <w:szCs w:val="24"/>
          <w:shd w:val="clear" w:color="auto" w:fill="FFFFFF"/>
        </w:rPr>
      </w:pPr>
      <w:r w:rsidRPr="00EF34A5">
        <w:rPr>
          <w:rFonts w:ascii="Arial" w:hAnsi="Arial" w:cs="Arial"/>
          <w:sz w:val="24"/>
          <w:szCs w:val="24"/>
          <w:bdr w:val="none" w:sz="0" w:space="0" w:color="auto" w:frame="1"/>
          <w:shd w:val="clear" w:color="auto" w:fill="FFFFFF"/>
        </w:rPr>
        <w:t xml:space="preserve">Cocks, A.J., </w:t>
      </w:r>
      <w:r>
        <w:rPr>
          <w:rFonts w:ascii="Arial" w:hAnsi="Arial" w:cs="Arial"/>
          <w:sz w:val="24"/>
          <w:szCs w:val="24"/>
          <w:bdr w:val="none" w:sz="0" w:space="0" w:color="auto" w:frame="1"/>
          <w:shd w:val="clear" w:color="auto" w:fill="FFFFFF"/>
        </w:rPr>
        <w:t>(</w:t>
      </w:r>
      <w:r w:rsidRPr="00EF34A5">
        <w:rPr>
          <w:rFonts w:ascii="Arial" w:hAnsi="Arial" w:cs="Arial"/>
          <w:sz w:val="24"/>
          <w:szCs w:val="24"/>
          <w:bdr w:val="none" w:sz="0" w:space="0" w:color="auto" w:frame="1"/>
          <w:shd w:val="clear" w:color="auto" w:fill="FFFFFF"/>
        </w:rPr>
        <w:t>2006</w:t>
      </w:r>
      <w:r>
        <w:rPr>
          <w:rFonts w:ascii="Arial" w:hAnsi="Arial" w:cs="Arial"/>
          <w:sz w:val="24"/>
          <w:szCs w:val="24"/>
          <w:bdr w:val="none" w:sz="0" w:space="0" w:color="auto" w:frame="1"/>
          <w:shd w:val="clear" w:color="auto" w:fill="FFFFFF"/>
        </w:rPr>
        <w:t>)</w:t>
      </w:r>
      <w:r w:rsidRPr="00EF34A5">
        <w:rPr>
          <w:rFonts w:ascii="Arial" w:hAnsi="Arial" w:cs="Arial"/>
          <w:sz w:val="24"/>
          <w:szCs w:val="24"/>
          <w:bdr w:val="none" w:sz="0" w:space="0" w:color="auto" w:frame="1"/>
          <w:shd w:val="clear" w:color="auto" w:fill="FFFFFF"/>
        </w:rPr>
        <w:t xml:space="preserve">. </w:t>
      </w:r>
      <w:r>
        <w:rPr>
          <w:rFonts w:ascii="Arial" w:hAnsi="Arial" w:cs="Arial"/>
          <w:sz w:val="24"/>
          <w:szCs w:val="24"/>
          <w:bdr w:val="none" w:sz="0" w:space="0" w:color="auto" w:frame="1"/>
          <w:shd w:val="clear" w:color="auto" w:fill="FFFFFF"/>
        </w:rPr>
        <w:t>‘</w:t>
      </w:r>
      <w:r w:rsidRPr="00EF34A5">
        <w:rPr>
          <w:rFonts w:ascii="Arial" w:hAnsi="Arial" w:cs="Arial"/>
          <w:sz w:val="24"/>
          <w:szCs w:val="24"/>
          <w:bdr w:val="none" w:sz="0" w:space="0" w:color="auto" w:frame="1"/>
          <w:shd w:val="clear" w:color="auto" w:fill="FFFFFF"/>
        </w:rPr>
        <w:t>The ethical maze: Finding an inclusive path towards gaining children’s agreement to research participation</w:t>
      </w:r>
      <w:r>
        <w:rPr>
          <w:rFonts w:ascii="Arial" w:hAnsi="Arial" w:cs="Arial"/>
          <w:sz w:val="24"/>
          <w:szCs w:val="24"/>
          <w:bdr w:val="none" w:sz="0" w:space="0" w:color="auto" w:frame="1"/>
          <w:shd w:val="clear" w:color="auto" w:fill="FFFFFF"/>
        </w:rPr>
        <w:t>’</w:t>
      </w:r>
      <w:r w:rsidRPr="00EF34A5">
        <w:rPr>
          <w:rFonts w:ascii="Arial" w:hAnsi="Arial" w:cs="Arial"/>
          <w:sz w:val="24"/>
          <w:szCs w:val="24"/>
          <w:bdr w:val="none" w:sz="0" w:space="0" w:color="auto" w:frame="1"/>
          <w:shd w:val="clear" w:color="auto" w:fill="FFFFFF"/>
        </w:rPr>
        <w:t>. </w:t>
      </w:r>
      <w:r w:rsidRPr="00EF34A5">
        <w:rPr>
          <w:rFonts w:ascii="Arial" w:hAnsi="Arial" w:cs="Arial"/>
          <w:i/>
          <w:iCs/>
          <w:sz w:val="24"/>
          <w:szCs w:val="24"/>
          <w:bdr w:val="none" w:sz="0" w:space="0" w:color="auto" w:frame="1"/>
          <w:shd w:val="clear" w:color="auto" w:fill="FFFFFF"/>
        </w:rPr>
        <w:t>Childhood</w:t>
      </w:r>
      <w:r w:rsidRPr="00EF34A5">
        <w:rPr>
          <w:rFonts w:ascii="Arial" w:hAnsi="Arial" w:cs="Arial"/>
          <w:sz w:val="24"/>
          <w:szCs w:val="24"/>
          <w:bdr w:val="none" w:sz="0" w:space="0" w:color="auto" w:frame="1"/>
          <w:shd w:val="clear" w:color="auto" w:fill="FFFFFF"/>
        </w:rPr>
        <w:t>, </w:t>
      </w:r>
      <w:r w:rsidRPr="00EF34A5">
        <w:rPr>
          <w:rFonts w:ascii="Arial" w:hAnsi="Arial" w:cs="Arial"/>
          <w:i/>
          <w:iCs/>
          <w:sz w:val="24"/>
          <w:szCs w:val="24"/>
          <w:bdr w:val="none" w:sz="0" w:space="0" w:color="auto" w:frame="1"/>
          <w:shd w:val="clear" w:color="auto" w:fill="FFFFFF"/>
        </w:rPr>
        <w:t>13</w:t>
      </w:r>
      <w:r w:rsidRPr="00EF34A5">
        <w:rPr>
          <w:rFonts w:ascii="Arial" w:hAnsi="Arial" w:cs="Arial"/>
          <w:sz w:val="24"/>
          <w:szCs w:val="24"/>
          <w:bdr w:val="none" w:sz="0" w:space="0" w:color="auto" w:frame="1"/>
          <w:shd w:val="clear" w:color="auto" w:fill="FFFFFF"/>
        </w:rPr>
        <w:t>(2), pp.247-266.  https://journals.sagepub.com</w:t>
      </w:r>
    </w:p>
    <w:p w14:paraId="6846F02F" w14:textId="77777777" w:rsidR="008903F0" w:rsidRPr="00EF34A5" w:rsidRDefault="008903F0" w:rsidP="00A34BA2">
      <w:pPr>
        <w:spacing w:line="360" w:lineRule="auto"/>
        <w:rPr>
          <w:rFonts w:ascii="Arial" w:hAnsi="Arial" w:cs="Arial"/>
          <w:sz w:val="24"/>
          <w:szCs w:val="24"/>
          <w:shd w:val="clear" w:color="auto" w:fill="FFFFFF"/>
        </w:rPr>
      </w:pPr>
      <w:proofErr w:type="spellStart"/>
      <w:r w:rsidRPr="00EF34A5">
        <w:rPr>
          <w:rFonts w:ascii="Arial" w:hAnsi="Arial" w:cs="Arial"/>
          <w:sz w:val="24"/>
          <w:szCs w:val="24"/>
          <w:shd w:val="clear" w:color="auto" w:fill="FFFFFF"/>
        </w:rPr>
        <w:t>Delgardo</w:t>
      </w:r>
      <w:proofErr w:type="spellEnd"/>
      <w:r w:rsidRPr="00EF34A5">
        <w:rPr>
          <w:rFonts w:ascii="Arial" w:hAnsi="Arial" w:cs="Arial"/>
          <w:sz w:val="24"/>
          <w:szCs w:val="24"/>
          <w:shd w:val="clear" w:color="auto" w:fill="FFFFFF"/>
        </w:rPr>
        <w:t xml:space="preserve">, R. (2015). </w:t>
      </w:r>
      <w:r w:rsidRPr="00EF34A5">
        <w:rPr>
          <w:rFonts w:ascii="Arial" w:hAnsi="Arial" w:cs="Arial"/>
          <w:i/>
          <w:iCs/>
          <w:sz w:val="24"/>
          <w:szCs w:val="24"/>
        </w:rPr>
        <w:t>Improving the Accuracy of Big Data Analysis.</w:t>
      </w:r>
      <w:r w:rsidRPr="00EF34A5">
        <w:rPr>
          <w:rFonts w:ascii="Arial" w:hAnsi="Arial" w:cs="Arial"/>
          <w:sz w:val="24"/>
          <w:szCs w:val="24"/>
          <w:shd w:val="clear" w:color="auto" w:fill="FFFFFF"/>
        </w:rPr>
        <w:t xml:space="preserve"> </w:t>
      </w:r>
      <w:r>
        <w:rPr>
          <w:rFonts w:ascii="Arial" w:hAnsi="Arial" w:cs="Arial"/>
          <w:sz w:val="24"/>
          <w:szCs w:val="24"/>
          <w:shd w:val="clear" w:color="auto" w:fill="FFFFFF"/>
        </w:rPr>
        <w:t xml:space="preserve">[online] </w:t>
      </w:r>
      <w:r w:rsidRPr="00EF34A5">
        <w:rPr>
          <w:rFonts w:ascii="Arial" w:hAnsi="Arial" w:cs="Arial"/>
          <w:sz w:val="24"/>
          <w:szCs w:val="24"/>
          <w:shd w:val="clear" w:color="auto" w:fill="FFFFFF"/>
        </w:rPr>
        <w:t>Available</w:t>
      </w:r>
      <w:r>
        <w:rPr>
          <w:rFonts w:ascii="Arial" w:hAnsi="Arial" w:cs="Arial"/>
          <w:sz w:val="24"/>
          <w:szCs w:val="24"/>
          <w:shd w:val="clear" w:color="auto" w:fill="FFFFFF"/>
        </w:rPr>
        <w:t xml:space="preserve"> at</w:t>
      </w:r>
      <w:r w:rsidRPr="00EF34A5">
        <w:rPr>
          <w:rFonts w:ascii="Arial" w:hAnsi="Arial" w:cs="Arial"/>
          <w:sz w:val="24"/>
          <w:szCs w:val="24"/>
          <w:shd w:val="clear" w:color="auto" w:fill="FFFFFF"/>
        </w:rPr>
        <w:t>: https://dataconomy.com/2015/10/improving-the-accuracy-of-big-data-analysis-2/. [Last accessed 17th October 2019].</w:t>
      </w:r>
    </w:p>
    <w:p w14:paraId="04792E8B" w14:textId="77777777" w:rsidR="008903F0" w:rsidRPr="00EF34A5" w:rsidRDefault="008903F0" w:rsidP="00A34BA2">
      <w:pPr>
        <w:spacing w:line="360" w:lineRule="auto"/>
        <w:rPr>
          <w:rFonts w:ascii="Arial" w:hAnsi="Arial" w:cs="Arial"/>
          <w:sz w:val="24"/>
          <w:szCs w:val="24"/>
          <w:shd w:val="clear" w:color="auto" w:fill="FFFFFF"/>
        </w:rPr>
      </w:pPr>
      <w:proofErr w:type="spellStart"/>
      <w:r w:rsidRPr="00EF34A5">
        <w:rPr>
          <w:rFonts w:ascii="Arial" w:hAnsi="Arial" w:cs="Arial"/>
          <w:sz w:val="24"/>
          <w:szCs w:val="24"/>
          <w:shd w:val="clear" w:color="auto" w:fill="FFFFFF"/>
        </w:rPr>
        <w:t>Fargas-Malet</w:t>
      </w:r>
      <w:proofErr w:type="spellEnd"/>
      <w:r w:rsidRPr="00EF34A5">
        <w:rPr>
          <w:rFonts w:ascii="Arial" w:hAnsi="Arial" w:cs="Arial"/>
          <w:sz w:val="24"/>
          <w:szCs w:val="24"/>
          <w:shd w:val="clear" w:color="auto" w:fill="FFFFFF"/>
        </w:rPr>
        <w:t xml:space="preserve">, M., McSherry, D., Larkin, E. and Robinson, C., (2010). </w:t>
      </w:r>
      <w:r>
        <w:rPr>
          <w:rFonts w:ascii="Arial" w:hAnsi="Arial" w:cs="Arial"/>
          <w:sz w:val="24"/>
          <w:szCs w:val="24"/>
          <w:shd w:val="clear" w:color="auto" w:fill="FFFFFF"/>
        </w:rPr>
        <w:t>‘</w:t>
      </w:r>
      <w:r w:rsidRPr="00EF34A5">
        <w:rPr>
          <w:rFonts w:ascii="Arial" w:hAnsi="Arial" w:cs="Arial"/>
          <w:sz w:val="24"/>
          <w:szCs w:val="24"/>
          <w:shd w:val="clear" w:color="auto" w:fill="FFFFFF"/>
        </w:rPr>
        <w:t xml:space="preserve">Research with children: Methodological issues and innovative </w:t>
      </w:r>
      <w:proofErr w:type="gramStart"/>
      <w:r w:rsidRPr="00EF34A5">
        <w:rPr>
          <w:rFonts w:ascii="Arial" w:hAnsi="Arial" w:cs="Arial"/>
          <w:sz w:val="24"/>
          <w:szCs w:val="24"/>
          <w:shd w:val="clear" w:color="auto" w:fill="FFFFFF"/>
        </w:rPr>
        <w:t>techniques</w:t>
      </w:r>
      <w:r>
        <w:rPr>
          <w:rFonts w:ascii="Arial" w:hAnsi="Arial" w:cs="Arial"/>
          <w:sz w:val="24"/>
          <w:szCs w:val="24"/>
          <w:shd w:val="clear" w:color="auto" w:fill="FFFFFF"/>
        </w:rPr>
        <w:t>’</w:t>
      </w:r>
      <w:proofErr w:type="gramEnd"/>
      <w:r w:rsidRPr="00EF34A5">
        <w:rPr>
          <w:rFonts w:ascii="Arial" w:hAnsi="Arial" w:cs="Arial"/>
          <w:sz w:val="24"/>
          <w:szCs w:val="24"/>
          <w:shd w:val="clear" w:color="auto" w:fill="FFFFFF"/>
        </w:rPr>
        <w:t xml:space="preserve">. </w:t>
      </w:r>
      <w:r w:rsidRPr="00EF34A5">
        <w:rPr>
          <w:rFonts w:ascii="Arial" w:hAnsi="Arial" w:cs="Arial"/>
          <w:i/>
          <w:iCs/>
          <w:sz w:val="24"/>
          <w:szCs w:val="24"/>
        </w:rPr>
        <w:t>Journal of early childhood research</w:t>
      </w:r>
      <w:r w:rsidRPr="00EF34A5">
        <w:rPr>
          <w:rFonts w:ascii="Arial" w:hAnsi="Arial" w:cs="Arial"/>
          <w:sz w:val="24"/>
          <w:szCs w:val="24"/>
          <w:shd w:val="clear" w:color="auto" w:fill="FFFFFF"/>
        </w:rPr>
        <w:t xml:space="preserve">, </w:t>
      </w:r>
      <w:r w:rsidRPr="00EF34A5">
        <w:rPr>
          <w:rFonts w:ascii="Arial" w:hAnsi="Arial" w:cs="Arial"/>
          <w:i/>
          <w:iCs/>
          <w:sz w:val="24"/>
          <w:szCs w:val="24"/>
        </w:rPr>
        <w:t>8</w:t>
      </w:r>
      <w:r w:rsidRPr="00EF34A5">
        <w:rPr>
          <w:rFonts w:ascii="Arial" w:hAnsi="Arial" w:cs="Arial"/>
          <w:sz w:val="24"/>
          <w:szCs w:val="24"/>
          <w:shd w:val="clear" w:color="auto" w:fill="FFFFFF"/>
        </w:rPr>
        <w:t>(2), pp.175-192.</w:t>
      </w:r>
    </w:p>
    <w:p w14:paraId="37FB3A73"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 xml:space="preserve">Kellert, S.R., (2002). ‘Experiencing nature: Affective, cognitive, and evaluative development in children’. </w:t>
      </w:r>
      <w:r w:rsidRPr="00EF34A5">
        <w:rPr>
          <w:rFonts w:ascii="Arial" w:hAnsi="Arial" w:cs="Arial"/>
          <w:i/>
          <w:sz w:val="24"/>
          <w:szCs w:val="24"/>
          <w:shd w:val="clear" w:color="auto" w:fill="FFFFFF"/>
        </w:rPr>
        <w:t>Children and nature: Psychological, sociocultural, and evolutionary investigations</w:t>
      </w:r>
      <w:r w:rsidRPr="00EF34A5">
        <w:rPr>
          <w:rFonts w:ascii="Arial" w:hAnsi="Arial" w:cs="Arial"/>
          <w:sz w:val="24"/>
          <w:szCs w:val="24"/>
          <w:shd w:val="clear" w:color="auto" w:fill="FFFFFF"/>
        </w:rPr>
        <w:t>, 117151.</w:t>
      </w:r>
    </w:p>
    <w:p w14:paraId="3BFE3135" w14:textId="77777777" w:rsidR="008903F0" w:rsidRPr="00EF34A5" w:rsidRDefault="008903F0" w:rsidP="00A34BA2">
      <w:pPr>
        <w:spacing w:line="360" w:lineRule="auto"/>
        <w:rPr>
          <w:rFonts w:ascii="Arial" w:hAnsi="Arial" w:cs="Arial"/>
          <w:sz w:val="24"/>
          <w:szCs w:val="24"/>
          <w:shd w:val="clear" w:color="auto" w:fill="FFFFFF"/>
        </w:rPr>
      </w:pPr>
      <w:proofErr w:type="spellStart"/>
      <w:r w:rsidRPr="00EF34A5">
        <w:rPr>
          <w:rFonts w:ascii="Arial" w:hAnsi="Arial" w:cs="Arial"/>
          <w:sz w:val="24"/>
          <w:szCs w:val="24"/>
          <w:shd w:val="clear" w:color="auto" w:fill="FFFFFF"/>
        </w:rPr>
        <w:t>Liefländer</w:t>
      </w:r>
      <w:proofErr w:type="spellEnd"/>
      <w:r w:rsidRPr="00EF34A5">
        <w:rPr>
          <w:rFonts w:ascii="Arial" w:hAnsi="Arial" w:cs="Arial"/>
          <w:sz w:val="24"/>
          <w:szCs w:val="24"/>
          <w:shd w:val="clear" w:color="auto" w:fill="FFFFFF"/>
        </w:rPr>
        <w:t xml:space="preserve">, A.K., Fröhlich, G., Bogner, F.X. and Schultz, P.W., (2013). ‘Promoting connectedness with nature through environmental education’. </w:t>
      </w:r>
      <w:r w:rsidRPr="00EF34A5">
        <w:rPr>
          <w:rFonts w:ascii="Arial" w:hAnsi="Arial" w:cs="Arial"/>
          <w:i/>
          <w:sz w:val="24"/>
          <w:szCs w:val="24"/>
          <w:shd w:val="clear" w:color="auto" w:fill="FFFFFF"/>
        </w:rPr>
        <w:t>Environmental Education Research, 19</w:t>
      </w:r>
      <w:r w:rsidRPr="00EF34A5">
        <w:rPr>
          <w:rFonts w:ascii="Arial" w:hAnsi="Arial" w:cs="Arial"/>
          <w:sz w:val="24"/>
          <w:szCs w:val="24"/>
          <w:shd w:val="clear" w:color="auto" w:fill="FFFFFF"/>
        </w:rPr>
        <w:t>(3), pp.370-384.</w:t>
      </w:r>
    </w:p>
    <w:p w14:paraId="21B29985"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 xml:space="preserve">McCormick, R., (2017). ‘Does access to green space impact the mental well-being of children: A systematic review’. </w:t>
      </w:r>
      <w:r w:rsidRPr="00EF34A5">
        <w:rPr>
          <w:rFonts w:ascii="Arial" w:hAnsi="Arial" w:cs="Arial"/>
          <w:i/>
          <w:iCs/>
          <w:sz w:val="24"/>
          <w:szCs w:val="24"/>
        </w:rPr>
        <w:t xml:space="preserve">Journal of </w:t>
      </w:r>
      <w:proofErr w:type="spellStart"/>
      <w:r w:rsidRPr="00EF34A5">
        <w:rPr>
          <w:rFonts w:ascii="Arial" w:hAnsi="Arial" w:cs="Arial"/>
          <w:i/>
          <w:iCs/>
          <w:sz w:val="24"/>
          <w:szCs w:val="24"/>
        </w:rPr>
        <w:t>Pediatric</w:t>
      </w:r>
      <w:proofErr w:type="spellEnd"/>
      <w:r w:rsidRPr="00EF34A5">
        <w:rPr>
          <w:rFonts w:ascii="Arial" w:hAnsi="Arial" w:cs="Arial"/>
          <w:i/>
          <w:iCs/>
          <w:sz w:val="24"/>
          <w:szCs w:val="24"/>
        </w:rPr>
        <w:t xml:space="preserve"> Nursing</w:t>
      </w:r>
      <w:r w:rsidRPr="00EF34A5">
        <w:rPr>
          <w:rFonts w:ascii="Arial" w:hAnsi="Arial" w:cs="Arial"/>
          <w:sz w:val="24"/>
          <w:szCs w:val="24"/>
          <w:shd w:val="clear" w:color="auto" w:fill="FFFFFF"/>
        </w:rPr>
        <w:t xml:space="preserve">, </w:t>
      </w:r>
      <w:r w:rsidRPr="00EF34A5">
        <w:rPr>
          <w:rFonts w:ascii="Arial" w:hAnsi="Arial" w:cs="Arial"/>
          <w:i/>
          <w:iCs/>
          <w:sz w:val="24"/>
          <w:szCs w:val="24"/>
        </w:rPr>
        <w:t>37</w:t>
      </w:r>
      <w:r w:rsidRPr="00EF34A5">
        <w:rPr>
          <w:rFonts w:ascii="Arial" w:hAnsi="Arial" w:cs="Arial"/>
          <w:sz w:val="24"/>
          <w:szCs w:val="24"/>
          <w:shd w:val="clear" w:color="auto" w:fill="FFFFFF"/>
        </w:rPr>
        <w:t>, pp.3-7.</w:t>
      </w:r>
    </w:p>
    <w:p w14:paraId="5BB83FEF"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 xml:space="preserve">NSPCC. (2019). </w:t>
      </w:r>
      <w:r w:rsidRPr="00EF34A5">
        <w:rPr>
          <w:rFonts w:ascii="Arial" w:hAnsi="Arial" w:cs="Arial"/>
          <w:i/>
          <w:iCs/>
          <w:sz w:val="24"/>
          <w:szCs w:val="24"/>
        </w:rPr>
        <w:t>Research with children: ethics, safety and avoiding harm.</w:t>
      </w:r>
      <w:r w:rsidRPr="00EF34A5">
        <w:rPr>
          <w:rFonts w:ascii="Arial" w:hAnsi="Arial" w:cs="Arial"/>
          <w:sz w:val="24"/>
          <w:szCs w:val="24"/>
          <w:shd w:val="clear" w:color="auto" w:fill="FFFFFF"/>
        </w:rPr>
        <w:t xml:space="preserve"> </w:t>
      </w:r>
      <w:r>
        <w:rPr>
          <w:rFonts w:ascii="Arial" w:hAnsi="Arial" w:cs="Arial"/>
          <w:sz w:val="24"/>
          <w:szCs w:val="24"/>
          <w:shd w:val="clear" w:color="auto" w:fill="FFFFFF"/>
        </w:rPr>
        <w:t xml:space="preserve">[online] </w:t>
      </w:r>
      <w:r w:rsidRPr="00EF34A5">
        <w:rPr>
          <w:rFonts w:ascii="Arial" w:hAnsi="Arial" w:cs="Arial"/>
          <w:sz w:val="24"/>
          <w:szCs w:val="24"/>
          <w:shd w:val="clear" w:color="auto" w:fill="FFFFFF"/>
        </w:rPr>
        <w:t>Available</w:t>
      </w:r>
      <w:r>
        <w:rPr>
          <w:rFonts w:ascii="Arial" w:hAnsi="Arial" w:cs="Arial"/>
          <w:sz w:val="24"/>
          <w:szCs w:val="24"/>
          <w:shd w:val="clear" w:color="auto" w:fill="FFFFFF"/>
        </w:rPr>
        <w:t xml:space="preserve"> at</w:t>
      </w:r>
      <w:r w:rsidRPr="00EF34A5">
        <w:rPr>
          <w:rFonts w:ascii="Arial" w:hAnsi="Arial" w:cs="Arial"/>
          <w:sz w:val="24"/>
          <w:szCs w:val="24"/>
          <w:shd w:val="clear" w:color="auto" w:fill="FFFFFF"/>
        </w:rPr>
        <w:t>: https://learning.nspcc.org.uk/research-resources/briefings/research-with-children-ethics-safety-avoiding-harm/. [Last accessed 17th October 2019].</w:t>
      </w:r>
    </w:p>
    <w:p w14:paraId="46798BA4" w14:textId="77777777" w:rsidR="008903F0" w:rsidRPr="00EF34A5" w:rsidRDefault="008903F0" w:rsidP="00A34BA2">
      <w:pPr>
        <w:pStyle w:val="NormalWeb"/>
        <w:rPr>
          <w:rFonts w:ascii="Arial" w:hAnsi="Arial" w:cs="Arial"/>
        </w:rPr>
      </w:pPr>
      <w:r w:rsidRPr="00EF34A5">
        <w:rPr>
          <w:rFonts w:ascii="Arial" w:hAnsi="Arial" w:cs="Arial"/>
        </w:rPr>
        <w:t>Salkind, N.J</w:t>
      </w:r>
      <w:r>
        <w:rPr>
          <w:rFonts w:ascii="Arial" w:hAnsi="Arial" w:cs="Arial"/>
        </w:rPr>
        <w:t>.,</w:t>
      </w:r>
      <w:r w:rsidRPr="00EF34A5">
        <w:rPr>
          <w:rFonts w:ascii="Arial" w:hAnsi="Arial" w:cs="Arial"/>
        </w:rPr>
        <w:t xml:space="preserve"> </w:t>
      </w:r>
      <w:r>
        <w:rPr>
          <w:rFonts w:ascii="Arial" w:hAnsi="Arial" w:cs="Arial"/>
        </w:rPr>
        <w:t>(</w:t>
      </w:r>
      <w:r w:rsidRPr="00EF34A5">
        <w:rPr>
          <w:rFonts w:ascii="Arial" w:hAnsi="Arial" w:cs="Arial"/>
        </w:rPr>
        <w:t>2010</w:t>
      </w:r>
      <w:r>
        <w:rPr>
          <w:rFonts w:ascii="Arial" w:hAnsi="Arial" w:cs="Arial"/>
        </w:rPr>
        <w:t>)</w:t>
      </w:r>
      <w:r w:rsidRPr="00EF34A5">
        <w:rPr>
          <w:rFonts w:ascii="Arial" w:hAnsi="Arial" w:cs="Arial"/>
        </w:rPr>
        <w:t xml:space="preserve">, </w:t>
      </w:r>
      <w:proofErr w:type="spellStart"/>
      <w:r w:rsidRPr="00EF34A5">
        <w:rPr>
          <w:rFonts w:ascii="Arial" w:hAnsi="Arial" w:cs="Arial"/>
          <w:i/>
        </w:rPr>
        <w:t>Encyclopedia</w:t>
      </w:r>
      <w:proofErr w:type="spellEnd"/>
      <w:r w:rsidRPr="00EF34A5">
        <w:rPr>
          <w:rFonts w:ascii="Arial" w:hAnsi="Arial" w:cs="Arial"/>
          <w:i/>
        </w:rPr>
        <w:t xml:space="preserve"> of research desig</w:t>
      </w:r>
      <w:r>
        <w:rPr>
          <w:rFonts w:ascii="Arial" w:hAnsi="Arial" w:cs="Arial"/>
          <w:i/>
        </w:rPr>
        <w:t>n</w:t>
      </w:r>
      <w:r>
        <w:rPr>
          <w:rFonts w:ascii="Arial" w:hAnsi="Arial" w:cs="Arial"/>
        </w:rPr>
        <w:t>.</w:t>
      </w:r>
      <w:r w:rsidRPr="00EF34A5">
        <w:rPr>
          <w:rFonts w:ascii="Arial" w:hAnsi="Arial" w:cs="Arial"/>
        </w:rPr>
        <w:t xml:space="preserve"> SAGE Publications, Inc., Thousand Oaks, CA</w:t>
      </w:r>
      <w:r>
        <w:rPr>
          <w:rFonts w:ascii="Arial" w:hAnsi="Arial" w:cs="Arial"/>
        </w:rPr>
        <w:t>.</w:t>
      </w:r>
    </w:p>
    <w:p w14:paraId="3FEEE7EC" w14:textId="77777777" w:rsidR="008903F0" w:rsidRPr="00EF34A5" w:rsidRDefault="008903F0" w:rsidP="00A34BA2">
      <w:pPr>
        <w:spacing w:line="360" w:lineRule="auto"/>
        <w:rPr>
          <w:rFonts w:ascii="Arial" w:hAnsi="Arial" w:cs="Arial"/>
          <w:sz w:val="24"/>
          <w:szCs w:val="24"/>
        </w:rPr>
      </w:pPr>
      <w:r w:rsidRPr="00EF34A5">
        <w:rPr>
          <w:rFonts w:ascii="Arial" w:hAnsi="Arial" w:cs="Arial"/>
          <w:sz w:val="24"/>
          <w:szCs w:val="24"/>
          <w:shd w:val="clear" w:color="auto" w:fill="FFFFFF"/>
        </w:rPr>
        <w:t xml:space="preserve">Surbhi S. (2018). </w:t>
      </w:r>
      <w:r w:rsidRPr="00EF34A5">
        <w:rPr>
          <w:rFonts w:ascii="Arial" w:hAnsi="Arial" w:cs="Arial"/>
          <w:i/>
          <w:iCs/>
          <w:sz w:val="24"/>
          <w:szCs w:val="24"/>
        </w:rPr>
        <w:t>Difference Between Qualitative and Quantitative Research.</w:t>
      </w:r>
      <w:r w:rsidRPr="00EF34A5">
        <w:rPr>
          <w:rFonts w:ascii="Arial" w:hAnsi="Arial" w:cs="Arial"/>
          <w:sz w:val="24"/>
          <w:szCs w:val="24"/>
          <w:shd w:val="clear" w:color="auto" w:fill="FFFFFF"/>
        </w:rPr>
        <w:t xml:space="preserve"> </w:t>
      </w:r>
      <w:r>
        <w:rPr>
          <w:rFonts w:ascii="Arial" w:hAnsi="Arial" w:cs="Arial"/>
          <w:sz w:val="24"/>
          <w:szCs w:val="24"/>
          <w:shd w:val="clear" w:color="auto" w:fill="FFFFFF"/>
        </w:rPr>
        <w:t xml:space="preserve">[online] </w:t>
      </w:r>
      <w:r w:rsidRPr="00EF34A5">
        <w:rPr>
          <w:rFonts w:ascii="Arial" w:hAnsi="Arial" w:cs="Arial"/>
          <w:sz w:val="24"/>
          <w:szCs w:val="24"/>
          <w:shd w:val="clear" w:color="auto" w:fill="FFFFFF"/>
        </w:rPr>
        <w:t>Available</w:t>
      </w:r>
      <w:r>
        <w:rPr>
          <w:rFonts w:ascii="Arial" w:hAnsi="Arial" w:cs="Arial"/>
          <w:sz w:val="24"/>
          <w:szCs w:val="24"/>
          <w:shd w:val="clear" w:color="auto" w:fill="FFFFFF"/>
        </w:rPr>
        <w:t xml:space="preserve"> at</w:t>
      </w:r>
      <w:r w:rsidRPr="00EF34A5">
        <w:rPr>
          <w:rFonts w:ascii="Arial" w:hAnsi="Arial" w:cs="Arial"/>
          <w:sz w:val="24"/>
          <w:szCs w:val="24"/>
          <w:shd w:val="clear" w:color="auto" w:fill="FFFFFF"/>
        </w:rPr>
        <w:t>: https://keydifferences.com/difference-between-qualitative-and-quantitative-research.html. [Last accessed 20th October 2019].</w:t>
      </w:r>
    </w:p>
    <w:p w14:paraId="4B441E4D"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lastRenderedPageBreak/>
        <w:t xml:space="preserve">Thompson, C.W., Aspinall, P. and </w:t>
      </w:r>
      <w:proofErr w:type="spellStart"/>
      <w:r w:rsidRPr="00EF34A5">
        <w:rPr>
          <w:rFonts w:ascii="Arial" w:hAnsi="Arial" w:cs="Arial"/>
          <w:sz w:val="24"/>
          <w:szCs w:val="24"/>
          <w:shd w:val="clear" w:color="auto" w:fill="FFFFFF"/>
        </w:rPr>
        <w:t>Montarzino</w:t>
      </w:r>
      <w:proofErr w:type="spellEnd"/>
      <w:r w:rsidRPr="00EF34A5">
        <w:rPr>
          <w:rFonts w:ascii="Arial" w:hAnsi="Arial" w:cs="Arial"/>
          <w:sz w:val="24"/>
          <w:szCs w:val="24"/>
          <w:shd w:val="clear" w:color="auto" w:fill="FFFFFF"/>
        </w:rPr>
        <w:t xml:space="preserve">, A., (2008). ‘The childhood factor: Adult visits to green places and the significance of childhood experience’. </w:t>
      </w:r>
      <w:r w:rsidRPr="00EF34A5">
        <w:rPr>
          <w:rFonts w:ascii="Arial" w:hAnsi="Arial" w:cs="Arial"/>
          <w:i/>
          <w:sz w:val="24"/>
          <w:szCs w:val="24"/>
          <w:shd w:val="clear" w:color="auto" w:fill="FFFFFF"/>
        </w:rPr>
        <w:t xml:space="preserve">Environment and </w:t>
      </w:r>
      <w:proofErr w:type="spellStart"/>
      <w:r w:rsidRPr="00EF34A5">
        <w:rPr>
          <w:rFonts w:ascii="Arial" w:hAnsi="Arial" w:cs="Arial"/>
          <w:i/>
          <w:sz w:val="24"/>
          <w:szCs w:val="24"/>
          <w:shd w:val="clear" w:color="auto" w:fill="FFFFFF"/>
        </w:rPr>
        <w:t>Behavior</w:t>
      </w:r>
      <w:proofErr w:type="spellEnd"/>
      <w:r w:rsidRPr="00EF34A5">
        <w:rPr>
          <w:rFonts w:ascii="Arial" w:hAnsi="Arial" w:cs="Arial"/>
          <w:sz w:val="24"/>
          <w:szCs w:val="24"/>
          <w:shd w:val="clear" w:color="auto" w:fill="FFFFFF"/>
        </w:rPr>
        <w:t>, 40(1), pp.111-143.</w:t>
      </w:r>
    </w:p>
    <w:p w14:paraId="0F4B5A73" w14:textId="77777777" w:rsidR="008903F0" w:rsidRPr="00EF34A5" w:rsidRDefault="008903F0" w:rsidP="00A34BA2">
      <w:pPr>
        <w:spacing w:line="360" w:lineRule="auto"/>
        <w:rPr>
          <w:rFonts w:ascii="Arial" w:hAnsi="Arial" w:cs="Arial"/>
          <w:sz w:val="24"/>
          <w:szCs w:val="24"/>
          <w:shd w:val="clear" w:color="auto" w:fill="FFFFFF"/>
        </w:rPr>
      </w:pPr>
      <w:r w:rsidRPr="00EF34A5">
        <w:rPr>
          <w:rFonts w:ascii="Arial" w:hAnsi="Arial" w:cs="Arial"/>
          <w:sz w:val="24"/>
          <w:szCs w:val="24"/>
          <w:shd w:val="clear" w:color="auto" w:fill="FFFFFF"/>
        </w:rPr>
        <w:t xml:space="preserve">Thompson, G. and Thomas, G., (2005). ‘A Child's Place: why environment matters to children.’ </w:t>
      </w:r>
      <w:proofErr w:type="spellStart"/>
      <w:r w:rsidRPr="00EF34A5">
        <w:rPr>
          <w:rFonts w:ascii="Arial" w:hAnsi="Arial" w:cs="Arial"/>
          <w:i/>
          <w:iCs/>
          <w:sz w:val="24"/>
          <w:szCs w:val="24"/>
        </w:rPr>
        <w:t>Ecos</w:t>
      </w:r>
      <w:proofErr w:type="spellEnd"/>
      <w:r w:rsidRPr="00EF34A5">
        <w:rPr>
          <w:rFonts w:ascii="Arial" w:hAnsi="Arial" w:cs="Arial"/>
          <w:sz w:val="24"/>
          <w:szCs w:val="24"/>
          <w:shd w:val="clear" w:color="auto" w:fill="FFFFFF"/>
        </w:rPr>
        <w:t xml:space="preserve">, </w:t>
      </w:r>
      <w:r w:rsidRPr="00EF34A5">
        <w:rPr>
          <w:rFonts w:ascii="Arial" w:hAnsi="Arial" w:cs="Arial"/>
          <w:i/>
          <w:iCs/>
          <w:sz w:val="24"/>
          <w:szCs w:val="24"/>
        </w:rPr>
        <w:t>26</w:t>
      </w:r>
      <w:r w:rsidRPr="00EF34A5">
        <w:rPr>
          <w:rFonts w:ascii="Arial" w:hAnsi="Arial" w:cs="Arial"/>
          <w:sz w:val="24"/>
          <w:szCs w:val="24"/>
          <w:shd w:val="clear" w:color="auto" w:fill="FFFFFF"/>
        </w:rPr>
        <w:t>(1), pp.9-12.</w:t>
      </w:r>
    </w:p>
    <w:p w14:paraId="58D9A586" w14:textId="77777777" w:rsidR="008903F0" w:rsidRPr="00EF34A5" w:rsidRDefault="008903F0" w:rsidP="00A34BA2">
      <w:pPr>
        <w:spacing w:line="360" w:lineRule="auto"/>
        <w:rPr>
          <w:rFonts w:ascii="Arial" w:hAnsi="Arial" w:cs="Arial"/>
          <w:sz w:val="24"/>
          <w:szCs w:val="24"/>
        </w:rPr>
      </w:pPr>
      <w:r w:rsidRPr="00EF34A5">
        <w:rPr>
          <w:rFonts w:ascii="Arial" w:hAnsi="Arial" w:cs="Arial"/>
          <w:sz w:val="24"/>
          <w:szCs w:val="24"/>
        </w:rPr>
        <w:t xml:space="preserve">United Nations. (1989). </w:t>
      </w:r>
      <w:r w:rsidRPr="00EF34A5">
        <w:rPr>
          <w:rFonts w:ascii="Arial" w:hAnsi="Arial" w:cs="Arial"/>
          <w:i/>
          <w:sz w:val="24"/>
          <w:szCs w:val="24"/>
        </w:rPr>
        <w:t>Convention on the Rights of the Child</w:t>
      </w:r>
      <w:r w:rsidRPr="00EF34A5">
        <w:rPr>
          <w:rFonts w:ascii="Arial" w:hAnsi="Arial" w:cs="Arial"/>
          <w:sz w:val="24"/>
          <w:szCs w:val="24"/>
        </w:rPr>
        <w:t>. New York: United Nations</w:t>
      </w:r>
    </w:p>
    <w:p w14:paraId="30AFE4EA" w14:textId="77777777" w:rsidR="008903F0" w:rsidRPr="00EF34A5" w:rsidRDefault="008903F0" w:rsidP="00A34BA2">
      <w:pPr>
        <w:spacing w:line="360" w:lineRule="auto"/>
        <w:rPr>
          <w:rFonts w:ascii="Arial" w:hAnsi="Arial" w:cs="Arial"/>
          <w:sz w:val="24"/>
          <w:szCs w:val="24"/>
        </w:rPr>
      </w:pPr>
      <w:r w:rsidRPr="00EF34A5">
        <w:rPr>
          <w:rFonts w:ascii="Arial" w:hAnsi="Arial" w:cs="Arial"/>
          <w:sz w:val="24"/>
          <w:szCs w:val="24"/>
          <w:shd w:val="clear" w:color="auto" w:fill="FFFFFF"/>
        </w:rPr>
        <w:t xml:space="preserve">Welsh Government, </w:t>
      </w:r>
      <w:r>
        <w:rPr>
          <w:rFonts w:ascii="Arial" w:hAnsi="Arial" w:cs="Arial"/>
          <w:sz w:val="24"/>
          <w:szCs w:val="24"/>
          <w:shd w:val="clear" w:color="auto" w:fill="FFFFFF"/>
        </w:rPr>
        <w:t>(</w:t>
      </w:r>
      <w:r w:rsidRPr="00EF34A5">
        <w:rPr>
          <w:rFonts w:ascii="Arial" w:hAnsi="Arial" w:cs="Arial"/>
          <w:sz w:val="24"/>
          <w:szCs w:val="24"/>
          <w:shd w:val="clear" w:color="auto" w:fill="FFFFFF"/>
        </w:rPr>
        <w:t>2015</w:t>
      </w:r>
      <w:r>
        <w:rPr>
          <w:rFonts w:ascii="Arial" w:hAnsi="Arial" w:cs="Arial"/>
          <w:sz w:val="24"/>
          <w:szCs w:val="24"/>
          <w:shd w:val="clear" w:color="auto" w:fill="FFFFFF"/>
        </w:rPr>
        <w:t>)</w:t>
      </w:r>
      <w:r w:rsidRPr="00EF34A5">
        <w:rPr>
          <w:rFonts w:ascii="Arial" w:hAnsi="Arial" w:cs="Arial"/>
          <w:sz w:val="24"/>
          <w:szCs w:val="24"/>
          <w:shd w:val="clear" w:color="auto" w:fill="FFFFFF"/>
        </w:rPr>
        <w:t xml:space="preserve">. </w:t>
      </w:r>
      <w:r w:rsidRPr="00EF34A5">
        <w:rPr>
          <w:rFonts w:ascii="Arial" w:hAnsi="Arial" w:cs="Arial"/>
          <w:i/>
          <w:sz w:val="24"/>
          <w:szCs w:val="24"/>
          <w:shd w:val="clear" w:color="auto" w:fill="FFFFFF"/>
        </w:rPr>
        <w:t>Well-being of future generations (Wales) act 2015</w:t>
      </w:r>
      <w:r w:rsidRPr="00EF34A5">
        <w:rPr>
          <w:rFonts w:ascii="Arial" w:hAnsi="Arial" w:cs="Arial"/>
          <w:sz w:val="24"/>
          <w:szCs w:val="24"/>
          <w:shd w:val="clear" w:color="auto" w:fill="FFFFFF"/>
        </w:rPr>
        <w:t>.</w:t>
      </w:r>
    </w:p>
    <w:sectPr w:rsidR="008903F0" w:rsidRPr="00EF34A5" w:rsidSect="003347A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35343" w14:textId="77777777" w:rsidR="0054318A" w:rsidRDefault="0054318A" w:rsidP="00EE3AB9">
      <w:pPr>
        <w:spacing w:after="0" w:line="240" w:lineRule="auto"/>
      </w:pPr>
      <w:r>
        <w:separator/>
      </w:r>
    </w:p>
  </w:endnote>
  <w:endnote w:type="continuationSeparator" w:id="0">
    <w:p w14:paraId="0946C928" w14:textId="77777777" w:rsidR="0054318A" w:rsidRDefault="0054318A" w:rsidP="00EE3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8957281"/>
      <w:docPartObj>
        <w:docPartGallery w:val="Page Numbers (Bottom of Page)"/>
        <w:docPartUnique/>
      </w:docPartObj>
    </w:sdtPr>
    <w:sdtEndPr>
      <w:rPr>
        <w:noProof/>
      </w:rPr>
    </w:sdtEndPr>
    <w:sdtContent>
      <w:p w14:paraId="2F109C5E" w14:textId="77777777" w:rsidR="00DD3477" w:rsidRDefault="00E83B7F">
        <w:pPr>
          <w:pStyle w:val="Footer"/>
          <w:jc w:val="center"/>
        </w:pPr>
        <w:r>
          <w:fldChar w:fldCharType="begin"/>
        </w:r>
        <w:r w:rsidR="00BC239C">
          <w:instrText xml:space="preserve"> PAGE   \* MERGEFORMAT </w:instrText>
        </w:r>
        <w:r>
          <w:fldChar w:fldCharType="separate"/>
        </w:r>
        <w:r w:rsidR="003C62F6">
          <w:rPr>
            <w:noProof/>
          </w:rPr>
          <w:t>6</w:t>
        </w:r>
        <w:r>
          <w:rPr>
            <w:noProof/>
          </w:rPr>
          <w:fldChar w:fldCharType="end"/>
        </w:r>
      </w:p>
    </w:sdtContent>
  </w:sdt>
  <w:p w14:paraId="2B4B8762" w14:textId="77777777" w:rsidR="00DD3477" w:rsidRDefault="00DD3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FC59A2" w14:textId="77777777" w:rsidR="0054318A" w:rsidRDefault="0054318A" w:rsidP="00EE3AB9">
      <w:pPr>
        <w:spacing w:after="0" w:line="240" w:lineRule="auto"/>
      </w:pPr>
      <w:r>
        <w:separator/>
      </w:r>
    </w:p>
  </w:footnote>
  <w:footnote w:type="continuationSeparator" w:id="0">
    <w:p w14:paraId="5BA2AB56" w14:textId="77777777" w:rsidR="0054318A" w:rsidRDefault="0054318A" w:rsidP="00EE3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33A32" w14:textId="77777777" w:rsidR="00DD3477" w:rsidRDefault="00DD3477">
    <w:pPr>
      <w:pStyle w:val="Header"/>
    </w:pPr>
    <w:r>
      <w:t>SJYW5007</w:t>
    </w:r>
    <w:r>
      <w:ptab w:relativeTo="margin" w:alignment="center" w:leader="none"/>
    </w:r>
    <w:r>
      <w:t>Gary Yates</w:t>
    </w:r>
    <w:r>
      <w:ptab w:relativeTo="margin" w:alignment="right" w:leader="none"/>
    </w:r>
    <w:r>
      <w:t>1803568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AB9"/>
    <w:rsid w:val="000009C6"/>
    <w:rsid w:val="00010A80"/>
    <w:rsid w:val="00011336"/>
    <w:rsid w:val="0001715B"/>
    <w:rsid w:val="0003379A"/>
    <w:rsid w:val="0004186A"/>
    <w:rsid w:val="000436C4"/>
    <w:rsid w:val="0004412F"/>
    <w:rsid w:val="000464DF"/>
    <w:rsid w:val="00047CC9"/>
    <w:rsid w:val="00053DE9"/>
    <w:rsid w:val="00062EFA"/>
    <w:rsid w:val="000659AE"/>
    <w:rsid w:val="00066BCC"/>
    <w:rsid w:val="000670FA"/>
    <w:rsid w:val="00070EA2"/>
    <w:rsid w:val="000728CB"/>
    <w:rsid w:val="00087D8F"/>
    <w:rsid w:val="000A174C"/>
    <w:rsid w:val="000A1A26"/>
    <w:rsid w:val="000A1E37"/>
    <w:rsid w:val="000A33FC"/>
    <w:rsid w:val="000A3D2D"/>
    <w:rsid w:val="000A5268"/>
    <w:rsid w:val="000B6714"/>
    <w:rsid w:val="000C5F7D"/>
    <w:rsid w:val="000C6F60"/>
    <w:rsid w:val="000D58B7"/>
    <w:rsid w:val="000D6C85"/>
    <w:rsid w:val="000E1E1F"/>
    <w:rsid w:val="000E6242"/>
    <w:rsid w:val="000F32EC"/>
    <w:rsid w:val="00101AAE"/>
    <w:rsid w:val="00103A09"/>
    <w:rsid w:val="00103C23"/>
    <w:rsid w:val="00106551"/>
    <w:rsid w:val="00120D0B"/>
    <w:rsid w:val="00123979"/>
    <w:rsid w:val="001267D0"/>
    <w:rsid w:val="00137033"/>
    <w:rsid w:val="00140658"/>
    <w:rsid w:val="00140D0D"/>
    <w:rsid w:val="00142CC3"/>
    <w:rsid w:val="00144B7A"/>
    <w:rsid w:val="00144D2A"/>
    <w:rsid w:val="00152823"/>
    <w:rsid w:val="0015631D"/>
    <w:rsid w:val="0016449D"/>
    <w:rsid w:val="0017283F"/>
    <w:rsid w:val="001732FE"/>
    <w:rsid w:val="00180206"/>
    <w:rsid w:val="001927B4"/>
    <w:rsid w:val="001A3F3E"/>
    <w:rsid w:val="001A7A60"/>
    <w:rsid w:val="001B489D"/>
    <w:rsid w:val="001B5582"/>
    <w:rsid w:val="001C4EF8"/>
    <w:rsid w:val="001D60BE"/>
    <w:rsid w:val="001E41B6"/>
    <w:rsid w:val="001E6141"/>
    <w:rsid w:val="001F0204"/>
    <w:rsid w:val="001F1C97"/>
    <w:rsid w:val="001F2A3F"/>
    <w:rsid w:val="001F3709"/>
    <w:rsid w:val="001F535F"/>
    <w:rsid w:val="00206C22"/>
    <w:rsid w:val="002108DC"/>
    <w:rsid w:val="00213B41"/>
    <w:rsid w:val="00214DD9"/>
    <w:rsid w:val="00216144"/>
    <w:rsid w:val="0022532B"/>
    <w:rsid w:val="00225D1E"/>
    <w:rsid w:val="002366F4"/>
    <w:rsid w:val="002368D4"/>
    <w:rsid w:val="00241625"/>
    <w:rsid w:val="00247421"/>
    <w:rsid w:val="002475E1"/>
    <w:rsid w:val="002508C1"/>
    <w:rsid w:val="002545FC"/>
    <w:rsid w:val="0025595F"/>
    <w:rsid w:val="002567AC"/>
    <w:rsid w:val="002567CB"/>
    <w:rsid w:val="002571C6"/>
    <w:rsid w:val="002814E2"/>
    <w:rsid w:val="00283910"/>
    <w:rsid w:val="00292790"/>
    <w:rsid w:val="0029742F"/>
    <w:rsid w:val="002A4A91"/>
    <w:rsid w:val="002B1AAA"/>
    <w:rsid w:val="002B7FB1"/>
    <w:rsid w:val="002C4533"/>
    <w:rsid w:val="002D1DF3"/>
    <w:rsid w:val="002D3041"/>
    <w:rsid w:val="002F3750"/>
    <w:rsid w:val="003017A0"/>
    <w:rsid w:val="00301B61"/>
    <w:rsid w:val="00310BD7"/>
    <w:rsid w:val="00324191"/>
    <w:rsid w:val="00326D23"/>
    <w:rsid w:val="00333C2B"/>
    <w:rsid w:val="00334468"/>
    <w:rsid w:val="003347AF"/>
    <w:rsid w:val="003632DF"/>
    <w:rsid w:val="00363CA6"/>
    <w:rsid w:val="00366E5B"/>
    <w:rsid w:val="00367F34"/>
    <w:rsid w:val="00377B15"/>
    <w:rsid w:val="00381114"/>
    <w:rsid w:val="0038476B"/>
    <w:rsid w:val="0038511C"/>
    <w:rsid w:val="00393448"/>
    <w:rsid w:val="00395743"/>
    <w:rsid w:val="00395AE7"/>
    <w:rsid w:val="003A07E7"/>
    <w:rsid w:val="003A20FB"/>
    <w:rsid w:val="003A2648"/>
    <w:rsid w:val="003C3AC3"/>
    <w:rsid w:val="003C62F6"/>
    <w:rsid w:val="003D380B"/>
    <w:rsid w:val="003D767B"/>
    <w:rsid w:val="003E2B53"/>
    <w:rsid w:val="003E4490"/>
    <w:rsid w:val="003F207C"/>
    <w:rsid w:val="003F5CDE"/>
    <w:rsid w:val="00414742"/>
    <w:rsid w:val="00426E59"/>
    <w:rsid w:val="00436EBD"/>
    <w:rsid w:val="00441606"/>
    <w:rsid w:val="00444164"/>
    <w:rsid w:val="00445522"/>
    <w:rsid w:val="00450247"/>
    <w:rsid w:val="004507B0"/>
    <w:rsid w:val="00451F09"/>
    <w:rsid w:val="00457DB6"/>
    <w:rsid w:val="004656D8"/>
    <w:rsid w:val="00476697"/>
    <w:rsid w:val="00476DB0"/>
    <w:rsid w:val="00477C72"/>
    <w:rsid w:val="004858AB"/>
    <w:rsid w:val="00490E44"/>
    <w:rsid w:val="0049464C"/>
    <w:rsid w:val="00495352"/>
    <w:rsid w:val="004B2054"/>
    <w:rsid w:val="004B3D26"/>
    <w:rsid w:val="004B5083"/>
    <w:rsid w:val="004B5CB0"/>
    <w:rsid w:val="004B7AE4"/>
    <w:rsid w:val="004C7CF7"/>
    <w:rsid w:val="004F4811"/>
    <w:rsid w:val="004F6916"/>
    <w:rsid w:val="00502C73"/>
    <w:rsid w:val="00502FA2"/>
    <w:rsid w:val="00511A48"/>
    <w:rsid w:val="00512D53"/>
    <w:rsid w:val="005205BC"/>
    <w:rsid w:val="00521B9E"/>
    <w:rsid w:val="00527949"/>
    <w:rsid w:val="00536998"/>
    <w:rsid w:val="0054318A"/>
    <w:rsid w:val="0054725F"/>
    <w:rsid w:val="0057650D"/>
    <w:rsid w:val="0058099F"/>
    <w:rsid w:val="00587B22"/>
    <w:rsid w:val="00593D6E"/>
    <w:rsid w:val="005953BD"/>
    <w:rsid w:val="00595F75"/>
    <w:rsid w:val="00596DEF"/>
    <w:rsid w:val="005B3B7C"/>
    <w:rsid w:val="005C211E"/>
    <w:rsid w:val="005C6B85"/>
    <w:rsid w:val="005D3160"/>
    <w:rsid w:val="005F04DC"/>
    <w:rsid w:val="005F392E"/>
    <w:rsid w:val="005F3E79"/>
    <w:rsid w:val="00607D8B"/>
    <w:rsid w:val="00607E23"/>
    <w:rsid w:val="00612178"/>
    <w:rsid w:val="00622D69"/>
    <w:rsid w:val="006277BA"/>
    <w:rsid w:val="00631702"/>
    <w:rsid w:val="00636F8B"/>
    <w:rsid w:val="00650D30"/>
    <w:rsid w:val="00651A14"/>
    <w:rsid w:val="00652E5B"/>
    <w:rsid w:val="00653875"/>
    <w:rsid w:val="00654820"/>
    <w:rsid w:val="0065605C"/>
    <w:rsid w:val="006629E3"/>
    <w:rsid w:val="00663538"/>
    <w:rsid w:val="00670049"/>
    <w:rsid w:val="00670077"/>
    <w:rsid w:val="006A6197"/>
    <w:rsid w:val="006C2D8D"/>
    <w:rsid w:val="006E46AC"/>
    <w:rsid w:val="006F1CAE"/>
    <w:rsid w:val="006F5961"/>
    <w:rsid w:val="00707034"/>
    <w:rsid w:val="007133D7"/>
    <w:rsid w:val="00715F80"/>
    <w:rsid w:val="00722ABD"/>
    <w:rsid w:val="0073098A"/>
    <w:rsid w:val="00737C54"/>
    <w:rsid w:val="00745B5F"/>
    <w:rsid w:val="00771882"/>
    <w:rsid w:val="00786426"/>
    <w:rsid w:val="00793DFC"/>
    <w:rsid w:val="00795A2F"/>
    <w:rsid w:val="007A09D8"/>
    <w:rsid w:val="007A2A8E"/>
    <w:rsid w:val="007A64B2"/>
    <w:rsid w:val="007A7348"/>
    <w:rsid w:val="007B481D"/>
    <w:rsid w:val="007B6B4D"/>
    <w:rsid w:val="007C16EF"/>
    <w:rsid w:val="007C2141"/>
    <w:rsid w:val="007D4EDD"/>
    <w:rsid w:val="007E0752"/>
    <w:rsid w:val="007F5232"/>
    <w:rsid w:val="00803158"/>
    <w:rsid w:val="00803485"/>
    <w:rsid w:val="00816755"/>
    <w:rsid w:val="0084347E"/>
    <w:rsid w:val="00845D20"/>
    <w:rsid w:val="00872401"/>
    <w:rsid w:val="00877147"/>
    <w:rsid w:val="00880A60"/>
    <w:rsid w:val="00883E60"/>
    <w:rsid w:val="008903F0"/>
    <w:rsid w:val="0089452A"/>
    <w:rsid w:val="00894DBA"/>
    <w:rsid w:val="00896E71"/>
    <w:rsid w:val="008A04EA"/>
    <w:rsid w:val="008A301B"/>
    <w:rsid w:val="008B1035"/>
    <w:rsid w:val="008B1E86"/>
    <w:rsid w:val="008B4181"/>
    <w:rsid w:val="008D3220"/>
    <w:rsid w:val="008D53C7"/>
    <w:rsid w:val="008F0361"/>
    <w:rsid w:val="008F0E25"/>
    <w:rsid w:val="0090332C"/>
    <w:rsid w:val="00914285"/>
    <w:rsid w:val="00922087"/>
    <w:rsid w:val="009222B4"/>
    <w:rsid w:val="0092438A"/>
    <w:rsid w:val="00936C32"/>
    <w:rsid w:val="00946223"/>
    <w:rsid w:val="00960147"/>
    <w:rsid w:val="009739B4"/>
    <w:rsid w:val="009744EC"/>
    <w:rsid w:val="00977CB7"/>
    <w:rsid w:val="00982CD0"/>
    <w:rsid w:val="00987A62"/>
    <w:rsid w:val="009A7E01"/>
    <w:rsid w:val="009C40B5"/>
    <w:rsid w:val="009D2D85"/>
    <w:rsid w:val="009F7410"/>
    <w:rsid w:val="009F7CC2"/>
    <w:rsid w:val="00A062B1"/>
    <w:rsid w:val="00A10D93"/>
    <w:rsid w:val="00A152FA"/>
    <w:rsid w:val="00A17B1F"/>
    <w:rsid w:val="00A22B37"/>
    <w:rsid w:val="00A245F7"/>
    <w:rsid w:val="00A27EF4"/>
    <w:rsid w:val="00A34BA2"/>
    <w:rsid w:val="00A436A2"/>
    <w:rsid w:val="00A56738"/>
    <w:rsid w:val="00A64ECA"/>
    <w:rsid w:val="00A6531F"/>
    <w:rsid w:val="00A65CA6"/>
    <w:rsid w:val="00A72A23"/>
    <w:rsid w:val="00A73A71"/>
    <w:rsid w:val="00A82432"/>
    <w:rsid w:val="00A82D74"/>
    <w:rsid w:val="00A915AB"/>
    <w:rsid w:val="00A925F1"/>
    <w:rsid w:val="00A95274"/>
    <w:rsid w:val="00AA5DFD"/>
    <w:rsid w:val="00AB2748"/>
    <w:rsid w:val="00AC463C"/>
    <w:rsid w:val="00AC67AA"/>
    <w:rsid w:val="00AD5A99"/>
    <w:rsid w:val="00AD74B8"/>
    <w:rsid w:val="00AE2666"/>
    <w:rsid w:val="00AE6651"/>
    <w:rsid w:val="00AF2514"/>
    <w:rsid w:val="00AF6C82"/>
    <w:rsid w:val="00B01FAB"/>
    <w:rsid w:val="00B23FD1"/>
    <w:rsid w:val="00B40897"/>
    <w:rsid w:val="00B50620"/>
    <w:rsid w:val="00B522B4"/>
    <w:rsid w:val="00B55346"/>
    <w:rsid w:val="00B6553C"/>
    <w:rsid w:val="00B65F82"/>
    <w:rsid w:val="00B805E4"/>
    <w:rsid w:val="00B81506"/>
    <w:rsid w:val="00B8195E"/>
    <w:rsid w:val="00B97801"/>
    <w:rsid w:val="00BA18CC"/>
    <w:rsid w:val="00BA74DE"/>
    <w:rsid w:val="00BB1FDD"/>
    <w:rsid w:val="00BB5348"/>
    <w:rsid w:val="00BC239C"/>
    <w:rsid w:val="00BD22C0"/>
    <w:rsid w:val="00BD5981"/>
    <w:rsid w:val="00BF1DF9"/>
    <w:rsid w:val="00BF765B"/>
    <w:rsid w:val="00C21277"/>
    <w:rsid w:val="00C317C5"/>
    <w:rsid w:val="00C32ECA"/>
    <w:rsid w:val="00C339A4"/>
    <w:rsid w:val="00C51963"/>
    <w:rsid w:val="00C51B44"/>
    <w:rsid w:val="00C52276"/>
    <w:rsid w:val="00C5425D"/>
    <w:rsid w:val="00C64BAE"/>
    <w:rsid w:val="00C72D47"/>
    <w:rsid w:val="00C922B8"/>
    <w:rsid w:val="00C95FE2"/>
    <w:rsid w:val="00C97A48"/>
    <w:rsid w:val="00CA1C0E"/>
    <w:rsid w:val="00CA2B39"/>
    <w:rsid w:val="00CB3659"/>
    <w:rsid w:val="00CB4919"/>
    <w:rsid w:val="00CC2C0D"/>
    <w:rsid w:val="00CE013E"/>
    <w:rsid w:val="00D011DD"/>
    <w:rsid w:val="00D06D0C"/>
    <w:rsid w:val="00D1142D"/>
    <w:rsid w:val="00D205E0"/>
    <w:rsid w:val="00D207BB"/>
    <w:rsid w:val="00D20D71"/>
    <w:rsid w:val="00D264D9"/>
    <w:rsid w:val="00D4469B"/>
    <w:rsid w:val="00D458FD"/>
    <w:rsid w:val="00D55556"/>
    <w:rsid w:val="00D55648"/>
    <w:rsid w:val="00D61E0C"/>
    <w:rsid w:val="00D7641A"/>
    <w:rsid w:val="00D92020"/>
    <w:rsid w:val="00DB4D2D"/>
    <w:rsid w:val="00DB708B"/>
    <w:rsid w:val="00DC0062"/>
    <w:rsid w:val="00DC3426"/>
    <w:rsid w:val="00DC3428"/>
    <w:rsid w:val="00DC5F7B"/>
    <w:rsid w:val="00DD3477"/>
    <w:rsid w:val="00DD76A4"/>
    <w:rsid w:val="00DE1C5F"/>
    <w:rsid w:val="00DE3950"/>
    <w:rsid w:val="00DE6FA6"/>
    <w:rsid w:val="00DF2CE5"/>
    <w:rsid w:val="00E00659"/>
    <w:rsid w:val="00E01DD3"/>
    <w:rsid w:val="00E04597"/>
    <w:rsid w:val="00E04869"/>
    <w:rsid w:val="00E06D81"/>
    <w:rsid w:val="00E07BE2"/>
    <w:rsid w:val="00E07DBC"/>
    <w:rsid w:val="00E07F55"/>
    <w:rsid w:val="00E14845"/>
    <w:rsid w:val="00E22576"/>
    <w:rsid w:val="00E335E8"/>
    <w:rsid w:val="00E343ED"/>
    <w:rsid w:val="00E410CB"/>
    <w:rsid w:val="00E43AFB"/>
    <w:rsid w:val="00E51B20"/>
    <w:rsid w:val="00E51F0E"/>
    <w:rsid w:val="00E5287E"/>
    <w:rsid w:val="00E6014E"/>
    <w:rsid w:val="00E60D44"/>
    <w:rsid w:val="00E641E1"/>
    <w:rsid w:val="00E76A7D"/>
    <w:rsid w:val="00E76CAF"/>
    <w:rsid w:val="00E81290"/>
    <w:rsid w:val="00E83B7F"/>
    <w:rsid w:val="00E93D15"/>
    <w:rsid w:val="00EA17AC"/>
    <w:rsid w:val="00EB4A01"/>
    <w:rsid w:val="00EB6251"/>
    <w:rsid w:val="00ED2AD3"/>
    <w:rsid w:val="00ED65ED"/>
    <w:rsid w:val="00ED70A6"/>
    <w:rsid w:val="00EE140B"/>
    <w:rsid w:val="00EE3AB9"/>
    <w:rsid w:val="00EE5E9C"/>
    <w:rsid w:val="00EF34A5"/>
    <w:rsid w:val="00F004D9"/>
    <w:rsid w:val="00F16634"/>
    <w:rsid w:val="00F22ED8"/>
    <w:rsid w:val="00F30714"/>
    <w:rsid w:val="00F330C5"/>
    <w:rsid w:val="00F344B1"/>
    <w:rsid w:val="00F35CD7"/>
    <w:rsid w:val="00F413A6"/>
    <w:rsid w:val="00F5041E"/>
    <w:rsid w:val="00F50838"/>
    <w:rsid w:val="00F54536"/>
    <w:rsid w:val="00F54CB3"/>
    <w:rsid w:val="00F61B65"/>
    <w:rsid w:val="00F65418"/>
    <w:rsid w:val="00F72F60"/>
    <w:rsid w:val="00F75149"/>
    <w:rsid w:val="00F776AB"/>
    <w:rsid w:val="00F837B6"/>
    <w:rsid w:val="00F9591D"/>
    <w:rsid w:val="00F95C9C"/>
    <w:rsid w:val="00F9621D"/>
    <w:rsid w:val="00F97357"/>
    <w:rsid w:val="00FA5CD2"/>
    <w:rsid w:val="00FB01FE"/>
    <w:rsid w:val="00FB4521"/>
    <w:rsid w:val="00FF1B13"/>
    <w:rsid w:val="00FF603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A18C5"/>
  <w15:docId w15:val="{79FE82E5-7923-4E7E-83C9-3419015C0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7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B9"/>
  </w:style>
  <w:style w:type="paragraph" w:styleId="Footer">
    <w:name w:val="footer"/>
    <w:basedOn w:val="Normal"/>
    <w:link w:val="FooterChar"/>
    <w:uiPriority w:val="99"/>
    <w:unhideWhenUsed/>
    <w:rsid w:val="00EE3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B9"/>
  </w:style>
  <w:style w:type="paragraph" w:styleId="BalloonText">
    <w:name w:val="Balloon Text"/>
    <w:basedOn w:val="Normal"/>
    <w:link w:val="BalloonTextChar"/>
    <w:uiPriority w:val="99"/>
    <w:semiHidden/>
    <w:unhideWhenUsed/>
    <w:rsid w:val="005F3E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3E79"/>
    <w:rPr>
      <w:rFonts w:ascii="Segoe UI" w:hAnsi="Segoe UI" w:cs="Segoe UI"/>
      <w:sz w:val="18"/>
      <w:szCs w:val="18"/>
    </w:rPr>
  </w:style>
  <w:style w:type="character" w:customStyle="1" w:styleId="hi-italic">
    <w:name w:val="hi-italic"/>
    <w:basedOn w:val="DefaultParagraphFont"/>
    <w:rsid w:val="00D92020"/>
  </w:style>
  <w:style w:type="character" w:styleId="Emphasis">
    <w:name w:val="Emphasis"/>
    <w:basedOn w:val="DefaultParagraphFont"/>
    <w:uiPriority w:val="20"/>
    <w:qFormat/>
    <w:rsid w:val="00F61B65"/>
    <w:rPr>
      <w:i/>
      <w:iCs/>
    </w:rPr>
  </w:style>
  <w:style w:type="paragraph" w:styleId="NormalWeb">
    <w:name w:val="Normal (Web)"/>
    <w:basedOn w:val="Normal"/>
    <w:uiPriority w:val="99"/>
    <w:semiHidden/>
    <w:unhideWhenUsed/>
    <w:rsid w:val="00A34B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70049"/>
    <w:rPr>
      <w:sz w:val="16"/>
      <w:szCs w:val="16"/>
    </w:rPr>
  </w:style>
  <w:style w:type="paragraph" w:styleId="CommentText">
    <w:name w:val="annotation text"/>
    <w:basedOn w:val="Normal"/>
    <w:link w:val="CommentTextChar"/>
    <w:uiPriority w:val="99"/>
    <w:semiHidden/>
    <w:unhideWhenUsed/>
    <w:rsid w:val="00670049"/>
    <w:pPr>
      <w:spacing w:line="240" w:lineRule="auto"/>
    </w:pPr>
    <w:rPr>
      <w:sz w:val="20"/>
      <w:szCs w:val="20"/>
    </w:rPr>
  </w:style>
  <w:style w:type="character" w:customStyle="1" w:styleId="CommentTextChar">
    <w:name w:val="Comment Text Char"/>
    <w:basedOn w:val="DefaultParagraphFont"/>
    <w:link w:val="CommentText"/>
    <w:uiPriority w:val="99"/>
    <w:semiHidden/>
    <w:rsid w:val="00670049"/>
    <w:rPr>
      <w:sz w:val="20"/>
      <w:szCs w:val="20"/>
    </w:rPr>
  </w:style>
  <w:style w:type="paragraph" w:styleId="CommentSubject">
    <w:name w:val="annotation subject"/>
    <w:basedOn w:val="CommentText"/>
    <w:next w:val="CommentText"/>
    <w:link w:val="CommentSubjectChar"/>
    <w:uiPriority w:val="99"/>
    <w:semiHidden/>
    <w:unhideWhenUsed/>
    <w:rsid w:val="00670049"/>
    <w:rPr>
      <w:b/>
      <w:bCs/>
    </w:rPr>
  </w:style>
  <w:style w:type="character" w:customStyle="1" w:styleId="CommentSubjectChar">
    <w:name w:val="Comment Subject Char"/>
    <w:basedOn w:val="CommentTextChar"/>
    <w:link w:val="CommentSubject"/>
    <w:uiPriority w:val="99"/>
    <w:semiHidden/>
    <w:rsid w:val="0067004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12551">
      <w:bodyDiv w:val="1"/>
      <w:marLeft w:val="0"/>
      <w:marRight w:val="0"/>
      <w:marTop w:val="0"/>
      <w:marBottom w:val="0"/>
      <w:divBdr>
        <w:top w:val="none" w:sz="0" w:space="0" w:color="auto"/>
        <w:left w:val="none" w:sz="0" w:space="0" w:color="auto"/>
        <w:bottom w:val="none" w:sz="0" w:space="0" w:color="auto"/>
        <w:right w:val="none" w:sz="0" w:space="0" w:color="auto"/>
      </w:divBdr>
    </w:div>
    <w:div w:id="913860516">
      <w:bodyDiv w:val="1"/>
      <w:marLeft w:val="0"/>
      <w:marRight w:val="0"/>
      <w:marTop w:val="0"/>
      <w:marBottom w:val="0"/>
      <w:divBdr>
        <w:top w:val="none" w:sz="0" w:space="0" w:color="auto"/>
        <w:left w:val="none" w:sz="0" w:space="0" w:color="auto"/>
        <w:bottom w:val="none" w:sz="0" w:space="0" w:color="auto"/>
        <w:right w:val="none" w:sz="0" w:space="0" w:color="auto"/>
      </w:divBdr>
    </w:div>
    <w:div w:id="2015063135">
      <w:bodyDiv w:val="1"/>
      <w:marLeft w:val="0"/>
      <w:marRight w:val="0"/>
      <w:marTop w:val="0"/>
      <w:marBottom w:val="0"/>
      <w:divBdr>
        <w:top w:val="none" w:sz="0" w:space="0" w:color="auto"/>
        <w:left w:val="none" w:sz="0" w:space="0" w:color="auto"/>
        <w:bottom w:val="none" w:sz="0" w:space="0" w:color="auto"/>
        <w:right w:val="none" w:sz="0" w:space="0" w:color="auto"/>
      </w:divBdr>
      <w:divsChild>
        <w:div w:id="862593322">
          <w:marLeft w:val="0"/>
          <w:marRight w:val="0"/>
          <w:marTop w:val="0"/>
          <w:marBottom w:val="0"/>
          <w:divBdr>
            <w:top w:val="none" w:sz="0" w:space="0" w:color="auto"/>
            <w:left w:val="none" w:sz="0" w:space="0" w:color="auto"/>
            <w:bottom w:val="none" w:sz="0" w:space="0" w:color="auto"/>
            <w:right w:val="none" w:sz="0" w:space="0" w:color="auto"/>
          </w:divBdr>
        </w:div>
        <w:div w:id="1609968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5" ma:contentTypeDescription="Create a new document." ma:contentTypeScope="" ma:versionID="1f3c7380b4a57a053d1f5ff0d3167fed">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91dc4a5a38e71e9124997dc1269ca9e"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969471-AC38-4E9A-91EA-FF3375005D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F4B780-7E97-479B-A439-C17663A5606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EC391AA-DA96-40D3-B2DE-74BCFC73D82F}">
  <ds:schemaRefs>
    <ds:schemaRef ds:uri="http://schemas.microsoft.com/sharepoint/v3/contenttype/forms"/>
  </ds:schemaRefs>
</ds:datastoreItem>
</file>

<file path=customXml/itemProps4.xml><?xml version="1.0" encoding="utf-8"?>
<ds:datastoreItem xmlns:ds="http://schemas.openxmlformats.org/officeDocument/2006/customXml" ds:itemID="{5BFAD0D7-0169-4712-BE1E-33767B753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Yates (1803568)</dc:creator>
  <cp:lastModifiedBy>Gary Yates</cp:lastModifiedBy>
  <cp:revision>2</cp:revision>
  <cp:lastPrinted>2019-10-20T19:24:00Z</cp:lastPrinted>
  <dcterms:created xsi:type="dcterms:W3CDTF">2019-11-07T21:15:00Z</dcterms:created>
  <dcterms:modified xsi:type="dcterms:W3CDTF">2019-11-07T21:15:00Z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