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DD3D0" w14:textId="77777777" w:rsidR="007770A5" w:rsidRPr="00DA1682" w:rsidRDefault="007770A5" w:rsidP="007770A5">
      <w:pPr>
        <w:jc w:val="center"/>
        <w:rPr>
          <w:rFonts w:ascii="Times New Roman" w:hAnsi="Times New Roman" w:cs="Times New Roman"/>
          <w:b/>
          <w:bCs/>
          <w:i/>
          <w:iCs/>
          <w:sz w:val="24"/>
          <w:szCs w:val="24"/>
          <w:u w:val="single"/>
        </w:rPr>
      </w:pPr>
      <w:bookmarkStart w:id="0" w:name="_Hlk11507175"/>
      <w:bookmarkStart w:id="1" w:name="_Hlk11511024"/>
      <w:bookmarkStart w:id="2" w:name="_Hlk11508464"/>
      <w:bookmarkStart w:id="3" w:name="_Hlk11512226"/>
      <w:r w:rsidRPr="00DA1682">
        <w:rPr>
          <w:rFonts w:ascii="Times New Roman" w:hAnsi="Times New Roman" w:cs="Times New Roman"/>
          <w:b/>
          <w:bCs/>
          <w:sz w:val="24"/>
          <w:szCs w:val="24"/>
          <w:u w:val="single"/>
        </w:rPr>
        <w:t xml:space="preserve">Critical Review: Cicero’s </w:t>
      </w:r>
      <w:r w:rsidRPr="00DA1682">
        <w:rPr>
          <w:rFonts w:ascii="Times New Roman" w:hAnsi="Times New Roman" w:cs="Times New Roman"/>
          <w:b/>
          <w:bCs/>
          <w:i/>
          <w:iCs/>
          <w:sz w:val="24"/>
          <w:szCs w:val="24"/>
          <w:u w:val="single"/>
        </w:rPr>
        <w:t>De Divinatione</w:t>
      </w:r>
    </w:p>
    <w:p w14:paraId="7C339E50" w14:textId="77777777" w:rsidR="007770A5" w:rsidRPr="00DA1682" w:rsidRDefault="007770A5" w:rsidP="007770A5">
      <w:pPr>
        <w:jc w:val="center"/>
        <w:rPr>
          <w:rFonts w:ascii="Times New Roman" w:hAnsi="Times New Roman" w:cs="Times New Roman"/>
          <w:b/>
          <w:bCs/>
          <w:i/>
          <w:iCs/>
          <w:sz w:val="24"/>
          <w:szCs w:val="24"/>
          <w:u w:val="single"/>
        </w:rPr>
      </w:pPr>
    </w:p>
    <w:p w14:paraId="634D5567" w14:textId="77777777" w:rsidR="007770A5" w:rsidRPr="00DA1682" w:rsidRDefault="007770A5" w:rsidP="007770A5">
      <w:pPr>
        <w:rPr>
          <w:rFonts w:ascii="Times New Roman" w:hAnsi="Times New Roman" w:cs="Times New Roman"/>
          <w:b/>
          <w:bCs/>
          <w:sz w:val="24"/>
          <w:szCs w:val="24"/>
        </w:rPr>
      </w:pPr>
      <w:r w:rsidRPr="00DA1682">
        <w:rPr>
          <w:rFonts w:ascii="Times New Roman" w:hAnsi="Times New Roman" w:cs="Times New Roman"/>
          <w:b/>
          <w:bCs/>
          <w:sz w:val="24"/>
          <w:szCs w:val="24"/>
        </w:rPr>
        <w:t>Introduction:</w:t>
      </w:r>
      <w:r w:rsidRPr="00DA1682">
        <w:rPr>
          <w:rFonts w:ascii="Times New Roman" w:hAnsi="Times New Roman" w:cs="Times New Roman"/>
          <w:b/>
          <w:bCs/>
          <w:sz w:val="24"/>
          <w:szCs w:val="24"/>
        </w:rPr>
        <w:br/>
      </w:r>
    </w:p>
    <w:p w14:paraId="28D23174"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sz w:val="24"/>
          <w:szCs w:val="24"/>
        </w:rPr>
        <w:t xml:space="preserve">The purpose of this critical review of Cicero’s </w:t>
      </w:r>
      <w:r w:rsidRPr="00DA1682">
        <w:rPr>
          <w:rFonts w:ascii="Times New Roman" w:hAnsi="Times New Roman" w:cs="Times New Roman"/>
          <w:i/>
          <w:iCs/>
          <w:sz w:val="24"/>
          <w:szCs w:val="24"/>
        </w:rPr>
        <w:t xml:space="preserve">De Divinatione </w:t>
      </w:r>
      <w:r w:rsidRPr="00DA1682">
        <w:rPr>
          <w:rFonts w:ascii="Times New Roman" w:hAnsi="Times New Roman" w:cs="Times New Roman"/>
          <w:sz w:val="24"/>
          <w:szCs w:val="24"/>
        </w:rPr>
        <w:t xml:space="preserve">is to try and establish the purpose of this specific work and to determine whether his work should be viewed as a reliable historical source. This will be done by examining the arguments of the source and their historical and religious context during the Late Roman Republic. </w:t>
      </w:r>
      <w:r w:rsidRPr="00DA1682">
        <w:rPr>
          <w:rFonts w:ascii="Times New Roman" w:hAnsi="Times New Roman" w:cs="Times New Roman"/>
          <w:sz w:val="24"/>
          <w:szCs w:val="24"/>
        </w:rPr>
        <w:br/>
      </w:r>
    </w:p>
    <w:p w14:paraId="22BFEB3C" w14:textId="77777777" w:rsidR="007770A5" w:rsidRPr="00DA1682" w:rsidRDefault="007770A5" w:rsidP="007770A5">
      <w:pPr>
        <w:rPr>
          <w:rFonts w:ascii="Times New Roman" w:hAnsi="Times New Roman" w:cs="Times New Roman"/>
          <w:b/>
          <w:bCs/>
          <w:sz w:val="24"/>
          <w:szCs w:val="24"/>
        </w:rPr>
      </w:pPr>
      <w:r w:rsidRPr="00DA1682">
        <w:rPr>
          <w:rFonts w:ascii="Times New Roman" w:hAnsi="Times New Roman" w:cs="Times New Roman"/>
          <w:b/>
          <w:bCs/>
          <w:sz w:val="24"/>
          <w:szCs w:val="24"/>
        </w:rPr>
        <w:t>Brief Historical Background:</w:t>
      </w:r>
    </w:p>
    <w:p w14:paraId="37B02A33" w14:textId="77777777" w:rsidR="007770A5" w:rsidRPr="00DA1682" w:rsidRDefault="007770A5" w:rsidP="007770A5">
      <w:pPr>
        <w:shd w:val="clear" w:color="auto" w:fill="FFFFFF"/>
        <w:spacing w:line="540" w:lineRule="atLeast"/>
        <w:textAlignment w:val="top"/>
        <w:rPr>
          <w:rFonts w:ascii="Times New Roman" w:hAnsi="Times New Roman" w:cs="Times New Roman"/>
          <w:sz w:val="24"/>
          <w:szCs w:val="24"/>
        </w:rPr>
      </w:pPr>
      <w:r w:rsidRPr="00DA1682">
        <w:rPr>
          <w:rFonts w:ascii="Times New Roman" w:hAnsi="Times New Roman" w:cs="Times New Roman"/>
          <w:sz w:val="24"/>
          <w:szCs w:val="24"/>
        </w:rPr>
        <w:t>Marcus Tullius Cicero, more commonly known as Cicero was a Roman orator, philosopher, politician and augur, who was active during the end of the Roman Republic. Cicero was born on the 3</w:t>
      </w:r>
      <w:r w:rsidRPr="00DA1682">
        <w:rPr>
          <w:rFonts w:ascii="Times New Roman" w:hAnsi="Times New Roman" w:cs="Times New Roman"/>
          <w:sz w:val="24"/>
          <w:szCs w:val="24"/>
          <w:vertAlign w:val="superscript"/>
        </w:rPr>
        <w:t>rd</w:t>
      </w:r>
      <w:r w:rsidRPr="00DA1682">
        <w:rPr>
          <w:rFonts w:ascii="Times New Roman" w:hAnsi="Times New Roman" w:cs="Times New Roman"/>
          <w:sz w:val="24"/>
          <w:szCs w:val="24"/>
        </w:rPr>
        <w:t xml:space="preserve"> of January 106BC in </w:t>
      </w:r>
      <w:proofErr w:type="spellStart"/>
      <w:r w:rsidRPr="00DA1682">
        <w:rPr>
          <w:rFonts w:ascii="Times New Roman" w:hAnsi="Times New Roman" w:cs="Times New Roman"/>
          <w:sz w:val="24"/>
          <w:szCs w:val="24"/>
        </w:rPr>
        <w:t>Arpinum</w:t>
      </w:r>
      <w:proofErr w:type="spellEnd"/>
      <w:r w:rsidRPr="00DA1682">
        <w:rPr>
          <w:rFonts w:ascii="Times New Roman" w:hAnsi="Times New Roman" w:cs="Times New Roman"/>
          <w:sz w:val="24"/>
          <w:szCs w:val="24"/>
        </w:rPr>
        <w:t>, which lies approximately 70 miles southeast of Rome.</w:t>
      </w:r>
      <w:r w:rsidRPr="00DA1682">
        <w:rPr>
          <w:rStyle w:val="FootnoteReference"/>
          <w:rFonts w:ascii="Times New Roman" w:hAnsi="Times New Roman" w:cs="Times New Roman"/>
          <w:sz w:val="24"/>
          <w:szCs w:val="24"/>
        </w:rPr>
        <w:footnoteReference w:id="1"/>
      </w:r>
      <w:r w:rsidRPr="00DA1682">
        <w:rPr>
          <w:rFonts w:ascii="Times New Roman" w:hAnsi="Times New Roman" w:cs="Times New Roman"/>
          <w:sz w:val="24"/>
          <w:szCs w:val="24"/>
        </w:rPr>
        <w:t xml:space="preserve"> Cicero came from a wealthy elite family, and his father had been a member of the equestrian order. To ensure the highest education for his sons, Cicero’s father moved the family to Rome.</w:t>
      </w:r>
      <w:r w:rsidRPr="00DA1682">
        <w:rPr>
          <w:rStyle w:val="FootnoteReference"/>
          <w:rFonts w:ascii="Times New Roman" w:hAnsi="Times New Roman" w:cs="Times New Roman"/>
          <w:sz w:val="24"/>
          <w:szCs w:val="24"/>
        </w:rPr>
        <w:footnoteReference w:id="2"/>
      </w:r>
      <w:r w:rsidRPr="00DA1682">
        <w:rPr>
          <w:rFonts w:ascii="Times New Roman" w:hAnsi="Times New Roman" w:cs="Times New Roman"/>
          <w:sz w:val="24"/>
          <w:szCs w:val="24"/>
        </w:rPr>
        <w:t xml:space="preserve"> Despite coming from a prominent family, Cicero was the first of his family to hold public office.</w:t>
      </w:r>
      <w:r w:rsidRPr="00DA1682">
        <w:rPr>
          <w:rStyle w:val="FootnoteReference"/>
          <w:rFonts w:ascii="Times New Roman" w:hAnsi="Times New Roman" w:cs="Times New Roman"/>
          <w:sz w:val="24"/>
          <w:szCs w:val="24"/>
        </w:rPr>
        <w:footnoteReference w:id="3"/>
      </w:r>
      <w:r w:rsidRPr="00DA1682">
        <w:rPr>
          <w:rFonts w:ascii="Times New Roman" w:hAnsi="Times New Roman" w:cs="Times New Roman"/>
          <w:sz w:val="24"/>
          <w:szCs w:val="24"/>
        </w:rPr>
        <w:t xml:space="preserve"> During his lifetime Cicero held multiple offices such as his election to </w:t>
      </w:r>
      <w:r w:rsidRPr="00DA1682">
        <w:rPr>
          <w:rFonts w:ascii="Times New Roman" w:hAnsi="Times New Roman" w:cs="Times New Roman"/>
          <w:color w:val="222222"/>
          <w:sz w:val="24"/>
          <w:szCs w:val="24"/>
        </w:rPr>
        <w:t xml:space="preserve">quaestor </w:t>
      </w:r>
      <w:r w:rsidRPr="00DA1682">
        <w:rPr>
          <w:rFonts w:ascii="Times New Roman" w:hAnsi="Times New Roman" w:cs="Times New Roman"/>
          <w:sz w:val="24"/>
          <w:szCs w:val="24"/>
        </w:rPr>
        <w:t>in 75BC, praetor in 66BC, and then consul in 63BC. Cicero’s life and were concurrent with some of the most violent and unstable decades in the history of Rome</w:t>
      </w:r>
      <w:r w:rsidRPr="00DA1682">
        <w:rPr>
          <w:rStyle w:val="FootnoteReference"/>
          <w:rFonts w:ascii="Times New Roman" w:hAnsi="Times New Roman" w:cs="Times New Roman"/>
          <w:sz w:val="24"/>
          <w:szCs w:val="24"/>
        </w:rPr>
        <w:footnoteReference w:id="4"/>
      </w:r>
      <w:r w:rsidRPr="00DA1682">
        <w:rPr>
          <w:rFonts w:ascii="Times New Roman" w:hAnsi="Times New Roman" w:cs="Times New Roman"/>
          <w:sz w:val="24"/>
          <w:szCs w:val="24"/>
        </w:rPr>
        <w:t>, witnessing events such as the Social War (91-88BC) and Sulla’s election and march on Rome (88-87BC).</w:t>
      </w:r>
      <w:r w:rsidRPr="00DA1682">
        <w:rPr>
          <w:rStyle w:val="FootnoteReference"/>
          <w:rFonts w:ascii="Times New Roman" w:hAnsi="Times New Roman" w:cs="Times New Roman"/>
          <w:sz w:val="24"/>
          <w:szCs w:val="24"/>
        </w:rPr>
        <w:footnoteReference w:id="5"/>
      </w:r>
      <w:r w:rsidRPr="00DA1682">
        <w:rPr>
          <w:rFonts w:ascii="Times New Roman" w:hAnsi="Times New Roman" w:cs="Times New Roman"/>
          <w:sz w:val="24"/>
          <w:szCs w:val="24"/>
        </w:rPr>
        <w:t xml:space="preserve"> Cicero was also an important and influential political figure during the era of Julius Caesar, Pompey, Mark Antony and Octavian. In 43BC Cicero was murdered, when Octavian, Mark Antony, and Lepidus allied and they were appointed commissioner for the </w:t>
      </w:r>
      <w:r w:rsidRPr="00DA1682">
        <w:rPr>
          <w:rFonts w:ascii="Times New Roman" w:hAnsi="Times New Roman" w:cs="Times New Roman"/>
          <w:sz w:val="24"/>
          <w:szCs w:val="24"/>
        </w:rPr>
        <w:lastRenderedPageBreak/>
        <w:t>reorganisation of the state,</w:t>
      </w:r>
      <w:r w:rsidRPr="00DA1682">
        <w:rPr>
          <w:rStyle w:val="FootnoteReference"/>
          <w:rFonts w:ascii="Times New Roman" w:hAnsi="Times New Roman" w:cs="Times New Roman"/>
          <w:sz w:val="24"/>
          <w:szCs w:val="24"/>
        </w:rPr>
        <w:footnoteReference w:id="6"/>
      </w:r>
      <w:r w:rsidRPr="00DA1682">
        <w:rPr>
          <w:rFonts w:ascii="Times New Roman" w:hAnsi="Times New Roman" w:cs="Times New Roman"/>
          <w:sz w:val="24"/>
          <w:szCs w:val="24"/>
        </w:rPr>
        <w:t xml:space="preserve"> his head and hands were removed and were nailed to the Rostra.</w:t>
      </w:r>
      <w:r w:rsidRPr="00DA1682">
        <w:rPr>
          <w:rStyle w:val="FootnoteReference"/>
          <w:rFonts w:ascii="Times New Roman" w:hAnsi="Times New Roman" w:cs="Times New Roman"/>
          <w:sz w:val="24"/>
          <w:szCs w:val="24"/>
        </w:rPr>
        <w:footnoteReference w:id="7"/>
      </w:r>
      <w:r w:rsidRPr="00DA1682">
        <w:rPr>
          <w:rFonts w:ascii="Times New Roman" w:hAnsi="Times New Roman" w:cs="Times New Roman"/>
          <w:sz w:val="24"/>
          <w:szCs w:val="24"/>
        </w:rPr>
        <w:br/>
      </w:r>
      <w:r w:rsidRPr="00DA1682">
        <w:rPr>
          <w:rFonts w:ascii="Times New Roman" w:hAnsi="Times New Roman" w:cs="Times New Roman"/>
          <w:sz w:val="24"/>
          <w:szCs w:val="24"/>
        </w:rPr>
        <w:br/>
        <w:t xml:space="preserve">An abundant amount of Cicero’s works have survived to the modern day in the form of treatises, speeches and letters. It is clear from his writings that he was heavily influenced by the training he received in three Greek philosophical schools: </w:t>
      </w:r>
      <w:proofErr w:type="spellStart"/>
      <w:r w:rsidRPr="00DA1682">
        <w:rPr>
          <w:rFonts w:ascii="Times New Roman" w:hAnsi="Times New Roman" w:cs="Times New Roman"/>
          <w:sz w:val="24"/>
          <w:szCs w:val="24"/>
        </w:rPr>
        <w:t>Didotus</w:t>
      </w:r>
      <w:proofErr w:type="spellEnd"/>
      <w:r w:rsidRPr="00DA1682">
        <w:rPr>
          <w:rFonts w:ascii="Times New Roman" w:hAnsi="Times New Roman" w:cs="Times New Roman"/>
          <w:sz w:val="24"/>
          <w:szCs w:val="24"/>
        </w:rPr>
        <w:t xml:space="preserve"> the Epicureanism of Phaedrus, the Stoicism of </w:t>
      </w:r>
      <w:proofErr w:type="spellStart"/>
      <w:r w:rsidRPr="00DA1682">
        <w:rPr>
          <w:rFonts w:ascii="Times New Roman" w:hAnsi="Times New Roman" w:cs="Times New Roman"/>
          <w:sz w:val="24"/>
          <w:szCs w:val="24"/>
        </w:rPr>
        <w:t>Lecius</w:t>
      </w:r>
      <w:proofErr w:type="spellEnd"/>
      <w:r w:rsidRPr="00DA1682">
        <w:rPr>
          <w:rFonts w:ascii="Times New Roman" w:hAnsi="Times New Roman" w:cs="Times New Roman"/>
          <w:sz w:val="24"/>
          <w:szCs w:val="24"/>
        </w:rPr>
        <w:t xml:space="preserve"> Aelius </w:t>
      </w:r>
      <w:proofErr w:type="spellStart"/>
      <w:r w:rsidRPr="00DA1682">
        <w:rPr>
          <w:rFonts w:ascii="Times New Roman" w:hAnsi="Times New Roman" w:cs="Times New Roman"/>
          <w:sz w:val="24"/>
          <w:szCs w:val="24"/>
        </w:rPr>
        <w:t>Stilo</w:t>
      </w:r>
      <w:proofErr w:type="spellEnd"/>
      <w:r w:rsidRPr="00DA1682">
        <w:rPr>
          <w:rFonts w:ascii="Times New Roman" w:hAnsi="Times New Roman" w:cs="Times New Roman"/>
          <w:sz w:val="24"/>
          <w:szCs w:val="24"/>
        </w:rPr>
        <w:t>, and the Philo of Larissa the sceptic of the New Academy.</w:t>
      </w:r>
      <w:r w:rsidRPr="00DA1682">
        <w:rPr>
          <w:rStyle w:val="FootnoteReference"/>
          <w:rFonts w:ascii="Times New Roman" w:hAnsi="Times New Roman" w:cs="Times New Roman"/>
          <w:sz w:val="24"/>
          <w:szCs w:val="24"/>
        </w:rPr>
        <w:footnoteReference w:id="8"/>
      </w:r>
      <w:r w:rsidRPr="00DA1682">
        <w:rPr>
          <w:rFonts w:ascii="Times New Roman" w:hAnsi="Times New Roman" w:cs="Times New Roman"/>
          <w:sz w:val="24"/>
          <w:szCs w:val="24"/>
        </w:rPr>
        <w:t xml:space="preserve"> More than 900 letters written by Cicero have survived to the present day, some of which include official political dispatches and letters written to family and friends.</w:t>
      </w:r>
      <w:r w:rsidRPr="00DA1682">
        <w:rPr>
          <w:rStyle w:val="FootnoteReference"/>
          <w:rFonts w:ascii="Times New Roman" w:hAnsi="Times New Roman" w:cs="Times New Roman"/>
          <w:sz w:val="24"/>
          <w:szCs w:val="24"/>
        </w:rPr>
        <w:footnoteReference w:id="9"/>
      </w:r>
      <w:r w:rsidRPr="00DA1682">
        <w:rPr>
          <w:rFonts w:ascii="Times New Roman" w:hAnsi="Times New Roman" w:cs="Times New Roman"/>
          <w:sz w:val="24"/>
          <w:szCs w:val="24"/>
        </w:rPr>
        <w:t xml:space="preserve"> Much of what is known of Cicero’s era, including the politics and the workings of society are available due to these correspondences.</w:t>
      </w:r>
    </w:p>
    <w:p w14:paraId="7C4FB25A" w14:textId="77777777" w:rsidR="007770A5" w:rsidRPr="00DA1682" w:rsidRDefault="007770A5" w:rsidP="007770A5">
      <w:pPr>
        <w:shd w:val="clear" w:color="auto" w:fill="FFFFFF"/>
        <w:spacing w:line="540" w:lineRule="atLeast"/>
        <w:textAlignment w:val="top"/>
        <w:rPr>
          <w:rFonts w:ascii="Times New Roman" w:hAnsi="Times New Roman" w:cs="Times New Roman"/>
          <w:color w:val="222222"/>
          <w:sz w:val="24"/>
          <w:szCs w:val="24"/>
        </w:rPr>
      </w:pPr>
    </w:p>
    <w:p w14:paraId="187A2002"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b/>
          <w:bCs/>
          <w:sz w:val="24"/>
          <w:szCs w:val="24"/>
        </w:rPr>
        <w:t>The Arguments:</w:t>
      </w:r>
      <w:r w:rsidRPr="00DA1682">
        <w:rPr>
          <w:rFonts w:ascii="Times New Roman" w:hAnsi="Times New Roman" w:cs="Times New Roman"/>
          <w:b/>
          <w:bCs/>
          <w:sz w:val="24"/>
          <w:szCs w:val="24"/>
        </w:rPr>
        <w:br/>
      </w:r>
      <w:r w:rsidRPr="00DA1682">
        <w:rPr>
          <w:rFonts w:ascii="Times New Roman" w:hAnsi="Times New Roman" w:cs="Times New Roman"/>
          <w:sz w:val="24"/>
          <w:szCs w:val="24"/>
        </w:rPr>
        <w:t xml:space="preserve">Cicero’s </w:t>
      </w:r>
      <w:r w:rsidRPr="00DA1682">
        <w:rPr>
          <w:rFonts w:ascii="Times New Roman" w:hAnsi="Times New Roman" w:cs="Times New Roman"/>
          <w:i/>
          <w:iCs/>
          <w:sz w:val="24"/>
          <w:szCs w:val="24"/>
        </w:rPr>
        <w:t xml:space="preserve">De Divinatione </w:t>
      </w:r>
      <w:r w:rsidRPr="00DA1682">
        <w:rPr>
          <w:rFonts w:ascii="Times New Roman" w:hAnsi="Times New Roman" w:cs="Times New Roman"/>
          <w:sz w:val="24"/>
          <w:szCs w:val="24"/>
        </w:rPr>
        <w:t>(On Divination) was written between the year 45BC and 44BC. It is likely that much of the first book had been written before the assassination of Caesar, but it was not completed and published until after his death.</w:t>
      </w:r>
      <w:r w:rsidRPr="00DA1682">
        <w:rPr>
          <w:rStyle w:val="FootnoteReference"/>
          <w:rFonts w:ascii="Times New Roman" w:hAnsi="Times New Roman" w:cs="Times New Roman"/>
          <w:sz w:val="24"/>
          <w:szCs w:val="24"/>
        </w:rPr>
        <w:footnoteReference w:id="10"/>
      </w:r>
      <w:r w:rsidRPr="00DA1682">
        <w:rPr>
          <w:rFonts w:ascii="Times New Roman" w:hAnsi="Times New Roman" w:cs="Times New Roman"/>
          <w:sz w:val="24"/>
          <w:szCs w:val="24"/>
        </w:rPr>
        <w:t xml:space="preserve"> Scholars commonly attest that the </w:t>
      </w:r>
      <w:r w:rsidRPr="00DA1682">
        <w:rPr>
          <w:rFonts w:ascii="Times New Roman" w:hAnsi="Times New Roman" w:cs="Times New Roman"/>
          <w:i/>
          <w:iCs/>
          <w:sz w:val="24"/>
          <w:szCs w:val="24"/>
        </w:rPr>
        <w:t xml:space="preserve">De Divinatione </w:t>
      </w:r>
      <w:r w:rsidRPr="00DA1682">
        <w:rPr>
          <w:rFonts w:ascii="Times New Roman" w:hAnsi="Times New Roman" w:cs="Times New Roman"/>
          <w:sz w:val="24"/>
          <w:szCs w:val="24"/>
        </w:rPr>
        <w:t xml:space="preserve"> was written in order to supplement his previous work </w:t>
      </w:r>
      <w:r w:rsidRPr="00DA1682">
        <w:rPr>
          <w:rFonts w:ascii="Times New Roman" w:hAnsi="Times New Roman" w:cs="Times New Roman"/>
          <w:i/>
          <w:iCs/>
          <w:sz w:val="24"/>
          <w:szCs w:val="24"/>
        </w:rPr>
        <w:t xml:space="preserve">De </w:t>
      </w:r>
      <w:proofErr w:type="spellStart"/>
      <w:r w:rsidRPr="00DA1682">
        <w:rPr>
          <w:rFonts w:ascii="Times New Roman" w:hAnsi="Times New Roman" w:cs="Times New Roman"/>
          <w:i/>
          <w:iCs/>
          <w:sz w:val="24"/>
          <w:szCs w:val="24"/>
        </w:rPr>
        <w:t>natura</w:t>
      </w:r>
      <w:proofErr w:type="spellEnd"/>
      <w:r w:rsidRPr="00DA1682">
        <w:rPr>
          <w:rFonts w:ascii="Times New Roman" w:hAnsi="Times New Roman" w:cs="Times New Roman"/>
          <w:i/>
          <w:iCs/>
          <w:sz w:val="24"/>
          <w:szCs w:val="24"/>
        </w:rPr>
        <w:t xml:space="preserve"> </w:t>
      </w:r>
      <w:proofErr w:type="spellStart"/>
      <w:r w:rsidRPr="00DA1682">
        <w:rPr>
          <w:rFonts w:ascii="Times New Roman" w:hAnsi="Times New Roman" w:cs="Times New Roman"/>
          <w:i/>
          <w:iCs/>
          <w:sz w:val="24"/>
          <w:szCs w:val="24"/>
        </w:rPr>
        <w:t>deorum</w:t>
      </w:r>
      <w:proofErr w:type="spellEnd"/>
      <w:r w:rsidRPr="00DA1682">
        <w:rPr>
          <w:rFonts w:ascii="Times New Roman" w:hAnsi="Times New Roman" w:cs="Times New Roman"/>
          <w:i/>
          <w:iCs/>
          <w:sz w:val="24"/>
          <w:szCs w:val="24"/>
        </w:rPr>
        <w:t xml:space="preserve"> </w:t>
      </w:r>
      <w:r w:rsidRPr="00DA1682">
        <w:rPr>
          <w:rFonts w:ascii="Times New Roman" w:hAnsi="Times New Roman" w:cs="Times New Roman"/>
          <w:sz w:val="24"/>
          <w:szCs w:val="24"/>
        </w:rPr>
        <w:t xml:space="preserve">(On the nature of the gods), although </w:t>
      </w:r>
      <w:proofErr w:type="spellStart"/>
      <w:r w:rsidRPr="00DA1682">
        <w:rPr>
          <w:rFonts w:ascii="Times New Roman" w:hAnsi="Times New Roman" w:cs="Times New Roman"/>
          <w:sz w:val="24"/>
          <w:szCs w:val="24"/>
        </w:rPr>
        <w:t>MacKendrick</w:t>
      </w:r>
      <w:proofErr w:type="spellEnd"/>
      <w:r w:rsidRPr="00DA1682">
        <w:rPr>
          <w:rFonts w:ascii="Times New Roman" w:hAnsi="Times New Roman" w:cs="Times New Roman"/>
          <w:sz w:val="24"/>
          <w:szCs w:val="24"/>
        </w:rPr>
        <w:t xml:space="preserve"> </w:t>
      </w:r>
      <w:proofErr w:type="spellStart"/>
      <w:r w:rsidRPr="00DA1682">
        <w:rPr>
          <w:rFonts w:ascii="Times New Roman" w:hAnsi="Times New Roman" w:cs="Times New Roman"/>
          <w:sz w:val="24"/>
          <w:szCs w:val="24"/>
        </w:rPr>
        <w:t>suggets</w:t>
      </w:r>
      <w:proofErr w:type="spellEnd"/>
      <w:r w:rsidRPr="00DA1682">
        <w:rPr>
          <w:rFonts w:ascii="Times New Roman" w:hAnsi="Times New Roman" w:cs="Times New Roman"/>
          <w:sz w:val="24"/>
          <w:szCs w:val="24"/>
        </w:rPr>
        <w:t xml:space="preserve"> that it was Cicero’s intention to write a trilogy of treatises that were “devoted to religious and theological matters”.</w:t>
      </w:r>
      <w:r w:rsidRPr="00DA1682">
        <w:rPr>
          <w:rStyle w:val="FootnoteReference"/>
          <w:rFonts w:ascii="Times New Roman" w:hAnsi="Times New Roman" w:cs="Times New Roman"/>
          <w:sz w:val="24"/>
          <w:szCs w:val="24"/>
        </w:rPr>
        <w:footnoteReference w:id="11"/>
      </w:r>
      <w:r w:rsidRPr="00DA1682">
        <w:rPr>
          <w:rFonts w:ascii="Times New Roman" w:hAnsi="Times New Roman" w:cs="Times New Roman"/>
          <w:sz w:val="24"/>
          <w:szCs w:val="24"/>
        </w:rPr>
        <w:t xml:space="preserve"> First came the </w:t>
      </w:r>
      <w:r w:rsidRPr="00DA1682">
        <w:rPr>
          <w:rFonts w:ascii="Times New Roman" w:hAnsi="Times New Roman" w:cs="Times New Roman"/>
          <w:i/>
          <w:iCs/>
          <w:sz w:val="24"/>
          <w:szCs w:val="24"/>
        </w:rPr>
        <w:t xml:space="preserve">De </w:t>
      </w:r>
      <w:proofErr w:type="spellStart"/>
      <w:r w:rsidRPr="00DA1682">
        <w:rPr>
          <w:rFonts w:ascii="Times New Roman" w:hAnsi="Times New Roman" w:cs="Times New Roman"/>
          <w:i/>
          <w:iCs/>
          <w:sz w:val="24"/>
          <w:szCs w:val="24"/>
        </w:rPr>
        <w:t>natura</w:t>
      </w:r>
      <w:proofErr w:type="spellEnd"/>
      <w:r w:rsidRPr="00DA1682">
        <w:rPr>
          <w:rFonts w:ascii="Times New Roman" w:hAnsi="Times New Roman" w:cs="Times New Roman"/>
          <w:sz w:val="24"/>
          <w:szCs w:val="24"/>
        </w:rPr>
        <w:t xml:space="preserve"> followed by the </w:t>
      </w:r>
      <w:r w:rsidRPr="00DA1682">
        <w:rPr>
          <w:rFonts w:ascii="Times New Roman" w:hAnsi="Times New Roman" w:cs="Times New Roman"/>
          <w:i/>
          <w:iCs/>
          <w:sz w:val="24"/>
          <w:szCs w:val="24"/>
        </w:rPr>
        <w:t>De Divinatione,</w:t>
      </w:r>
      <w:r w:rsidRPr="00DA1682">
        <w:rPr>
          <w:rFonts w:ascii="Times New Roman" w:hAnsi="Times New Roman" w:cs="Times New Roman"/>
          <w:sz w:val="24"/>
          <w:szCs w:val="24"/>
        </w:rPr>
        <w:t xml:space="preserve"> finishing with the </w:t>
      </w:r>
      <w:r w:rsidRPr="00DA1682">
        <w:rPr>
          <w:rFonts w:ascii="Times New Roman" w:hAnsi="Times New Roman" w:cs="Times New Roman"/>
          <w:i/>
          <w:iCs/>
          <w:sz w:val="24"/>
          <w:szCs w:val="24"/>
        </w:rPr>
        <w:t xml:space="preserve">De Fate </w:t>
      </w:r>
      <w:r w:rsidRPr="00DA1682">
        <w:rPr>
          <w:rFonts w:ascii="Times New Roman" w:hAnsi="Times New Roman" w:cs="Times New Roman"/>
          <w:sz w:val="24"/>
          <w:szCs w:val="24"/>
        </w:rPr>
        <w:t>(On Fate), which only survives in partial form and  comprises a discussion on human affairs and the role of fate within them.</w:t>
      </w:r>
      <w:r w:rsidRPr="00DA1682">
        <w:rPr>
          <w:rStyle w:val="FootnoteReference"/>
          <w:rFonts w:ascii="Times New Roman" w:hAnsi="Times New Roman" w:cs="Times New Roman"/>
          <w:sz w:val="24"/>
          <w:szCs w:val="24"/>
        </w:rPr>
        <w:footnoteReference w:id="12"/>
      </w:r>
      <w:r w:rsidRPr="00DA1682">
        <w:rPr>
          <w:rFonts w:ascii="Times New Roman" w:hAnsi="Times New Roman" w:cs="Times New Roman"/>
          <w:sz w:val="24"/>
          <w:szCs w:val="24"/>
        </w:rPr>
        <w:t xml:space="preserve"> </w:t>
      </w:r>
    </w:p>
    <w:p w14:paraId="202AA334"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sz w:val="24"/>
          <w:szCs w:val="24"/>
        </w:rPr>
        <w:t xml:space="preserve">Before proceeding any further, it is imperative to briefly examine the arguments presented in the </w:t>
      </w:r>
      <w:r w:rsidRPr="00DA1682">
        <w:rPr>
          <w:rFonts w:ascii="Times New Roman" w:hAnsi="Times New Roman" w:cs="Times New Roman"/>
          <w:i/>
          <w:iCs/>
          <w:sz w:val="24"/>
          <w:szCs w:val="24"/>
        </w:rPr>
        <w:t>De Divinatione</w:t>
      </w:r>
      <w:r w:rsidRPr="00DA1682">
        <w:rPr>
          <w:rFonts w:ascii="Times New Roman" w:hAnsi="Times New Roman" w:cs="Times New Roman"/>
          <w:sz w:val="24"/>
          <w:szCs w:val="24"/>
        </w:rPr>
        <w:t xml:space="preserve">. The </w:t>
      </w:r>
      <w:r w:rsidRPr="00DA1682">
        <w:rPr>
          <w:rFonts w:ascii="Times New Roman" w:hAnsi="Times New Roman" w:cs="Times New Roman"/>
          <w:i/>
          <w:iCs/>
          <w:sz w:val="24"/>
          <w:szCs w:val="24"/>
        </w:rPr>
        <w:t xml:space="preserve">De Divinatione </w:t>
      </w:r>
      <w:r w:rsidRPr="00DA1682">
        <w:rPr>
          <w:rFonts w:ascii="Times New Roman" w:hAnsi="Times New Roman" w:cs="Times New Roman"/>
          <w:sz w:val="24"/>
          <w:szCs w:val="24"/>
        </w:rPr>
        <w:t xml:space="preserve">was written as a dialogue, a conversation between characters about the validity of divination. What is most intriguing is that the conversation is held between two characters by the names of Quintus and Marcus, Quintus being the real life brother of Cicero, and Marcus being the first name of Cicero himself; so it appears to be a conversation between two real brothers. </w:t>
      </w:r>
      <w:r w:rsidRPr="00DA1682">
        <w:rPr>
          <w:rFonts w:ascii="Times New Roman" w:hAnsi="Times New Roman" w:cs="Times New Roman"/>
          <w:sz w:val="24"/>
          <w:szCs w:val="24"/>
        </w:rPr>
        <w:br/>
        <w:t>During the introduction of Book 1, Cicero appears to the audience as unbiased in his opinion; willing to contemplate both sides of the argument before he makes a final decision regarding on the validity of divination:</w:t>
      </w:r>
    </w:p>
    <w:p w14:paraId="1EC3B764" w14:textId="77777777" w:rsidR="007770A5" w:rsidRPr="00DA1682" w:rsidRDefault="007770A5" w:rsidP="007770A5">
      <w:pPr>
        <w:spacing w:line="276" w:lineRule="auto"/>
        <w:jc w:val="center"/>
        <w:rPr>
          <w:rFonts w:ascii="Times New Roman" w:hAnsi="Times New Roman" w:cs="Times New Roman"/>
          <w:sz w:val="24"/>
          <w:szCs w:val="24"/>
        </w:rPr>
      </w:pPr>
      <w:r w:rsidRPr="00DA1682">
        <w:rPr>
          <w:rFonts w:ascii="Times New Roman" w:hAnsi="Times New Roman" w:cs="Times New Roman"/>
          <w:sz w:val="24"/>
          <w:szCs w:val="24"/>
        </w:rPr>
        <w:t>“Accordingly, since I too, am in doubt as to the proper judgment to be</w:t>
      </w:r>
      <w:r w:rsidRPr="00DA1682">
        <w:rPr>
          <w:rFonts w:ascii="Times New Roman" w:hAnsi="Times New Roman" w:cs="Times New Roman"/>
          <w:sz w:val="24"/>
          <w:szCs w:val="24"/>
        </w:rPr>
        <w:br/>
        <w:t xml:space="preserve">rendered in regard to divination because of the many pointed and </w:t>
      </w:r>
      <w:r w:rsidRPr="00DA1682">
        <w:rPr>
          <w:rFonts w:ascii="Times New Roman" w:hAnsi="Times New Roman" w:cs="Times New Roman"/>
          <w:sz w:val="24"/>
          <w:szCs w:val="24"/>
        </w:rPr>
        <w:br/>
        <w:t xml:space="preserve">exhaustive arguments urged by </w:t>
      </w:r>
      <w:proofErr w:type="spellStart"/>
      <w:r w:rsidRPr="00DA1682">
        <w:rPr>
          <w:rFonts w:ascii="Times New Roman" w:hAnsi="Times New Roman" w:cs="Times New Roman"/>
          <w:sz w:val="24"/>
          <w:szCs w:val="24"/>
        </w:rPr>
        <w:t>Carneades</w:t>
      </w:r>
      <w:proofErr w:type="spellEnd"/>
      <w:r w:rsidRPr="00DA1682">
        <w:rPr>
          <w:rFonts w:ascii="Times New Roman" w:hAnsi="Times New Roman" w:cs="Times New Roman"/>
          <w:sz w:val="24"/>
          <w:szCs w:val="24"/>
        </w:rPr>
        <w:t xml:space="preserve"> against to Stoic view, and since</w:t>
      </w:r>
      <w:r w:rsidRPr="00DA1682">
        <w:rPr>
          <w:rFonts w:ascii="Times New Roman" w:hAnsi="Times New Roman" w:cs="Times New Roman"/>
          <w:sz w:val="24"/>
          <w:szCs w:val="24"/>
        </w:rPr>
        <w:br/>
        <w:t>I am afraid of giving a too hasty assent to a proposition which may turn out</w:t>
      </w:r>
      <w:r w:rsidRPr="00DA1682">
        <w:rPr>
          <w:rFonts w:ascii="Times New Roman" w:hAnsi="Times New Roman" w:cs="Times New Roman"/>
          <w:sz w:val="24"/>
          <w:szCs w:val="24"/>
        </w:rPr>
        <w:br/>
        <w:t>wither false or insufficiently established, I have determined carefully and</w:t>
      </w:r>
      <w:r w:rsidRPr="00DA1682">
        <w:rPr>
          <w:rFonts w:ascii="Times New Roman" w:hAnsi="Times New Roman" w:cs="Times New Roman"/>
          <w:sz w:val="24"/>
          <w:szCs w:val="24"/>
        </w:rPr>
        <w:br/>
        <w:t>persistently to compare argument with argument…For a hasty acceptance of an erroneous</w:t>
      </w:r>
      <w:r w:rsidRPr="00DA1682">
        <w:rPr>
          <w:rFonts w:ascii="Times New Roman" w:hAnsi="Times New Roman" w:cs="Times New Roman"/>
          <w:sz w:val="24"/>
          <w:szCs w:val="24"/>
        </w:rPr>
        <w:br/>
        <w:t>opinion is discreditable in any case, and especially so in an inquiry as to</w:t>
      </w:r>
      <w:r w:rsidRPr="00DA1682">
        <w:rPr>
          <w:rFonts w:ascii="Times New Roman" w:hAnsi="Times New Roman" w:cs="Times New Roman"/>
          <w:sz w:val="24"/>
          <w:szCs w:val="24"/>
        </w:rPr>
        <w:br/>
        <w:t>how much weight should be given to auspices, to sacred rites, and to</w:t>
      </w:r>
      <w:r w:rsidRPr="00DA1682">
        <w:rPr>
          <w:rFonts w:ascii="Times New Roman" w:hAnsi="Times New Roman" w:cs="Times New Roman"/>
          <w:sz w:val="24"/>
          <w:szCs w:val="24"/>
        </w:rPr>
        <w:br/>
        <w:t>religious observances; for we risk to committing a crime against the</w:t>
      </w:r>
      <w:r w:rsidRPr="00DA1682">
        <w:rPr>
          <w:rFonts w:ascii="Times New Roman" w:hAnsi="Times New Roman" w:cs="Times New Roman"/>
          <w:sz w:val="24"/>
          <w:szCs w:val="24"/>
        </w:rPr>
        <w:br/>
        <w:t>gods if we disregard them, or of becoming involved in old women’s</w:t>
      </w:r>
      <w:r w:rsidRPr="00DA1682">
        <w:rPr>
          <w:rFonts w:ascii="Times New Roman" w:hAnsi="Times New Roman" w:cs="Times New Roman"/>
          <w:sz w:val="24"/>
          <w:szCs w:val="24"/>
        </w:rPr>
        <w:br/>
        <w:t>superstition if we approve them.” (</w:t>
      </w:r>
      <w:proofErr w:type="spellStart"/>
      <w:r w:rsidRPr="00DA1682">
        <w:rPr>
          <w:rFonts w:ascii="Times New Roman" w:hAnsi="Times New Roman" w:cs="Times New Roman"/>
          <w:sz w:val="24"/>
          <w:szCs w:val="24"/>
        </w:rPr>
        <w:t>Cic</w:t>
      </w:r>
      <w:proofErr w:type="spellEnd"/>
      <w:r w:rsidRPr="00DA1682">
        <w:rPr>
          <w:rFonts w:ascii="Times New Roman" w:hAnsi="Times New Roman" w:cs="Times New Roman"/>
          <w:sz w:val="24"/>
          <w:szCs w:val="24"/>
        </w:rPr>
        <w:t>. Div. 1.7)</w:t>
      </w:r>
      <w:r w:rsidRPr="00DA1682">
        <w:rPr>
          <w:rFonts w:ascii="Times New Roman" w:hAnsi="Times New Roman" w:cs="Times New Roman"/>
          <w:sz w:val="24"/>
          <w:szCs w:val="24"/>
        </w:rPr>
        <w:br/>
      </w:r>
    </w:p>
    <w:p w14:paraId="555F4554"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sz w:val="24"/>
          <w:szCs w:val="24"/>
        </w:rPr>
        <w:t xml:space="preserve">Many of the arguments presented in favour of divination are based on writings of </w:t>
      </w:r>
      <w:proofErr w:type="spellStart"/>
      <w:r w:rsidRPr="00DA1682">
        <w:rPr>
          <w:rFonts w:ascii="Times New Roman" w:hAnsi="Times New Roman" w:cs="Times New Roman"/>
          <w:sz w:val="24"/>
          <w:szCs w:val="24"/>
        </w:rPr>
        <w:t>Posidonius</w:t>
      </w:r>
      <w:proofErr w:type="spellEnd"/>
      <w:r w:rsidRPr="00DA1682">
        <w:rPr>
          <w:rFonts w:ascii="Times New Roman" w:hAnsi="Times New Roman" w:cs="Times New Roman"/>
          <w:sz w:val="24"/>
          <w:szCs w:val="24"/>
        </w:rPr>
        <w:t xml:space="preserve"> the Stoic.</w:t>
      </w:r>
      <w:r w:rsidRPr="00DA1682">
        <w:rPr>
          <w:rStyle w:val="FootnoteReference"/>
          <w:rFonts w:ascii="Times New Roman" w:hAnsi="Times New Roman" w:cs="Times New Roman"/>
          <w:sz w:val="24"/>
          <w:szCs w:val="24"/>
        </w:rPr>
        <w:footnoteReference w:id="13"/>
      </w:r>
      <w:r w:rsidRPr="00DA1682">
        <w:rPr>
          <w:rFonts w:ascii="Times New Roman" w:hAnsi="Times New Roman" w:cs="Times New Roman"/>
          <w:sz w:val="24"/>
          <w:szCs w:val="24"/>
        </w:rPr>
        <w:t xml:space="preserve"> The character of Quintus then, speaking from the Stoic perspective, begins his defence of divination by asserting that divination and the gods are interdependent truths, then he continues by further stating if a person was to reject the signs of the gods, then they would also be rejecting the gods themselves.</w:t>
      </w:r>
      <w:r w:rsidRPr="00DA1682">
        <w:rPr>
          <w:rStyle w:val="FootnoteReference"/>
          <w:rFonts w:ascii="Times New Roman" w:hAnsi="Times New Roman" w:cs="Times New Roman"/>
          <w:sz w:val="24"/>
          <w:szCs w:val="24"/>
        </w:rPr>
        <w:footnoteReference w:id="14"/>
      </w:r>
      <w:r w:rsidRPr="00DA1682">
        <w:rPr>
          <w:rFonts w:ascii="Times New Roman" w:hAnsi="Times New Roman" w:cs="Times New Roman"/>
          <w:sz w:val="24"/>
          <w:szCs w:val="24"/>
        </w:rPr>
        <w:t xml:space="preserve"> Quintus goes on to gives multiple examples to prove the soundness of divination, emphasising it as an empirical art form.</w:t>
      </w:r>
      <w:r w:rsidRPr="00DA1682">
        <w:rPr>
          <w:rStyle w:val="FootnoteReference"/>
          <w:rFonts w:ascii="Times New Roman" w:hAnsi="Times New Roman" w:cs="Times New Roman"/>
          <w:sz w:val="24"/>
          <w:szCs w:val="24"/>
        </w:rPr>
        <w:footnoteReference w:id="15"/>
      </w:r>
      <w:r w:rsidRPr="00DA1682">
        <w:rPr>
          <w:rFonts w:ascii="Times New Roman" w:hAnsi="Times New Roman" w:cs="Times New Roman"/>
          <w:sz w:val="24"/>
          <w:szCs w:val="24"/>
        </w:rPr>
        <w:t xml:space="preserve"> A large portion of his argument sets in place strong bonds between the art of divination and the workings of fate.</w:t>
      </w:r>
      <w:r w:rsidRPr="00DA1682">
        <w:rPr>
          <w:rStyle w:val="FootnoteReference"/>
          <w:rFonts w:ascii="Times New Roman" w:hAnsi="Times New Roman" w:cs="Times New Roman"/>
          <w:sz w:val="24"/>
          <w:szCs w:val="24"/>
        </w:rPr>
        <w:footnoteReference w:id="16"/>
      </w:r>
      <w:r w:rsidRPr="00DA1682">
        <w:rPr>
          <w:rFonts w:ascii="Times New Roman" w:hAnsi="Times New Roman" w:cs="Times New Roman"/>
          <w:sz w:val="24"/>
          <w:szCs w:val="24"/>
        </w:rPr>
        <w:t xml:space="preserve"> Nearing the end of his piece, Quintus speaks out about those practiced forms of divination which are considered to be the illegitimate. As </w:t>
      </w:r>
      <w:proofErr w:type="spellStart"/>
      <w:r w:rsidRPr="00DA1682">
        <w:rPr>
          <w:rFonts w:ascii="Times New Roman" w:hAnsi="Times New Roman" w:cs="Times New Roman"/>
          <w:sz w:val="24"/>
          <w:szCs w:val="24"/>
        </w:rPr>
        <w:t>Goar</w:t>
      </w:r>
      <w:proofErr w:type="spellEnd"/>
      <w:r w:rsidRPr="00DA1682">
        <w:rPr>
          <w:rFonts w:ascii="Times New Roman" w:hAnsi="Times New Roman" w:cs="Times New Roman"/>
          <w:sz w:val="24"/>
          <w:szCs w:val="24"/>
        </w:rPr>
        <w:t xml:space="preserve"> points out, this clarification of authenticity is utilised to further his goal to express the legitimacy of the state authorised methods of divination, such as augury, haruspicina, and prophecy through dreams.</w:t>
      </w:r>
      <w:r w:rsidRPr="00DA1682">
        <w:rPr>
          <w:rStyle w:val="FootnoteReference"/>
          <w:rFonts w:ascii="Times New Roman" w:hAnsi="Times New Roman" w:cs="Times New Roman"/>
          <w:sz w:val="24"/>
          <w:szCs w:val="24"/>
        </w:rPr>
        <w:footnoteReference w:id="17"/>
      </w:r>
      <w:r w:rsidRPr="00DA1682">
        <w:rPr>
          <w:rFonts w:ascii="Times New Roman" w:hAnsi="Times New Roman" w:cs="Times New Roman"/>
          <w:sz w:val="24"/>
          <w:szCs w:val="24"/>
        </w:rPr>
        <w:t xml:space="preserve"> </w:t>
      </w:r>
    </w:p>
    <w:p w14:paraId="42F384BA"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sz w:val="24"/>
          <w:szCs w:val="24"/>
        </w:rPr>
        <w:t>Book 2 centres around Marcus’ arguments against divination, it appears that he is trying to discredit the practice of divination in its entirety rather than simply questioning it.</w:t>
      </w:r>
      <w:r w:rsidRPr="00DA1682">
        <w:rPr>
          <w:rStyle w:val="FootnoteReference"/>
          <w:rFonts w:ascii="Times New Roman" w:hAnsi="Times New Roman" w:cs="Times New Roman"/>
          <w:sz w:val="24"/>
          <w:szCs w:val="24"/>
        </w:rPr>
        <w:footnoteReference w:id="18"/>
      </w:r>
      <w:r w:rsidRPr="00DA1682">
        <w:rPr>
          <w:rFonts w:ascii="Times New Roman" w:hAnsi="Times New Roman" w:cs="Times New Roman"/>
          <w:sz w:val="24"/>
          <w:szCs w:val="24"/>
        </w:rPr>
        <w:t xml:space="preserve"> His argument against the binding of divination and fate is particularly convincing. This asserts that divination is rendered useless if fate exists, because what is fated to happen must happen regardless of the warnings given through the art of divination (</w:t>
      </w:r>
      <w:proofErr w:type="spellStart"/>
      <w:r w:rsidRPr="00DA1682">
        <w:rPr>
          <w:rFonts w:ascii="Times New Roman" w:hAnsi="Times New Roman" w:cs="Times New Roman"/>
          <w:sz w:val="24"/>
          <w:szCs w:val="24"/>
        </w:rPr>
        <w:t>Cic</w:t>
      </w:r>
      <w:proofErr w:type="spellEnd"/>
      <w:r w:rsidRPr="00DA1682">
        <w:rPr>
          <w:rFonts w:ascii="Times New Roman" w:hAnsi="Times New Roman" w:cs="Times New Roman"/>
          <w:sz w:val="24"/>
          <w:szCs w:val="24"/>
        </w:rPr>
        <w:t xml:space="preserve">. </w:t>
      </w:r>
      <w:r w:rsidRPr="00DA1682">
        <w:rPr>
          <w:rFonts w:ascii="Times New Roman" w:hAnsi="Times New Roman" w:cs="Times New Roman"/>
          <w:i/>
          <w:iCs/>
          <w:sz w:val="24"/>
          <w:szCs w:val="24"/>
        </w:rPr>
        <w:t xml:space="preserve">Div. </w:t>
      </w:r>
      <w:r w:rsidRPr="00DA1682">
        <w:rPr>
          <w:rFonts w:ascii="Times New Roman" w:hAnsi="Times New Roman" w:cs="Times New Roman"/>
          <w:sz w:val="24"/>
          <w:szCs w:val="24"/>
        </w:rPr>
        <w:t xml:space="preserve">2.19).  Book 2 continues with Marcus attempting to disprove those other forms of divination accepted by the Roman state, such as </w:t>
      </w:r>
      <w:r w:rsidRPr="00DA1682">
        <w:rPr>
          <w:rFonts w:ascii="Times New Roman" w:hAnsi="Times New Roman" w:cs="Times New Roman"/>
          <w:i/>
          <w:iCs/>
          <w:sz w:val="24"/>
          <w:szCs w:val="24"/>
        </w:rPr>
        <w:t>haruspicina</w:t>
      </w:r>
      <w:r w:rsidRPr="00DA1682">
        <w:rPr>
          <w:rFonts w:ascii="Times New Roman" w:hAnsi="Times New Roman" w:cs="Times New Roman"/>
          <w:sz w:val="24"/>
          <w:szCs w:val="24"/>
        </w:rPr>
        <w:t xml:space="preserve"> (the reading of animal entrails), </w:t>
      </w:r>
      <w:proofErr w:type="spellStart"/>
      <w:r w:rsidRPr="00DA1682">
        <w:rPr>
          <w:rFonts w:ascii="Times New Roman" w:hAnsi="Times New Roman" w:cs="Times New Roman"/>
          <w:i/>
          <w:iCs/>
          <w:sz w:val="24"/>
          <w:szCs w:val="24"/>
        </w:rPr>
        <w:t>haruspicum</w:t>
      </w:r>
      <w:proofErr w:type="spellEnd"/>
      <w:r w:rsidRPr="00DA1682">
        <w:rPr>
          <w:rFonts w:ascii="Times New Roman" w:hAnsi="Times New Roman" w:cs="Times New Roman"/>
          <w:i/>
          <w:iCs/>
          <w:sz w:val="24"/>
          <w:szCs w:val="24"/>
        </w:rPr>
        <w:t xml:space="preserve"> responsa </w:t>
      </w:r>
      <w:r w:rsidRPr="00DA1682">
        <w:rPr>
          <w:rFonts w:ascii="Times New Roman" w:hAnsi="Times New Roman" w:cs="Times New Roman"/>
          <w:sz w:val="24"/>
          <w:szCs w:val="24"/>
        </w:rPr>
        <w:t>(concerning lightning), augury, and divination through oracles and dreams.</w:t>
      </w:r>
      <w:r w:rsidRPr="00DA1682">
        <w:rPr>
          <w:rFonts w:ascii="Times New Roman" w:hAnsi="Times New Roman" w:cs="Times New Roman"/>
          <w:sz w:val="24"/>
          <w:szCs w:val="24"/>
        </w:rPr>
        <w:br/>
      </w:r>
    </w:p>
    <w:p w14:paraId="1337ABEA"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b/>
          <w:bCs/>
          <w:sz w:val="24"/>
          <w:szCs w:val="24"/>
        </w:rPr>
        <w:t>Context:</w:t>
      </w:r>
      <w:r w:rsidRPr="00DA1682">
        <w:rPr>
          <w:rFonts w:ascii="Times New Roman" w:hAnsi="Times New Roman" w:cs="Times New Roman"/>
          <w:b/>
          <w:bCs/>
          <w:sz w:val="24"/>
          <w:szCs w:val="24"/>
        </w:rPr>
        <w:br/>
      </w:r>
      <w:r w:rsidRPr="00DA1682">
        <w:rPr>
          <w:rFonts w:ascii="Times New Roman" w:hAnsi="Times New Roman" w:cs="Times New Roman"/>
          <w:sz w:val="24"/>
          <w:szCs w:val="24"/>
        </w:rPr>
        <w:t>During the era of the late Roman Republic divination was a particularly important part of the not only the Roman religion but also it was one of the major institutions of political life.</w:t>
      </w:r>
      <w:r w:rsidRPr="00DA1682">
        <w:rPr>
          <w:rStyle w:val="FootnoteReference"/>
          <w:rFonts w:ascii="Times New Roman" w:hAnsi="Times New Roman" w:cs="Times New Roman"/>
          <w:sz w:val="24"/>
          <w:szCs w:val="24"/>
        </w:rPr>
        <w:footnoteReference w:id="19"/>
      </w:r>
      <w:r w:rsidRPr="00DA1682">
        <w:rPr>
          <w:rFonts w:ascii="Times New Roman" w:hAnsi="Times New Roman" w:cs="Times New Roman"/>
          <w:sz w:val="24"/>
          <w:szCs w:val="24"/>
        </w:rPr>
        <w:t xml:space="preserve"> According to Schofield, divination is one of the most written about parts of religion during this time period, and Cicero was not the only one to write about it.</w:t>
      </w:r>
      <w:r w:rsidRPr="00DA1682">
        <w:rPr>
          <w:rStyle w:val="FootnoteReference"/>
          <w:rFonts w:ascii="Times New Roman" w:hAnsi="Times New Roman" w:cs="Times New Roman"/>
          <w:sz w:val="24"/>
          <w:szCs w:val="24"/>
        </w:rPr>
        <w:footnoteReference w:id="20"/>
      </w:r>
      <w:r w:rsidRPr="00DA1682">
        <w:rPr>
          <w:rFonts w:ascii="Times New Roman" w:hAnsi="Times New Roman" w:cs="Times New Roman"/>
          <w:sz w:val="24"/>
          <w:szCs w:val="24"/>
        </w:rPr>
        <w:t xml:space="preserve"> </w:t>
      </w:r>
      <w:bookmarkStart w:id="4" w:name="_Hlk11508430"/>
      <w:r w:rsidRPr="00DA1682">
        <w:rPr>
          <w:rFonts w:ascii="Times New Roman" w:hAnsi="Times New Roman" w:cs="Times New Roman"/>
          <w:sz w:val="24"/>
          <w:szCs w:val="24"/>
        </w:rPr>
        <w:t xml:space="preserve">For example works by M. Terentius Varro, </w:t>
      </w:r>
      <w:proofErr w:type="spellStart"/>
      <w:r w:rsidRPr="00DA1682">
        <w:rPr>
          <w:rFonts w:ascii="Times New Roman" w:hAnsi="Times New Roman" w:cs="Times New Roman"/>
          <w:sz w:val="24"/>
          <w:szCs w:val="24"/>
        </w:rPr>
        <w:t>Nigidius</w:t>
      </w:r>
      <w:proofErr w:type="spellEnd"/>
      <w:r w:rsidRPr="00DA1682">
        <w:rPr>
          <w:rFonts w:ascii="Times New Roman" w:hAnsi="Times New Roman" w:cs="Times New Roman"/>
          <w:sz w:val="24"/>
          <w:szCs w:val="24"/>
        </w:rPr>
        <w:t xml:space="preserve"> </w:t>
      </w:r>
      <w:proofErr w:type="spellStart"/>
      <w:r w:rsidRPr="00DA1682">
        <w:rPr>
          <w:rFonts w:ascii="Times New Roman" w:hAnsi="Times New Roman" w:cs="Times New Roman"/>
          <w:sz w:val="24"/>
          <w:szCs w:val="24"/>
        </w:rPr>
        <w:t>Figulus</w:t>
      </w:r>
      <w:proofErr w:type="spellEnd"/>
      <w:r w:rsidRPr="00DA1682">
        <w:rPr>
          <w:rFonts w:ascii="Times New Roman" w:hAnsi="Times New Roman" w:cs="Times New Roman"/>
          <w:sz w:val="24"/>
          <w:szCs w:val="24"/>
        </w:rPr>
        <w:t xml:space="preserve">, </w:t>
      </w:r>
      <w:proofErr w:type="spellStart"/>
      <w:r w:rsidRPr="00DA1682">
        <w:rPr>
          <w:rFonts w:ascii="Times New Roman" w:hAnsi="Times New Roman" w:cs="Times New Roman"/>
          <w:sz w:val="24"/>
          <w:szCs w:val="24"/>
        </w:rPr>
        <w:t>Posidonius</w:t>
      </w:r>
      <w:proofErr w:type="spellEnd"/>
      <w:r w:rsidRPr="00DA1682">
        <w:rPr>
          <w:rFonts w:ascii="Times New Roman" w:hAnsi="Times New Roman" w:cs="Times New Roman"/>
          <w:sz w:val="24"/>
          <w:szCs w:val="24"/>
        </w:rPr>
        <w:t xml:space="preserve"> and </w:t>
      </w:r>
      <w:proofErr w:type="spellStart"/>
      <w:r w:rsidRPr="00DA1682">
        <w:rPr>
          <w:rFonts w:ascii="Times New Roman" w:hAnsi="Times New Roman" w:cs="Times New Roman"/>
          <w:sz w:val="24"/>
          <w:szCs w:val="24"/>
        </w:rPr>
        <w:t>Panaetious</w:t>
      </w:r>
      <w:proofErr w:type="spellEnd"/>
      <w:r w:rsidRPr="00DA1682">
        <w:rPr>
          <w:rFonts w:ascii="Times New Roman" w:hAnsi="Times New Roman" w:cs="Times New Roman"/>
          <w:sz w:val="24"/>
          <w:szCs w:val="24"/>
        </w:rPr>
        <w:t xml:space="preserve"> also address this subject.</w:t>
      </w:r>
      <w:r w:rsidRPr="00DA1682">
        <w:rPr>
          <w:rStyle w:val="FootnoteReference"/>
          <w:rFonts w:ascii="Times New Roman" w:hAnsi="Times New Roman" w:cs="Times New Roman"/>
          <w:sz w:val="24"/>
          <w:szCs w:val="24"/>
        </w:rPr>
        <w:footnoteReference w:id="21"/>
      </w:r>
      <w:r w:rsidRPr="00DA1682">
        <w:rPr>
          <w:rFonts w:ascii="Times New Roman" w:hAnsi="Times New Roman" w:cs="Times New Roman"/>
          <w:sz w:val="24"/>
          <w:szCs w:val="24"/>
        </w:rPr>
        <w:t xml:space="preserve"> </w:t>
      </w:r>
    </w:p>
    <w:p w14:paraId="59CAE967"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sz w:val="24"/>
          <w:szCs w:val="24"/>
        </w:rPr>
        <w:t xml:space="preserve">Interestingly, Cicero’s scepticism concerning divination, as shown in </w:t>
      </w:r>
      <w:r w:rsidRPr="00DA1682">
        <w:rPr>
          <w:rFonts w:ascii="Times New Roman" w:hAnsi="Times New Roman" w:cs="Times New Roman"/>
          <w:i/>
          <w:iCs/>
          <w:sz w:val="24"/>
          <w:szCs w:val="24"/>
        </w:rPr>
        <w:t>De Divinatione,</w:t>
      </w:r>
      <w:r w:rsidRPr="00DA1682">
        <w:rPr>
          <w:rFonts w:ascii="Times New Roman" w:hAnsi="Times New Roman" w:cs="Times New Roman"/>
          <w:sz w:val="24"/>
          <w:szCs w:val="24"/>
        </w:rPr>
        <w:t xml:space="preserve"> is glaringly absent from his previous writings, such as his work </w:t>
      </w:r>
      <w:r w:rsidRPr="00DA1682">
        <w:rPr>
          <w:rFonts w:ascii="Times New Roman" w:hAnsi="Times New Roman" w:cs="Times New Roman"/>
          <w:i/>
          <w:iCs/>
          <w:sz w:val="24"/>
          <w:szCs w:val="24"/>
        </w:rPr>
        <w:t xml:space="preserve">De </w:t>
      </w:r>
      <w:proofErr w:type="spellStart"/>
      <w:r w:rsidRPr="00DA1682">
        <w:rPr>
          <w:rFonts w:ascii="Times New Roman" w:hAnsi="Times New Roman" w:cs="Times New Roman"/>
          <w:i/>
          <w:iCs/>
          <w:sz w:val="24"/>
          <w:szCs w:val="24"/>
        </w:rPr>
        <w:t>Legibus</w:t>
      </w:r>
      <w:proofErr w:type="spellEnd"/>
      <w:r w:rsidRPr="00DA1682">
        <w:rPr>
          <w:rFonts w:ascii="Times New Roman" w:hAnsi="Times New Roman" w:cs="Times New Roman"/>
          <w:i/>
          <w:iCs/>
          <w:sz w:val="24"/>
          <w:szCs w:val="24"/>
        </w:rPr>
        <w:t xml:space="preserve">, </w:t>
      </w:r>
      <w:r w:rsidRPr="00DA1682">
        <w:rPr>
          <w:rFonts w:ascii="Times New Roman" w:hAnsi="Times New Roman" w:cs="Times New Roman"/>
          <w:sz w:val="24"/>
          <w:szCs w:val="24"/>
        </w:rPr>
        <w:t>in which he supports Rome’s traditional religious practices, including augury.</w:t>
      </w:r>
      <w:r w:rsidRPr="00DA1682">
        <w:rPr>
          <w:rStyle w:val="FootnoteReference"/>
          <w:rFonts w:ascii="Times New Roman" w:hAnsi="Times New Roman" w:cs="Times New Roman"/>
          <w:sz w:val="24"/>
          <w:szCs w:val="24"/>
        </w:rPr>
        <w:footnoteReference w:id="22"/>
      </w:r>
      <w:r w:rsidRPr="00DA1682">
        <w:rPr>
          <w:rFonts w:ascii="Times New Roman" w:hAnsi="Times New Roman" w:cs="Times New Roman"/>
          <w:sz w:val="24"/>
          <w:szCs w:val="24"/>
        </w:rPr>
        <w:t xml:space="preserve"> As Beard points out very little scholarly deliberation is evident regarding the subject of Cicero’s contradicting views, as many scholars have concluded the </w:t>
      </w:r>
      <w:r w:rsidRPr="00DA1682">
        <w:rPr>
          <w:rFonts w:ascii="Times New Roman" w:hAnsi="Times New Roman" w:cs="Times New Roman"/>
          <w:i/>
          <w:iCs/>
          <w:sz w:val="24"/>
          <w:szCs w:val="24"/>
        </w:rPr>
        <w:t>De Divinatione</w:t>
      </w:r>
      <w:r w:rsidRPr="00DA1682">
        <w:rPr>
          <w:rFonts w:ascii="Times New Roman" w:hAnsi="Times New Roman" w:cs="Times New Roman"/>
          <w:sz w:val="24"/>
          <w:szCs w:val="24"/>
        </w:rPr>
        <w:t xml:space="preserve"> as Cicero’s real thoughts on divination. Alternatively, scholars may consider that the </w:t>
      </w:r>
      <w:r w:rsidRPr="00DA1682">
        <w:rPr>
          <w:rFonts w:ascii="Times New Roman" w:hAnsi="Times New Roman" w:cs="Times New Roman"/>
          <w:i/>
          <w:iCs/>
          <w:sz w:val="24"/>
          <w:szCs w:val="24"/>
        </w:rPr>
        <w:t xml:space="preserve">De Natura </w:t>
      </w:r>
      <w:proofErr w:type="spellStart"/>
      <w:r w:rsidRPr="00DA1682">
        <w:rPr>
          <w:rFonts w:ascii="Times New Roman" w:hAnsi="Times New Roman" w:cs="Times New Roman"/>
          <w:i/>
          <w:iCs/>
          <w:sz w:val="24"/>
          <w:szCs w:val="24"/>
        </w:rPr>
        <w:t>Deorum</w:t>
      </w:r>
      <w:proofErr w:type="spellEnd"/>
      <w:r w:rsidRPr="00DA1682">
        <w:rPr>
          <w:rFonts w:ascii="Times New Roman" w:hAnsi="Times New Roman" w:cs="Times New Roman"/>
          <w:i/>
          <w:iCs/>
          <w:sz w:val="24"/>
          <w:szCs w:val="24"/>
        </w:rPr>
        <w:t xml:space="preserve"> </w:t>
      </w:r>
      <w:r w:rsidRPr="00DA1682">
        <w:rPr>
          <w:rFonts w:ascii="Times New Roman" w:hAnsi="Times New Roman" w:cs="Times New Roman"/>
          <w:sz w:val="24"/>
          <w:szCs w:val="24"/>
        </w:rPr>
        <w:t xml:space="preserve">and </w:t>
      </w:r>
      <w:r w:rsidRPr="00DA1682">
        <w:rPr>
          <w:rFonts w:ascii="Times New Roman" w:hAnsi="Times New Roman" w:cs="Times New Roman"/>
          <w:i/>
          <w:iCs/>
          <w:sz w:val="24"/>
          <w:szCs w:val="24"/>
        </w:rPr>
        <w:t xml:space="preserve">De Divinatione </w:t>
      </w:r>
      <w:r w:rsidRPr="00DA1682">
        <w:rPr>
          <w:rFonts w:ascii="Times New Roman" w:hAnsi="Times New Roman" w:cs="Times New Roman"/>
          <w:sz w:val="24"/>
          <w:szCs w:val="24"/>
        </w:rPr>
        <w:t>simply represents a shift in his religious beliefs.</w:t>
      </w:r>
      <w:r w:rsidRPr="00DA1682">
        <w:rPr>
          <w:rStyle w:val="FootnoteReference"/>
          <w:rFonts w:ascii="Times New Roman" w:hAnsi="Times New Roman" w:cs="Times New Roman"/>
          <w:sz w:val="24"/>
          <w:szCs w:val="24"/>
        </w:rPr>
        <w:footnoteReference w:id="23"/>
      </w:r>
      <w:r w:rsidRPr="00DA1682">
        <w:rPr>
          <w:rFonts w:ascii="Times New Roman" w:hAnsi="Times New Roman" w:cs="Times New Roman"/>
          <w:sz w:val="24"/>
          <w:szCs w:val="24"/>
        </w:rPr>
        <w:t xml:space="preserve"> </w:t>
      </w:r>
      <w:bookmarkStart w:id="7" w:name="_Hlk11510704"/>
      <w:proofErr w:type="spellStart"/>
      <w:r w:rsidRPr="00DA1682">
        <w:rPr>
          <w:rFonts w:ascii="Times New Roman" w:hAnsi="Times New Roman" w:cs="Times New Roman"/>
          <w:sz w:val="24"/>
          <w:szCs w:val="24"/>
        </w:rPr>
        <w:t>Linderski</w:t>
      </w:r>
      <w:proofErr w:type="spellEnd"/>
      <w:r w:rsidRPr="00DA1682">
        <w:rPr>
          <w:rFonts w:ascii="Times New Roman" w:hAnsi="Times New Roman" w:cs="Times New Roman"/>
          <w:sz w:val="24"/>
          <w:szCs w:val="24"/>
        </w:rPr>
        <w:t xml:space="preserve"> suggests that this shift in religious scepticism was due to the intensification of Caesar’s increasing exploitation and stranglehold on religion.</w:t>
      </w:r>
      <w:r w:rsidRPr="00DA1682">
        <w:rPr>
          <w:rStyle w:val="FootnoteReference"/>
          <w:rFonts w:ascii="Times New Roman" w:hAnsi="Times New Roman" w:cs="Times New Roman"/>
          <w:sz w:val="24"/>
          <w:szCs w:val="24"/>
        </w:rPr>
        <w:footnoteReference w:id="24"/>
      </w:r>
      <w:bookmarkEnd w:id="7"/>
      <w:r w:rsidRPr="00DA1682">
        <w:rPr>
          <w:rFonts w:ascii="Times New Roman" w:hAnsi="Times New Roman" w:cs="Times New Roman"/>
          <w:sz w:val="24"/>
          <w:szCs w:val="24"/>
        </w:rPr>
        <w:t xml:space="preserve"> </w:t>
      </w:r>
      <w:bookmarkStart w:id="9" w:name="_Hlk11510863"/>
      <w:r w:rsidRPr="00DA1682">
        <w:rPr>
          <w:rFonts w:ascii="Times New Roman" w:hAnsi="Times New Roman" w:cs="Times New Roman"/>
          <w:sz w:val="24"/>
          <w:szCs w:val="24"/>
        </w:rPr>
        <w:t>This debate remains subject to the scholar’s own interpretation when questioning whether or not Cicero was expressing his own opinions when writing the text or where he was simply writing about a topic common to the period, as the reader must take into account that perhaps the character of Marcus is not an accurate depiction of Cicero’s true beliefs</w:t>
      </w:r>
      <w:bookmarkEnd w:id="0"/>
      <w:bookmarkEnd w:id="2"/>
      <w:bookmarkEnd w:id="4"/>
      <w:bookmarkEnd w:id="9"/>
      <w:r w:rsidRPr="00DA1682">
        <w:rPr>
          <w:rFonts w:ascii="Times New Roman" w:hAnsi="Times New Roman" w:cs="Times New Roman"/>
          <w:sz w:val="24"/>
          <w:szCs w:val="24"/>
        </w:rPr>
        <w:t xml:space="preserve">. By the end of the dialogue between the characters in the </w:t>
      </w:r>
      <w:r w:rsidRPr="00DA1682">
        <w:rPr>
          <w:rFonts w:ascii="Times New Roman" w:hAnsi="Times New Roman" w:cs="Times New Roman"/>
          <w:i/>
          <w:iCs/>
          <w:sz w:val="24"/>
          <w:szCs w:val="24"/>
        </w:rPr>
        <w:t xml:space="preserve">De Divinatione, </w:t>
      </w:r>
      <w:r w:rsidRPr="00DA1682">
        <w:rPr>
          <w:rFonts w:ascii="Times New Roman" w:hAnsi="Times New Roman" w:cs="Times New Roman"/>
          <w:sz w:val="24"/>
          <w:szCs w:val="24"/>
        </w:rPr>
        <w:t>a conclusion appears to have been reached regarding the validity of divination, which is to leave it open to interpretation of the reader.</w:t>
      </w:r>
    </w:p>
    <w:p w14:paraId="5868F380" w14:textId="77777777" w:rsidR="007770A5" w:rsidRPr="00DA1682" w:rsidRDefault="007770A5" w:rsidP="007770A5">
      <w:pPr>
        <w:spacing w:line="480" w:lineRule="auto"/>
        <w:rPr>
          <w:rFonts w:ascii="Times New Roman" w:hAnsi="Times New Roman" w:cs="Times New Roman"/>
          <w:sz w:val="24"/>
          <w:szCs w:val="24"/>
        </w:rPr>
      </w:pPr>
      <w:r w:rsidRPr="00DA1682">
        <w:rPr>
          <w:rFonts w:ascii="Times New Roman" w:hAnsi="Times New Roman" w:cs="Times New Roman"/>
          <w:b/>
          <w:bCs/>
          <w:sz w:val="24"/>
          <w:szCs w:val="24"/>
        </w:rPr>
        <w:t>Conclusion:</w:t>
      </w:r>
      <w:r w:rsidRPr="00DA1682">
        <w:rPr>
          <w:rFonts w:ascii="Times New Roman" w:hAnsi="Times New Roman" w:cs="Times New Roman"/>
          <w:b/>
          <w:bCs/>
          <w:sz w:val="24"/>
          <w:szCs w:val="24"/>
        </w:rPr>
        <w:br/>
      </w:r>
      <w:r w:rsidRPr="00DA1682">
        <w:rPr>
          <w:rFonts w:ascii="Times New Roman" w:hAnsi="Times New Roman" w:cs="Times New Roman"/>
          <w:sz w:val="24"/>
          <w:szCs w:val="24"/>
        </w:rPr>
        <w:t xml:space="preserve">It seems important to call into question the reliability of Cicero as a historical source for the Late Republic period of Rome. In this regard, the work of </w:t>
      </w:r>
      <w:proofErr w:type="spellStart"/>
      <w:r w:rsidRPr="00DA1682">
        <w:rPr>
          <w:rFonts w:ascii="Times New Roman" w:hAnsi="Times New Roman" w:cs="Times New Roman"/>
          <w:sz w:val="24"/>
          <w:szCs w:val="24"/>
        </w:rPr>
        <w:t>Stanangelo</w:t>
      </w:r>
      <w:proofErr w:type="spellEnd"/>
      <w:r w:rsidRPr="00DA1682">
        <w:rPr>
          <w:rFonts w:ascii="Times New Roman" w:hAnsi="Times New Roman" w:cs="Times New Roman"/>
          <w:sz w:val="24"/>
          <w:szCs w:val="24"/>
        </w:rPr>
        <w:t xml:space="preserve"> is most persuasive, as although his work may not reveal to modern scholars much about Roman religion during the Late Republic, it does give an idea of who was in control of religious practices.</w:t>
      </w:r>
      <w:r w:rsidRPr="00DA1682">
        <w:rPr>
          <w:rStyle w:val="FootnoteReference"/>
          <w:rFonts w:ascii="Times New Roman" w:hAnsi="Times New Roman" w:cs="Times New Roman"/>
          <w:sz w:val="24"/>
          <w:szCs w:val="24"/>
        </w:rPr>
        <w:footnoteReference w:id="25"/>
      </w:r>
      <w:r w:rsidRPr="00DA1682">
        <w:rPr>
          <w:rFonts w:ascii="Times New Roman" w:hAnsi="Times New Roman" w:cs="Times New Roman"/>
          <w:sz w:val="24"/>
          <w:szCs w:val="24"/>
        </w:rPr>
        <w:t xml:space="preserve"> Nevertheless, as divination was a crucial part of Roman religion, and because it is of historical significance, Cicero cannot be disregarded as a beneficial historical source for this time period. </w:t>
      </w:r>
    </w:p>
    <w:p w14:paraId="4D526298" w14:textId="77777777" w:rsidR="007770A5" w:rsidRDefault="007770A5" w:rsidP="007770A5">
      <w:pPr>
        <w:spacing w:line="480" w:lineRule="auto"/>
      </w:pPr>
    </w:p>
    <w:p w14:paraId="6C9D4D0A" w14:textId="77777777" w:rsidR="007770A5" w:rsidRDefault="007770A5" w:rsidP="007770A5">
      <w:pPr>
        <w:spacing w:line="480" w:lineRule="auto"/>
      </w:pPr>
    </w:p>
    <w:p w14:paraId="69A16115" w14:textId="77777777" w:rsidR="007770A5" w:rsidRDefault="007770A5" w:rsidP="007770A5">
      <w:pPr>
        <w:spacing w:line="480" w:lineRule="auto"/>
      </w:pPr>
    </w:p>
    <w:p w14:paraId="6F16448F" w14:textId="77777777" w:rsidR="007770A5" w:rsidRDefault="007770A5" w:rsidP="007770A5">
      <w:pPr>
        <w:spacing w:line="480" w:lineRule="auto"/>
      </w:pPr>
    </w:p>
    <w:p w14:paraId="44510B4C" w14:textId="77777777" w:rsidR="007770A5" w:rsidRDefault="007770A5" w:rsidP="007770A5">
      <w:pPr>
        <w:spacing w:line="480" w:lineRule="auto"/>
      </w:pPr>
    </w:p>
    <w:p w14:paraId="742B4B6E" w14:textId="77777777" w:rsidR="007770A5" w:rsidRDefault="007770A5" w:rsidP="007770A5">
      <w:pPr>
        <w:spacing w:line="480" w:lineRule="auto"/>
      </w:pPr>
    </w:p>
    <w:p w14:paraId="194D9E6C" w14:textId="77777777" w:rsidR="007770A5" w:rsidRDefault="007770A5" w:rsidP="007770A5">
      <w:pPr>
        <w:spacing w:line="480" w:lineRule="auto"/>
      </w:pPr>
    </w:p>
    <w:p w14:paraId="51C35B24" w14:textId="77777777" w:rsidR="007770A5" w:rsidRDefault="007770A5" w:rsidP="007770A5">
      <w:pPr>
        <w:spacing w:line="480" w:lineRule="auto"/>
      </w:pPr>
    </w:p>
    <w:p w14:paraId="4E8C5FF9" w14:textId="77777777" w:rsidR="007770A5" w:rsidRDefault="007770A5" w:rsidP="007770A5">
      <w:pPr>
        <w:spacing w:line="480" w:lineRule="auto"/>
      </w:pPr>
    </w:p>
    <w:p w14:paraId="7A4AC2DF" w14:textId="77777777" w:rsidR="007770A5" w:rsidRDefault="007770A5" w:rsidP="007770A5">
      <w:pPr>
        <w:spacing w:line="480" w:lineRule="auto"/>
      </w:pPr>
    </w:p>
    <w:p w14:paraId="7B0E19D2" w14:textId="4D85047E" w:rsidR="007770A5" w:rsidRDefault="007770A5" w:rsidP="007770A5">
      <w:pPr>
        <w:spacing w:line="480" w:lineRule="auto"/>
      </w:pPr>
    </w:p>
    <w:p w14:paraId="030A3037" w14:textId="38E86AAC" w:rsidR="001C3DC4" w:rsidRDefault="001C3DC4" w:rsidP="007770A5">
      <w:pPr>
        <w:spacing w:line="480" w:lineRule="auto"/>
      </w:pPr>
    </w:p>
    <w:p w14:paraId="47512745" w14:textId="77777777" w:rsidR="001C3DC4" w:rsidRDefault="001C3DC4" w:rsidP="007770A5">
      <w:pPr>
        <w:spacing w:line="480" w:lineRule="auto"/>
      </w:pPr>
      <w:bookmarkStart w:id="10" w:name="_GoBack"/>
      <w:bookmarkEnd w:id="10"/>
    </w:p>
    <w:p w14:paraId="67018FE3" w14:textId="77777777" w:rsidR="007770A5" w:rsidRDefault="007770A5" w:rsidP="007770A5">
      <w:pPr>
        <w:spacing w:line="480" w:lineRule="auto"/>
        <w:rPr>
          <w:rFonts w:ascii="Times New Roman" w:hAnsi="Times New Roman" w:cs="Times New Roman"/>
          <w:sz w:val="24"/>
          <w:szCs w:val="24"/>
        </w:rPr>
      </w:pPr>
    </w:p>
    <w:bookmarkEnd w:id="1"/>
    <w:p w14:paraId="41F9E862" w14:textId="77777777" w:rsidR="007770A5" w:rsidRDefault="007770A5" w:rsidP="007770A5">
      <w:pPr>
        <w:pStyle w:val="NormalWeb"/>
        <w:spacing w:before="0" w:beforeAutospacing="0" w:after="0" w:afterAutospacing="0"/>
        <w:ind w:right="-334"/>
        <w:rPr>
          <w:rFonts w:ascii="Times New Roman" w:hAnsi="Times New Roman"/>
          <w:b/>
          <w:bCs/>
          <w:sz w:val="24"/>
          <w:szCs w:val="24"/>
        </w:rPr>
      </w:pPr>
      <w:r>
        <w:rPr>
          <w:rFonts w:ascii="Times New Roman" w:hAnsi="Times New Roman"/>
          <w:b/>
          <w:bCs/>
          <w:sz w:val="24"/>
          <w:szCs w:val="24"/>
        </w:rPr>
        <w:t>Bibliography:</w:t>
      </w:r>
    </w:p>
    <w:p w14:paraId="2B54C72D" w14:textId="77777777" w:rsidR="007770A5" w:rsidRDefault="007770A5" w:rsidP="007770A5">
      <w:pPr>
        <w:pStyle w:val="NormalWeb"/>
        <w:spacing w:before="0" w:beforeAutospacing="0" w:after="0" w:afterAutospacing="0"/>
        <w:ind w:right="-334"/>
        <w:rPr>
          <w:rFonts w:ascii="Times New Roman" w:hAnsi="Times New Roman"/>
          <w:b/>
          <w:bCs/>
          <w:sz w:val="24"/>
          <w:szCs w:val="24"/>
        </w:rPr>
      </w:pPr>
    </w:p>
    <w:p w14:paraId="6E69DF70" w14:textId="77777777" w:rsidR="007770A5" w:rsidRDefault="007770A5" w:rsidP="007770A5">
      <w:pPr>
        <w:pStyle w:val="NormalWeb"/>
        <w:spacing w:before="0" w:beforeAutospacing="0" w:after="0" w:afterAutospacing="0" w:line="276" w:lineRule="auto"/>
        <w:ind w:right="-334"/>
        <w:rPr>
          <w:rFonts w:ascii="Times New Roman" w:hAnsi="Times New Roman"/>
          <w:sz w:val="24"/>
          <w:szCs w:val="24"/>
        </w:rPr>
      </w:pPr>
      <w:r>
        <w:rPr>
          <w:rFonts w:ascii="Times New Roman" w:hAnsi="Times New Roman"/>
          <w:sz w:val="24"/>
          <w:szCs w:val="24"/>
        </w:rPr>
        <w:t>Primary sources:</w:t>
      </w:r>
    </w:p>
    <w:p w14:paraId="6EADC093" w14:textId="77777777" w:rsidR="007770A5" w:rsidRPr="00F86024" w:rsidRDefault="007770A5" w:rsidP="007770A5">
      <w:pPr>
        <w:pStyle w:val="NormalWeb"/>
        <w:numPr>
          <w:ilvl w:val="0"/>
          <w:numId w:val="1"/>
        </w:numPr>
        <w:spacing w:before="0" w:beforeAutospacing="0" w:after="0" w:afterAutospacing="0" w:line="276" w:lineRule="auto"/>
        <w:ind w:right="-334"/>
        <w:rPr>
          <w:rFonts w:ascii="Times New Roman" w:hAnsi="Times New Roman"/>
          <w:sz w:val="24"/>
          <w:szCs w:val="24"/>
        </w:rPr>
      </w:pPr>
      <w:r>
        <w:rPr>
          <w:rFonts w:ascii="Times New Roman" w:hAnsi="Times New Roman"/>
          <w:sz w:val="24"/>
          <w:szCs w:val="24"/>
        </w:rPr>
        <w:t xml:space="preserve">Cicero: </w:t>
      </w:r>
      <w:r>
        <w:rPr>
          <w:rFonts w:ascii="Times New Roman" w:hAnsi="Times New Roman"/>
          <w:i/>
          <w:iCs/>
          <w:sz w:val="24"/>
          <w:szCs w:val="24"/>
        </w:rPr>
        <w:t xml:space="preserve">De </w:t>
      </w:r>
      <w:proofErr w:type="spellStart"/>
      <w:r>
        <w:rPr>
          <w:rFonts w:ascii="Times New Roman" w:hAnsi="Times New Roman"/>
          <w:i/>
          <w:iCs/>
          <w:sz w:val="24"/>
          <w:szCs w:val="24"/>
        </w:rPr>
        <w:t>Senectute</w:t>
      </w:r>
      <w:proofErr w:type="spellEnd"/>
      <w:r>
        <w:rPr>
          <w:rFonts w:ascii="Times New Roman" w:hAnsi="Times New Roman"/>
          <w:i/>
          <w:iCs/>
          <w:sz w:val="24"/>
          <w:szCs w:val="24"/>
        </w:rPr>
        <w:t xml:space="preserve">, De </w:t>
      </w:r>
      <w:proofErr w:type="spellStart"/>
      <w:r>
        <w:rPr>
          <w:rFonts w:ascii="Times New Roman" w:hAnsi="Times New Roman"/>
          <w:i/>
          <w:iCs/>
          <w:sz w:val="24"/>
          <w:szCs w:val="24"/>
        </w:rPr>
        <w:t>Amicitia</w:t>
      </w:r>
      <w:proofErr w:type="spellEnd"/>
      <w:r>
        <w:rPr>
          <w:rFonts w:ascii="Times New Roman" w:hAnsi="Times New Roman"/>
          <w:i/>
          <w:iCs/>
          <w:sz w:val="24"/>
          <w:szCs w:val="24"/>
        </w:rPr>
        <w:t xml:space="preserve">, De Divinatione. </w:t>
      </w:r>
      <w:r>
        <w:rPr>
          <w:rFonts w:ascii="Times New Roman" w:hAnsi="Times New Roman"/>
          <w:sz w:val="24"/>
          <w:szCs w:val="24"/>
        </w:rPr>
        <w:t xml:space="preserve">With </w:t>
      </w:r>
      <w:proofErr w:type="gramStart"/>
      <w:r>
        <w:rPr>
          <w:rFonts w:ascii="Times New Roman" w:hAnsi="Times New Roman"/>
          <w:sz w:val="24"/>
          <w:szCs w:val="24"/>
        </w:rPr>
        <w:t>An</w:t>
      </w:r>
      <w:proofErr w:type="gramEnd"/>
      <w:r>
        <w:rPr>
          <w:rFonts w:ascii="Times New Roman" w:hAnsi="Times New Roman"/>
          <w:sz w:val="24"/>
          <w:szCs w:val="24"/>
        </w:rPr>
        <w:t xml:space="preserve"> English Translation. William Armistead Falconer. Cambridge. Harvard University Press; Cambridge, Mass., London, England. 1923</w:t>
      </w:r>
      <w:r>
        <w:rPr>
          <w:rFonts w:ascii="Times New Roman" w:hAnsi="Times New Roman"/>
          <w:sz w:val="24"/>
          <w:szCs w:val="24"/>
        </w:rPr>
        <w:br/>
      </w:r>
      <w:hyperlink r:id="rId8" w:history="1">
        <w:r>
          <w:rPr>
            <w:rStyle w:val="Hyperlink"/>
          </w:rPr>
          <w:t>http://www.perseus.tufts.edu/hopper/text?doc=Perseus%3Atext%3A2007.01.0043%3Abook%3D1%3Asection%3D32</w:t>
        </w:r>
      </w:hyperlink>
      <w:r>
        <w:t xml:space="preserve"> </w:t>
      </w:r>
      <w:r w:rsidRPr="00F86024">
        <w:rPr>
          <w:rFonts w:ascii="Times New Roman" w:hAnsi="Times New Roman"/>
          <w:sz w:val="24"/>
          <w:szCs w:val="24"/>
        </w:rPr>
        <w:t>(Accessed: 1</w:t>
      </w:r>
      <w:r w:rsidRPr="00F86024">
        <w:rPr>
          <w:rFonts w:ascii="Times New Roman" w:hAnsi="Times New Roman"/>
          <w:sz w:val="24"/>
          <w:szCs w:val="24"/>
          <w:vertAlign w:val="superscript"/>
        </w:rPr>
        <w:t>st</w:t>
      </w:r>
      <w:r w:rsidRPr="00F86024">
        <w:rPr>
          <w:rFonts w:ascii="Times New Roman" w:hAnsi="Times New Roman"/>
          <w:sz w:val="24"/>
          <w:szCs w:val="24"/>
        </w:rPr>
        <w:t xml:space="preserve"> June)</w:t>
      </w:r>
      <w:r>
        <w:t xml:space="preserve"> </w:t>
      </w:r>
    </w:p>
    <w:p w14:paraId="1AC1AF08" w14:textId="77777777" w:rsidR="007770A5" w:rsidRDefault="007770A5" w:rsidP="007770A5">
      <w:pPr>
        <w:pStyle w:val="NormalWeb"/>
        <w:spacing w:before="0" w:beforeAutospacing="0" w:after="0" w:afterAutospacing="0" w:line="276" w:lineRule="auto"/>
        <w:ind w:right="-334"/>
        <w:rPr>
          <w:rFonts w:ascii="Times New Roman" w:hAnsi="Times New Roman"/>
          <w:sz w:val="24"/>
          <w:szCs w:val="24"/>
        </w:rPr>
      </w:pPr>
    </w:p>
    <w:p w14:paraId="1364817A" w14:textId="77777777" w:rsidR="007770A5" w:rsidRPr="00F86024" w:rsidRDefault="007770A5" w:rsidP="007770A5">
      <w:pPr>
        <w:pStyle w:val="NormalWeb"/>
        <w:spacing w:before="0" w:beforeAutospacing="0" w:after="0" w:afterAutospacing="0" w:line="276" w:lineRule="auto"/>
        <w:ind w:right="-334"/>
        <w:rPr>
          <w:rFonts w:ascii="Times New Roman" w:hAnsi="Times New Roman"/>
          <w:sz w:val="24"/>
          <w:szCs w:val="24"/>
        </w:rPr>
      </w:pPr>
      <w:r>
        <w:rPr>
          <w:rFonts w:ascii="Times New Roman" w:hAnsi="Times New Roman"/>
          <w:sz w:val="24"/>
          <w:szCs w:val="24"/>
        </w:rPr>
        <w:t>Secondary Sources:</w:t>
      </w:r>
    </w:p>
    <w:p w14:paraId="11C7E84F" w14:textId="77777777" w:rsidR="007770A5" w:rsidRPr="00F86024" w:rsidRDefault="007770A5" w:rsidP="007770A5">
      <w:pPr>
        <w:pStyle w:val="FootnoteText"/>
        <w:ind w:left="720"/>
        <w:rPr>
          <w:rFonts w:ascii="Times New Roman" w:hAnsi="Times New Roman"/>
          <w:sz w:val="24"/>
          <w:szCs w:val="24"/>
        </w:rPr>
      </w:pPr>
    </w:p>
    <w:p w14:paraId="3D27E103" w14:textId="77777777" w:rsidR="007770A5" w:rsidRPr="00DD4EFC" w:rsidRDefault="007770A5" w:rsidP="007770A5">
      <w:pPr>
        <w:pStyle w:val="FootnoteText"/>
        <w:numPr>
          <w:ilvl w:val="0"/>
          <w:numId w:val="1"/>
        </w:numPr>
        <w:rPr>
          <w:rFonts w:ascii="Times New Roman" w:hAnsi="Times New Roman" w:cs="Times New Roman"/>
          <w:sz w:val="24"/>
          <w:szCs w:val="24"/>
        </w:rPr>
      </w:pPr>
      <w:r w:rsidRPr="00DD4EFC">
        <w:rPr>
          <w:rFonts w:ascii="Times New Roman" w:hAnsi="Times New Roman" w:cs="Times New Roman"/>
          <w:sz w:val="24"/>
          <w:szCs w:val="24"/>
        </w:rPr>
        <w:t xml:space="preserve">Beard. M. 1986. </w:t>
      </w:r>
      <w:r w:rsidRPr="00DD4EFC">
        <w:rPr>
          <w:rFonts w:ascii="Times New Roman" w:hAnsi="Times New Roman" w:cs="Times New Roman"/>
          <w:i/>
          <w:iCs/>
          <w:sz w:val="24"/>
          <w:szCs w:val="24"/>
        </w:rPr>
        <w:t xml:space="preserve">Cicero and Divination: The Formation of a Latin Discourse. </w:t>
      </w:r>
      <w:r w:rsidRPr="00DD4EFC">
        <w:rPr>
          <w:rFonts w:ascii="Times New Roman" w:hAnsi="Times New Roman" w:cs="Times New Roman"/>
          <w:sz w:val="24"/>
          <w:szCs w:val="24"/>
        </w:rPr>
        <w:t xml:space="preserve">The Journal of Roman Studies, Vol. 76. Society of the Promotion of Roman Studies. </w:t>
      </w:r>
      <w:r w:rsidRPr="00DD4EFC">
        <w:rPr>
          <w:rFonts w:ascii="Times New Roman" w:hAnsi="Times New Roman" w:cs="Times New Roman"/>
          <w:sz w:val="24"/>
          <w:szCs w:val="24"/>
        </w:rPr>
        <w:br/>
      </w:r>
    </w:p>
    <w:p w14:paraId="3DF0006A" w14:textId="77777777" w:rsidR="007770A5" w:rsidRPr="00F86024" w:rsidRDefault="007770A5" w:rsidP="007770A5">
      <w:pPr>
        <w:pStyle w:val="FootnoteText"/>
        <w:numPr>
          <w:ilvl w:val="0"/>
          <w:numId w:val="1"/>
        </w:numPr>
        <w:rPr>
          <w:rFonts w:ascii="Times New Roman" w:hAnsi="Times New Roman"/>
          <w:sz w:val="24"/>
          <w:szCs w:val="24"/>
        </w:rPr>
      </w:pPr>
      <w:proofErr w:type="spellStart"/>
      <w:r w:rsidRPr="00F86024">
        <w:rPr>
          <w:rFonts w:ascii="Times New Roman" w:hAnsi="Times New Roman"/>
          <w:sz w:val="24"/>
          <w:szCs w:val="24"/>
        </w:rPr>
        <w:t>Balsdon</w:t>
      </w:r>
      <w:proofErr w:type="spellEnd"/>
      <w:r w:rsidRPr="00F86024">
        <w:rPr>
          <w:rFonts w:ascii="Times New Roman" w:hAnsi="Times New Roman"/>
          <w:sz w:val="24"/>
          <w:szCs w:val="24"/>
        </w:rPr>
        <w:t xml:space="preserve">. D and Ferguson. J. (2019). </w:t>
      </w:r>
      <w:r w:rsidRPr="00F86024">
        <w:rPr>
          <w:rFonts w:ascii="Times New Roman" w:hAnsi="Times New Roman"/>
          <w:i/>
          <w:iCs/>
          <w:sz w:val="24"/>
          <w:szCs w:val="24"/>
        </w:rPr>
        <w:t xml:space="preserve">Marcus Tullius Cicero. </w:t>
      </w:r>
      <w:r w:rsidRPr="00F86024">
        <w:rPr>
          <w:rFonts w:ascii="Times New Roman" w:hAnsi="Times New Roman"/>
          <w:sz w:val="24"/>
          <w:szCs w:val="24"/>
        </w:rPr>
        <w:t>Encyclopaedia Britannica, Inc.</w:t>
      </w:r>
      <w:r>
        <w:rPr>
          <w:rFonts w:ascii="Times New Roman" w:hAnsi="Times New Roman"/>
          <w:sz w:val="24"/>
          <w:szCs w:val="24"/>
        </w:rPr>
        <w:br/>
      </w:r>
    </w:p>
    <w:p w14:paraId="3B4CB18F" w14:textId="77777777" w:rsidR="007770A5" w:rsidRPr="00F86024" w:rsidRDefault="007770A5" w:rsidP="007770A5">
      <w:pPr>
        <w:numPr>
          <w:ilvl w:val="0"/>
          <w:numId w:val="1"/>
        </w:numPr>
        <w:spacing w:after="0" w:line="240" w:lineRule="auto"/>
      </w:pPr>
      <w:proofErr w:type="spellStart"/>
      <w:r w:rsidRPr="00F86024">
        <w:t>Corbeill</w:t>
      </w:r>
      <w:proofErr w:type="spellEnd"/>
      <w:r w:rsidRPr="00F86024">
        <w:t xml:space="preserve">. A. (2002). </w:t>
      </w:r>
      <w:r w:rsidRPr="00F86024">
        <w:rPr>
          <w:i/>
          <w:iCs/>
        </w:rPr>
        <w:t xml:space="preserve">Rhetorical Education. </w:t>
      </w:r>
      <w:r w:rsidRPr="00F86024">
        <w:t>In Brills Companion guide to Cicero: Oratory and Rhetoric.</w:t>
      </w:r>
      <w:r w:rsidRPr="00F86024">
        <w:rPr>
          <w:i/>
          <w:iCs/>
        </w:rPr>
        <w:t xml:space="preserve"> </w:t>
      </w:r>
      <w:r w:rsidRPr="00F86024">
        <w:t>Brill Leiden. Boston. Köln.</w:t>
      </w:r>
      <w:r w:rsidRPr="00F86024">
        <w:br/>
      </w:r>
    </w:p>
    <w:p w14:paraId="084486A1" w14:textId="77777777" w:rsidR="007770A5" w:rsidRDefault="007770A5" w:rsidP="007770A5">
      <w:pPr>
        <w:pStyle w:val="FootnoteText"/>
        <w:numPr>
          <w:ilvl w:val="0"/>
          <w:numId w:val="1"/>
        </w:numPr>
        <w:rPr>
          <w:rFonts w:ascii="Times New Roman" w:hAnsi="Times New Roman"/>
          <w:sz w:val="24"/>
          <w:szCs w:val="24"/>
        </w:rPr>
      </w:pPr>
      <w:proofErr w:type="spellStart"/>
      <w:r w:rsidRPr="00F86024">
        <w:rPr>
          <w:rFonts w:ascii="Times New Roman" w:hAnsi="Times New Roman"/>
          <w:sz w:val="24"/>
          <w:szCs w:val="24"/>
        </w:rPr>
        <w:t>Dihle</w:t>
      </w:r>
      <w:proofErr w:type="spellEnd"/>
      <w:r w:rsidRPr="00F86024">
        <w:rPr>
          <w:rFonts w:ascii="Times New Roman" w:hAnsi="Times New Roman"/>
          <w:sz w:val="24"/>
          <w:szCs w:val="24"/>
        </w:rPr>
        <w:t xml:space="preserve">. A. (1973). </w:t>
      </w:r>
      <w:proofErr w:type="spellStart"/>
      <w:r w:rsidRPr="00F86024">
        <w:rPr>
          <w:rFonts w:ascii="Times New Roman" w:hAnsi="Times New Roman"/>
          <w:i/>
          <w:iCs/>
          <w:sz w:val="24"/>
          <w:szCs w:val="24"/>
        </w:rPr>
        <w:t>Posidonius</w:t>
      </w:r>
      <w:proofErr w:type="spellEnd"/>
      <w:r w:rsidRPr="00F86024">
        <w:rPr>
          <w:rFonts w:ascii="Times New Roman" w:hAnsi="Times New Roman"/>
          <w:i/>
          <w:iCs/>
          <w:sz w:val="24"/>
          <w:szCs w:val="24"/>
        </w:rPr>
        <w:t xml:space="preserve">’ System of Moral Philosophy. </w:t>
      </w:r>
      <w:r w:rsidRPr="00F86024">
        <w:rPr>
          <w:rFonts w:ascii="Times New Roman" w:hAnsi="Times New Roman"/>
          <w:sz w:val="24"/>
          <w:szCs w:val="24"/>
        </w:rPr>
        <w:t>In: The Journal of Hellenic Studies, Vol 93. The Society for the Promotion of Hellenic Studies.</w:t>
      </w:r>
      <w:r>
        <w:rPr>
          <w:rFonts w:ascii="Times New Roman" w:hAnsi="Times New Roman"/>
          <w:sz w:val="24"/>
          <w:szCs w:val="24"/>
        </w:rPr>
        <w:br/>
      </w:r>
    </w:p>
    <w:p w14:paraId="47ED937F" w14:textId="77777777" w:rsidR="007770A5" w:rsidRPr="00F86024" w:rsidRDefault="007770A5" w:rsidP="007770A5">
      <w:pPr>
        <w:pStyle w:val="FootnoteText"/>
        <w:numPr>
          <w:ilvl w:val="0"/>
          <w:numId w:val="1"/>
        </w:numPr>
        <w:rPr>
          <w:rFonts w:ascii="Times New Roman" w:hAnsi="Times New Roman"/>
          <w:sz w:val="24"/>
          <w:szCs w:val="24"/>
        </w:rPr>
      </w:pPr>
      <w:r>
        <w:rPr>
          <w:rFonts w:ascii="Times New Roman" w:hAnsi="Times New Roman"/>
          <w:sz w:val="24"/>
          <w:szCs w:val="24"/>
        </w:rPr>
        <w:t xml:space="preserve">Fox. M. 2007. </w:t>
      </w:r>
      <w:r>
        <w:rPr>
          <w:rFonts w:ascii="Times New Roman" w:hAnsi="Times New Roman"/>
          <w:i/>
          <w:iCs/>
          <w:sz w:val="24"/>
          <w:szCs w:val="24"/>
        </w:rPr>
        <w:t xml:space="preserve">Divination, History, and Superstition. </w:t>
      </w:r>
      <w:r>
        <w:rPr>
          <w:rFonts w:ascii="Times New Roman" w:hAnsi="Times New Roman"/>
          <w:sz w:val="24"/>
          <w:szCs w:val="24"/>
        </w:rPr>
        <w:t>In Cicero’s Philosophy of History. Oxford Press.</w:t>
      </w:r>
      <w:r>
        <w:rPr>
          <w:rFonts w:ascii="Times New Roman" w:hAnsi="Times New Roman"/>
          <w:sz w:val="24"/>
          <w:szCs w:val="24"/>
        </w:rPr>
        <w:br/>
      </w:r>
    </w:p>
    <w:p w14:paraId="00405425" w14:textId="77777777" w:rsidR="007770A5" w:rsidRDefault="007770A5" w:rsidP="007770A5">
      <w:pPr>
        <w:pStyle w:val="FootnoteText"/>
        <w:numPr>
          <w:ilvl w:val="0"/>
          <w:numId w:val="1"/>
        </w:numPr>
        <w:rPr>
          <w:rFonts w:ascii="Times New Roman" w:hAnsi="Times New Roman"/>
          <w:sz w:val="24"/>
          <w:szCs w:val="24"/>
        </w:rPr>
      </w:pPr>
      <w:proofErr w:type="spellStart"/>
      <w:r w:rsidRPr="00F86024">
        <w:rPr>
          <w:rFonts w:ascii="Times New Roman" w:hAnsi="Times New Roman"/>
          <w:sz w:val="24"/>
          <w:szCs w:val="24"/>
        </w:rPr>
        <w:t>Goar</w:t>
      </w:r>
      <w:proofErr w:type="spellEnd"/>
      <w:r w:rsidRPr="00F86024">
        <w:rPr>
          <w:rFonts w:ascii="Times New Roman" w:hAnsi="Times New Roman"/>
          <w:sz w:val="24"/>
          <w:szCs w:val="24"/>
        </w:rPr>
        <w:t xml:space="preserve">. R. (1968). </w:t>
      </w:r>
      <w:r w:rsidRPr="00F86024">
        <w:rPr>
          <w:rFonts w:ascii="Times New Roman" w:hAnsi="Times New Roman"/>
          <w:i/>
          <w:iCs/>
          <w:sz w:val="24"/>
          <w:szCs w:val="24"/>
        </w:rPr>
        <w:t xml:space="preserve">The purpose of De Divinatione. </w:t>
      </w:r>
      <w:r w:rsidRPr="00F86024">
        <w:rPr>
          <w:rFonts w:ascii="Times New Roman" w:hAnsi="Times New Roman"/>
          <w:sz w:val="24"/>
          <w:szCs w:val="24"/>
        </w:rPr>
        <w:t>In Transactions and Proceedings of the American Philological Association, Vol 99. The John Hopkins University Press.</w:t>
      </w:r>
      <w:r>
        <w:rPr>
          <w:rFonts w:ascii="Times New Roman" w:hAnsi="Times New Roman"/>
          <w:sz w:val="24"/>
          <w:szCs w:val="24"/>
        </w:rPr>
        <w:br/>
      </w:r>
    </w:p>
    <w:p w14:paraId="3EE8BD39" w14:textId="77777777" w:rsidR="007770A5" w:rsidRPr="00632200" w:rsidRDefault="007770A5" w:rsidP="007770A5">
      <w:pPr>
        <w:pStyle w:val="FootnoteText"/>
        <w:numPr>
          <w:ilvl w:val="0"/>
          <w:numId w:val="1"/>
        </w:numPr>
        <w:rPr>
          <w:rFonts w:ascii="Times New Roman" w:hAnsi="Times New Roman" w:cs="Times New Roman"/>
          <w:sz w:val="24"/>
          <w:szCs w:val="24"/>
        </w:rPr>
      </w:pPr>
      <w:proofErr w:type="spellStart"/>
      <w:r w:rsidRPr="00632200">
        <w:rPr>
          <w:rFonts w:ascii="Times New Roman" w:hAnsi="Times New Roman" w:cs="Times New Roman"/>
          <w:sz w:val="24"/>
          <w:szCs w:val="24"/>
        </w:rPr>
        <w:t>Linderski</w:t>
      </w:r>
      <w:proofErr w:type="spellEnd"/>
      <w:r w:rsidRPr="00632200">
        <w:rPr>
          <w:rFonts w:ascii="Times New Roman" w:hAnsi="Times New Roman" w:cs="Times New Roman"/>
          <w:sz w:val="24"/>
          <w:szCs w:val="24"/>
        </w:rPr>
        <w:t xml:space="preserve">. J. 1982. </w:t>
      </w:r>
      <w:r w:rsidRPr="00632200">
        <w:rPr>
          <w:rFonts w:ascii="Times New Roman" w:hAnsi="Times New Roman" w:cs="Times New Roman"/>
          <w:i/>
          <w:iCs/>
          <w:sz w:val="24"/>
          <w:szCs w:val="24"/>
        </w:rPr>
        <w:t>Cicero and Roman divination.</w:t>
      </w:r>
      <w:r w:rsidRPr="00632200">
        <w:rPr>
          <w:rFonts w:ascii="Times New Roman" w:hAnsi="Times New Roman" w:cs="Times New Roman"/>
          <w:sz w:val="24"/>
          <w:szCs w:val="24"/>
        </w:rPr>
        <w:br/>
      </w:r>
    </w:p>
    <w:p w14:paraId="01B00CE1" w14:textId="77777777" w:rsidR="007770A5" w:rsidRPr="00F86024" w:rsidRDefault="007770A5" w:rsidP="007770A5">
      <w:pPr>
        <w:pStyle w:val="FootnoteText"/>
        <w:numPr>
          <w:ilvl w:val="0"/>
          <w:numId w:val="1"/>
        </w:numPr>
        <w:rPr>
          <w:rFonts w:ascii="Times New Roman" w:hAnsi="Times New Roman"/>
          <w:sz w:val="24"/>
          <w:szCs w:val="24"/>
        </w:rPr>
      </w:pPr>
      <w:proofErr w:type="spellStart"/>
      <w:r w:rsidRPr="00F86024">
        <w:rPr>
          <w:rFonts w:ascii="Times New Roman" w:hAnsi="Times New Roman"/>
          <w:sz w:val="24"/>
          <w:szCs w:val="24"/>
        </w:rPr>
        <w:t>MacKendrick</w:t>
      </w:r>
      <w:proofErr w:type="spellEnd"/>
      <w:r w:rsidRPr="00F86024">
        <w:rPr>
          <w:rFonts w:ascii="Times New Roman" w:hAnsi="Times New Roman"/>
          <w:sz w:val="24"/>
          <w:szCs w:val="24"/>
        </w:rPr>
        <w:t xml:space="preserve">. P.L. (1989). </w:t>
      </w:r>
      <w:r w:rsidRPr="00F86024">
        <w:rPr>
          <w:rFonts w:ascii="Times New Roman" w:hAnsi="Times New Roman"/>
          <w:i/>
          <w:iCs/>
          <w:sz w:val="24"/>
          <w:szCs w:val="24"/>
        </w:rPr>
        <w:t xml:space="preserve">The Philosophical Books of Cicero. </w:t>
      </w:r>
      <w:r w:rsidRPr="00F86024">
        <w:rPr>
          <w:rFonts w:ascii="Times New Roman" w:hAnsi="Times New Roman"/>
          <w:sz w:val="24"/>
          <w:szCs w:val="24"/>
        </w:rPr>
        <w:t xml:space="preserve">London. P25; Santangelo. F. (2013). </w:t>
      </w:r>
      <w:r w:rsidRPr="00F86024">
        <w:rPr>
          <w:rFonts w:ascii="Times New Roman" w:hAnsi="Times New Roman"/>
          <w:i/>
          <w:iCs/>
          <w:sz w:val="24"/>
          <w:szCs w:val="24"/>
        </w:rPr>
        <w:t xml:space="preserve">Divination, Prediction and the end of the Roman Republic. </w:t>
      </w:r>
      <w:r w:rsidRPr="00F86024">
        <w:rPr>
          <w:rFonts w:ascii="Times New Roman" w:hAnsi="Times New Roman"/>
          <w:sz w:val="24"/>
          <w:szCs w:val="24"/>
        </w:rPr>
        <w:t>Cambridge University Press.</w:t>
      </w:r>
      <w:r>
        <w:rPr>
          <w:rFonts w:ascii="Times New Roman" w:hAnsi="Times New Roman"/>
          <w:sz w:val="24"/>
          <w:szCs w:val="24"/>
        </w:rPr>
        <w:br/>
      </w:r>
    </w:p>
    <w:p w14:paraId="59EAB515" w14:textId="77777777" w:rsidR="007770A5" w:rsidRPr="00AC6ACA" w:rsidRDefault="007770A5" w:rsidP="007770A5">
      <w:pPr>
        <w:numPr>
          <w:ilvl w:val="0"/>
          <w:numId w:val="1"/>
        </w:numPr>
        <w:spacing w:after="0" w:line="240" w:lineRule="auto"/>
        <w:rPr>
          <w:rFonts w:ascii="Times New Roman" w:hAnsi="Times New Roman" w:cs="Times New Roman"/>
          <w:sz w:val="24"/>
          <w:szCs w:val="24"/>
        </w:rPr>
      </w:pPr>
      <w:r w:rsidRPr="00AC6ACA">
        <w:rPr>
          <w:rFonts w:ascii="Times New Roman" w:hAnsi="Times New Roman" w:cs="Times New Roman"/>
          <w:sz w:val="24"/>
          <w:szCs w:val="24"/>
        </w:rPr>
        <w:t xml:space="preserve">May. A. J. (2002). </w:t>
      </w:r>
      <w:r w:rsidRPr="00AC6ACA">
        <w:rPr>
          <w:rFonts w:ascii="Times New Roman" w:hAnsi="Times New Roman" w:cs="Times New Roman"/>
          <w:i/>
          <w:iCs/>
          <w:sz w:val="24"/>
          <w:szCs w:val="24"/>
        </w:rPr>
        <w:t xml:space="preserve">Brills Companion guide to Cicero: Oratory and Rhetoric. </w:t>
      </w:r>
      <w:r w:rsidRPr="00AC6ACA">
        <w:rPr>
          <w:rFonts w:ascii="Times New Roman" w:hAnsi="Times New Roman" w:cs="Times New Roman"/>
          <w:sz w:val="24"/>
          <w:szCs w:val="24"/>
        </w:rPr>
        <w:t>Brill Leiden. Boston. Köln.</w:t>
      </w:r>
      <w:r w:rsidRPr="00AC6ACA">
        <w:rPr>
          <w:rFonts w:ascii="Times New Roman" w:hAnsi="Times New Roman" w:cs="Times New Roman"/>
          <w:sz w:val="24"/>
          <w:szCs w:val="24"/>
        </w:rPr>
        <w:br/>
      </w:r>
    </w:p>
    <w:p w14:paraId="1C31B9F4" w14:textId="77777777" w:rsidR="007770A5" w:rsidRDefault="007770A5" w:rsidP="007770A5">
      <w:pPr>
        <w:pStyle w:val="FootnoteText"/>
        <w:numPr>
          <w:ilvl w:val="0"/>
          <w:numId w:val="1"/>
        </w:numPr>
        <w:rPr>
          <w:rFonts w:ascii="Times New Roman" w:hAnsi="Times New Roman"/>
          <w:sz w:val="24"/>
          <w:szCs w:val="24"/>
        </w:rPr>
      </w:pPr>
      <w:r w:rsidRPr="00F86024">
        <w:rPr>
          <w:rFonts w:ascii="Times New Roman" w:hAnsi="Times New Roman"/>
          <w:sz w:val="24"/>
          <w:szCs w:val="24"/>
        </w:rPr>
        <w:t xml:space="preserve">Santangelo. F. (2013). </w:t>
      </w:r>
      <w:r w:rsidRPr="00F86024">
        <w:rPr>
          <w:rFonts w:ascii="Times New Roman" w:hAnsi="Times New Roman"/>
          <w:i/>
          <w:iCs/>
          <w:sz w:val="24"/>
          <w:szCs w:val="24"/>
        </w:rPr>
        <w:t xml:space="preserve">Divination, Prediction and the end of the Roman Republic. </w:t>
      </w:r>
      <w:r w:rsidRPr="00F86024">
        <w:rPr>
          <w:rFonts w:ascii="Times New Roman" w:hAnsi="Times New Roman"/>
          <w:sz w:val="24"/>
          <w:szCs w:val="24"/>
        </w:rPr>
        <w:t>Cambridge University Press. P10-11.</w:t>
      </w:r>
      <w:r>
        <w:rPr>
          <w:rFonts w:ascii="Times New Roman" w:hAnsi="Times New Roman"/>
          <w:sz w:val="24"/>
          <w:szCs w:val="24"/>
        </w:rPr>
        <w:br/>
      </w:r>
    </w:p>
    <w:p w14:paraId="3AB78F85" w14:textId="77777777" w:rsidR="007770A5" w:rsidRPr="0060052F" w:rsidRDefault="007770A5" w:rsidP="007770A5">
      <w:pPr>
        <w:pStyle w:val="FootnoteText"/>
        <w:numPr>
          <w:ilvl w:val="0"/>
          <w:numId w:val="1"/>
        </w:numPr>
        <w:rPr>
          <w:rFonts w:ascii="Times New Roman" w:hAnsi="Times New Roman"/>
          <w:sz w:val="24"/>
          <w:szCs w:val="24"/>
        </w:rPr>
      </w:pPr>
      <w:r>
        <w:rPr>
          <w:rFonts w:ascii="Times New Roman" w:hAnsi="Times New Roman"/>
          <w:sz w:val="24"/>
          <w:szCs w:val="24"/>
        </w:rPr>
        <w:t xml:space="preserve">Schofield. M. 1986. </w:t>
      </w:r>
      <w:r>
        <w:rPr>
          <w:rFonts w:ascii="Times New Roman" w:hAnsi="Times New Roman"/>
          <w:i/>
          <w:iCs/>
          <w:sz w:val="24"/>
          <w:szCs w:val="24"/>
        </w:rPr>
        <w:t xml:space="preserve">Cicero for and Against Divination. </w:t>
      </w:r>
      <w:r>
        <w:rPr>
          <w:rFonts w:ascii="Times New Roman" w:hAnsi="Times New Roman"/>
          <w:sz w:val="24"/>
          <w:szCs w:val="24"/>
        </w:rPr>
        <w:t>The Journal of Roman Studies, Vol. 76. Society for the Promotion of Roman Studies.</w:t>
      </w:r>
      <w:bookmarkEnd w:id="3"/>
    </w:p>
    <w:p w14:paraId="57057A90" w14:textId="181F8C26" w:rsidR="00057C6A" w:rsidRPr="0060052F" w:rsidRDefault="00057C6A" w:rsidP="007770A5">
      <w:pPr>
        <w:pStyle w:val="FootnoteText"/>
        <w:rPr>
          <w:rFonts w:ascii="Times New Roman" w:hAnsi="Times New Roman"/>
          <w:sz w:val="24"/>
          <w:szCs w:val="24"/>
        </w:rPr>
      </w:pPr>
    </w:p>
    <w:sectPr w:rsidR="00057C6A" w:rsidRPr="006005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6A4E9" w14:textId="77777777" w:rsidR="005615BD" w:rsidRDefault="005615BD" w:rsidP="0073071C">
      <w:pPr>
        <w:spacing w:after="0" w:line="240" w:lineRule="auto"/>
      </w:pPr>
      <w:r>
        <w:separator/>
      </w:r>
    </w:p>
  </w:endnote>
  <w:endnote w:type="continuationSeparator" w:id="0">
    <w:p w14:paraId="0ED761D3" w14:textId="77777777" w:rsidR="005615BD" w:rsidRDefault="005615BD" w:rsidP="00730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C9FB6" w14:textId="77777777" w:rsidR="005615BD" w:rsidRDefault="005615BD" w:rsidP="0073071C">
      <w:pPr>
        <w:spacing w:after="0" w:line="240" w:lineRule="auto"/>
      </w:pPr>
      <w:r>
        <w:separator/>
      </w:r>
    </w:p>
  </w:footnote>
  <w:footnote w:type="continuationSeparator" w:id="0">
    <w:p w14:paraId="328D7E4C" w14:textId="77777777" w:rsidR="005615BD" w:rsidRDefault="005615BD" w:rsidP="0073071C">
      <w:pPr>
        <w:spacing w:after="0" w:line="240" w:lineRule="auto"/>
      </w:pPr>
      <w:r>
        <w:continuationSeparator/>
      </w:r>
    </w:p>
  </w:footnote>
  <w:footnote w:id="1">
    <w:p w14:paraId="2F09BEE7" w14:textId="77777777" w:rsidR="007770A5" w:rsidRPr="00D7416B" w:rsidRDefault="007770A5" w:rsidP="007770A5">
      <w:pPr>
        <w:pStyle w:val="FootnoteText"/>
      </w:pPr>
      <w:r>
        <w:rPr>
          <w:rStyle w:val="FootnoteReference"/>
        </w:rPr>
        <w:footnoteRef/>
      </w:r>
      <w:r>
        <w:t xml:space="preserve"> May. A. J. 2002. </w:t>
      </w:r>
      <w:r>
        <w:rPr>
          <w:i/>
          <w:iCs/>
        </w:rPr>
        <w:t xml:space="preserve">Brills Companion guide to Cicero: Oratory and Rhetoric. </w:t>
      </w:r>
      <w:r>
        <w:t>Brill Leiden. Boston. K</w:t>
      </w:r>
      <w:r w:rsidRPr="00BA232C">
        <w:rPr>
          <w:rFonts w:cs="Calibri"/>
        </w:rPr>
        <w:t>ö</w:t>
      </w:r>
      <w:r>
        <w:t>ln. P2.</w:t>
      </w:r>
    </w:p>
  </w:footnote>
  <w:footnote w:id="2">
    <w:p w14:paraId="23ED78BD" w14:textId="77777777" w:rsidR="007770A5" w:rsidRPr="00D7416B" w:rsidRDefault="007770A5" w:rsidP="007770A5">
      <w:pPr>
        <w:pStyle w:val="FootnoteText"/>
      </w:pPr>
      <w:r>
        <w:rPr>
          <w:rStyle w:val="FootnoteReference"/>
        </w:rPr>
        <w:footnoteRef/>
      </w:r>
      <w:r>
        <w:t xml:space="preserve"> </w:t>
      </w:r>
      <w:proofErr w:type="spellStart"/>
      <w:r>
        <w:t>Corbeill</w:t>
      </w:r>
      <w:proofErr w:type="spellEnd"/>
      <w:r>
        <w:t xml:space="preserve">. A. 2002. </w:t>
      </w:r>
      <w:r>
        <w:rPr>
          <w:i/>
          <w:iCs/>
        </w:rPr>
        <w:t xml:space="preserve">Rhetorical Education. </w:t>
      </w:r>
      <w:r>
        <w:t xml:space="preserve">In </w:t>
      </w:r>
      <w:r w:rsidRPr="00D7416B">
        <w:t>Brills Companion guide to Cicero: Oratory and Rhetoric</w:t>
      </w:r>
      <w:r>
        <w:t>.</w:t>
      </w:r>
      <w:r>
        <w:rPr>
          <w:i/>
          <w:iCs/>
        </w:rPr>
        <w:t xml:space="preserve"> </w:t>
      </w:r>
      <w:r>
        <w:t>Brill Leiden. Boston. K</w:t>
      </w:r>
      <w:r w:rsidRPr="00BA232C">
        <w:rPr>
          <w:rFonts w:cs="Calibri"/>
        </w:rPr>
        <w:t>ö</w:t>
      </w:r>
      <w:r>
        <w:t xml:space="preserve">ln. P23-48. </w:t>
      </w:r>
    </w:p>
  </w:footnote>
  <w:footnote w:id="3">
    <w:p w14:paraId="683DB5D0" w14:textId="77777777" w:rsidR="007770A5" w:rsidRPr="00D7416B" w:rsidRDefault="007770A5" w:rsidP="007770A5">
      <w:pPr>
        <w:pStyle w:val="FootnoteText"/>
      </w:pPr>
      <w:r w:rsidRPr="00D7416B">
        <w:rPr>
          <w:rStyle w:val="FootnoteReference"/>
        </w:rPr>
        <w:footnoteRef/>
      </w:r>
      <w:r w:rsidRPr="00D7416B">
        <w:t xml:space="preserve"> </w:t>
      </w:r>
      <w:r>
        <w:t xml:space="preserve">May. A. J. 2002. </w:t>
      </w:r>
      <w:r>
        <w:rPr>
          <w:i/>
          <w:iCs/>
        </w:rPr>
        <w:t xml:space="preserve">Brills Companion guide to Cicero: Oratory and Rhetoric. </w:t>
      </w:r>
      <w:r>
        <w:t>Brill Leiden. Boston. K</w:t>
      </w:r>
      <w:r w:rsidRPr="00BA232C">
        <w:rPr>
          <w:rFonts w:cs="Calibri"/>
        </w:rPr>
        <w:t>ö</w:t>
      </w:r>
      <w:r>
        <w:t>ln. P1.</w:t>
      </w:r>
    </w:p>
  </w:footnote>
  <w:footnote w:id="4">
    <w:p w14:paraId="2274CD86" w14:textId="77777777" w:rsidR="007770A5" w:rsidRDefault="007770A5" w:rsidP="007770A5">
      <w:pPr>
        <w:pStyle w:val="FootnoteText"/>
      </w:pPr>
      <w:r>
        <w:rPr>
          <w:rStyle w:val="FootnoteReference"/>
        </w:rPr>
        <w:footnoteRef/>
      </w:r>
      <w:r>
        <w:t xml:space="preserve"> IBID. P4.</w:t>
      </w:r>
    </w:p>
  </w:footnote>
  <w:footnote w:id="5">
    <w:p w14:paraId="75FD42CD" w14:textId="77777777" w:rsidR="007770A5" w:rsidRDefault="007770A5" w:rsidP="007770A5">
      <w:pPr>
        <w:pStyle w:val="FootnoteText"/>
      </w:pPr>
      <w:r>
        <w:rPr>
          <w:rStyle w:val="FootnoteReference"/>
        </w:rPr>
        <w:footnoteRef/>
      </w:r>
      <w:r>
        <w:t xml:space="preserve"> IBID.</w:t>
      </w:r>
    </w:p>
  </w:footnote>
  <w:footnote w:id="6">
    <w:p w14:paraId="0FF8AA5C" w14:textId="77777777" w:rsidR="007770A5" w:rsidRDefault="007770A5" w:rsidP="007770A5">
      <w:pPr>
        <w:pStyle w:val="FootnoteText"/>
      </w:pPr>
      <w:r>
        <w:rPr>
          <w:rStyle w:val="FootnoteReference"/>
        </w:rPr>
        <w:footnoteRef/>
      </w:r>
      <w:r>
        <w:t xml:space="preserve"> IBID. P17.</w:t>
      </w:r>
    </w:p>
  </w:footnote>
  <w:footnote w:id="7">
    <w:p w14:paraId="51AC56E0" w14:textId="77777777" w:rsidR="007770A5" w:rsidRDefault="007770A5" w:rsidP="007770A5">
      <w:pPr>
        <w:pStyle w:val="FootnoteText"/>
      </w:pPr>
      <w:r>
        <w:rPr>
          <w:rStyle w:val="FootnoteReference"/>
        </w:rPr>
        <w:footnoteRef/>
      </w:r>
      <w:r>
        <w:t xml:space="preserve"> IBID.</w:t>
      </w:r>
    </w:p>
  </w:footnote>
  <w:footnote w:id="8">
    <w:p w14:paraId="5B8DA5D7" w14:textId="77777777" w:rsidR="007770A5" w:rsidRDefault="007770A5" w:rsidP="007770A5">
      <w:pPr>
        <w:pStyle w:val="FootnoteText"/>
      </w:pPr>
      <w:r>
        <w:rPr>
          <w:rStyle w:val="FootnoteReference"/>
        </w:rPr>
        <w:footnoteRef/>
      </w:r>
      <w:r>
        <w:t xml:space="preserve"> May. A. J. 2002. </w:t>
      </w:r>
      <w:r>
        <w:rPr>
          <w:i/>
          <w:iCs/>
        </w:rPr>
        <w:t xml:space="preserve">Brills Companion guide to Cicero: Oratory and Rhetoric. </w:t>
      </w:r>
      <w:r>
        <w:t>Brill Leiden. Boston. K</w:t>
      </w:r>
      <w:r w:rsidRPr="00BA232C">
        <w:rPr>
          <w:rFonts w:cs="Calibri"/>
        </w:rPr>
        <w:t>ö</w:t>
      </w:r>
      <w:r>
        <w:t>ln. P3.</w:t>
      </w:r>
    </w:p>
  </w:footnote>
  <w:footnote w:id="9">
    <w:p w14:paraId="64201A78" w14:textId="77777777" w:rsidR="007770A5" w:rsidRPr="00936A1E" w:rsidRDefault="007770A5" w:rsidP="007770A5">
      <w:pPr>
        <w:pStyle w:val="FootnoteText"/>
      </w:pPr>
      <w:r>
        <w:rPr>
          <w:rStyle w:val="FootnoteReference"/>
        </w:rPr>
        <w:footnoteRef/>
      </w:r>
      <w:r>
        <w:t xml:space="preserve"> </w:t>
      </w:r>
      <w:proofErr w:type="spellStart"/>
      <w:r>
        <w:t>Balsdon</w:t>
      </w:r>
      <w:proofErr w:type="spellEnd"/>
      <w:r>
        <w:t xml:space="preserve">. D and Ferguson. J. 2019. </w:t>
      </w:r>
      <w:r>
        <w:rPr>
          <w:i/>
          <w:iCs/>
        </w:rPr>
        <w:t xml:space="preserve">Marcus Tullius Cicero. </w:t>
      </w:r>
      <w:r>
        <w:t>Encyclopaedia Britannica, Inc.</w:t>
      </w:r>
    </w:p>
  </w:footnote>
  <w:footnote w:id="10">
    <w:p w14:paraId="3EA466FA" w14:textId="77777777" w:rsidR="007770A5" w:rsidRPr="00955FA6" w:rsidRDefault="007770A5" w:rsidP="007770A5">
      <w:pPr>
        <w:pStyle w:val="FootnoteText"/>
      </w:pPr>
      <w:r>
        <w:rPr>
          <w:rStyle w:val="FootnoteReference"/>
        </w:rPr>
        <w:footnoteRef/>
      </w:r>
      <w:r>
        <w:t xml:space="preserve"> Santangelo. F. 2013. </w:t>
      </w:r>
      <w:r>
        <w:rPr>
          <w:i/>
          <w:iCs/>
        </w:rPr>
        <w:t xml:space="preserve">Divination, Prediction and the end of the Roman Republic. </w:t>
      </w:r>
      <w:r>
        <w:t>Cambridge University Press. P10-11.</w:t>
      </w:r>
    </w:p>
  </w:footnote>
  <w:footnote w:id="11">
    <w:p w14:paraId="440F688D" w14:textId="77777777" w:rsidR="007770A5" w:rsidRDefault="007770A5" w:rsidP="007770A5">
      <w:pPr>
        <w:pStyle w:val="FootnoteText"/>
      </w:pPr>
      <w:r>
        <w:rPr>
          <w:rStyle w:val="FootnoteReference"/>
        </w:rPr>
        <w:footnoteRef/>
      </w:r>
      <w:r>
        <w:t xml:space="preserve"> </w:t>
      </w:r>
      <w:proofErr w:type="spellStart"/>
      <w:r>
        <w:t>MacKendrick</w:t>
      </w:r>
      <w:proofErr w:type="spellEnd"/>
      <w:r>
        <w:t xml:space="preserve">. P.L. 1989. </w:t>
      </w:r>
      <w:r>
        <w:rPr>
          <w:i/>
          <w:iCs/>
        </w:rPr>
        <w:t xml:space="preserve">The Philosophical Books of Cicero. </w:t>
      </w:r>
      <w:r>
        <w:t xml:space="preserve">London. P25; Santangelo. F. (2013). </w:t>
      </w:r>
      <w:r>
        <w:rPr>
          <w:i/>
          <w:iCs/>
        </w:rPr>
        <w:t xml:space="preserve">Divination, Prediction and the end of the Roman Republic. </w:t>
      </w:r>
      <w:r>
        <w:t>Cambridge University Press. P10.</w:t>
      </w:r>
    </w:p>
  </w:footnote>
  <w:footnote w:id="12">
    <w:p w14:paraId="1E2AB9FF" w14:textId="77777777" w:rsidR="007770A5" w:rsidRDefault="007770A5" w:rsidP="007770A5">
      <w:pPr>
        <w:pStyle w:val="FootnoteText"/>
      </w:pPr>
      <w:r>
        <w:rPr>
          <w:rStyle w:val="FootnoteReference"/>
        </w:rPr>
        <w:footnoteRef/>
      </w:r>
      <w:r>
        <w:t xml:space="preserve"> </w:t>
      </w:r>
      <w:proofErr w:type="spellStart"/>
      <w:r>
        <w:t>MacKendrick</w:t>
      </w:r>
      <w:proofErr w:type="spellEnd"/>
      <w:r>
        <w:t xml:space="preserve">. P.L. 1989. </w:t>
      </w:r>
      <w:r>
        <w:rPr>
          <w:i/>
          <w:iCs/>
        </w:rPr>
        <w:t xml:space="preserve">The Philosophical Books of Cicero. </w:t>
      </w:r>
      <w:r>
        <w:t xml:space="preserve">London. P25; Santangelo. F. (2013). </w:t>
      </w:r>
      <w:r>
        <w:rPr>
          <w:i/>
          <w:iCs/>
        </w:rPr>
        <w:t xml:space="preserve">Divination, Prediction and the end of the Roman Republic. </w:t>
      </w:r>
      <w:r>
        <w:t>Cambridge University Press. P10.</w:t>
      </w:r>
    </w:p>
  </w:footnote>
  <w:footnote w:id="13">
    <w:p w14:paraId="682E3E21" w14:textId="77777777" w:rsidR="007770A5" w:rsidRPr="00F87299" w:rsidRDefault="007770A5" w:rsidP="007770A5">
      <w:pPr>
        <w:pStyle w:val="FootnoteText"/>
      </w:pPr>
      <w:r>
        <w:rPr>
          <w:rStyle w:val="FootnoteReference"/>
        </w:rPr>
        <w:footnoteRef/>
      </w:r>
      <w:r>
        <w:t xml:space="preserve"> </w:t>
      </w:r>
      <w:proofErr w:type="spellStart"/>
      <w:r>
        <w:t>Dihle</w:t>
      </w:r>
      <w:proofErr w:type="spellEnd"/>
      <w:r>
        <w:t xml:space="preserve">. A. 1973. </w:t>
      </w:r>
      <w:proofErr w:type="spellStart"/>
      <w:r>
        <w:rPr>
          <w:i/>
          <w:iCs/>
        </w:rPr>
        <w:t>Posidonius</w:t>
      </w:r>
      <w:proofErr w:type="spellEnd"/>
      <w:r>
        <w:rPr>
          <w:i/>
          <w:iCs/>
        </w:rPr>
        <w:t xml:space="preserve">’ System of Moral Philosophy. </w:t>
      </w:r>
      <w:r>
        <w:t>In: The Journal of Hellenic Studies, Vol 93. The Society for the Promotion of Hellenic Studies. PP. 50-57.</w:t>
      </w:r>
    </w:p>
  </w:footnote>
  <w:footnote w:id="14">
    <w:p w14:paraId="511277AA" w14:textId="77777777" w:rsidR="007770A5" w:rsidRPr="00A75E89" w:rsidRDefault="007770A5" w:rsidP="007770A5">
      <w:pPr>
        <w:pStyle w:val="FootnoteText"/>
      </w:pPr>
      <w:r>
        <w:rPr>
          <w:rStyle w:val="FootnoteReference"/>
        </w:rPr>
        <w:footnoteRef/>
      </w:r>
      <w:r>
        <w:t xml:space="preserve"> </w:t>
      </w:r>
      <w:proofErr w:type="spellStart"/>
      <w:r>
        <w:t>Goar</w:t>
      </w:r>
      <w:proofErr w:type="spellEnd"/>
      <w:r>
        <w:t xml:space="preserve">. R. 1968. </w:t>
      </w:r>
      <w:r>
        <w:rPr>
          <w:i/>
          <w:iCs/>
        </w:rPr>
        <w:t xml:space="preserve">The purpose of De Divinatione. </w:t>
      </w:r>
      <w:r>
        <w:t>In Transactions and Proceedings of the American Philological Association, Vol 99. The John Hopkins University Press. P241.</w:t>
      </w:r>
    </w:p>
  </w:footnote>
  <w:footnote w:id="15">
    <w:p w14:paraId="4C85A261" w14:textId="77777777" w:rsidR="007770A5" w:rsidRDefault="007770A5" w:rsidP="007770A5">
      <w:pPr>
        <w:pStyle w:val="FootnoteText"/>
      </w:pPr>
      <w:r>
        <w:rPr>
          <w:rStyle w:val="FootnoteReference"/>
        </w:rPr>
        <w:footnoteRef/>
      </w:r>
      <w:r>
        <w:t xml:space="preserve"> </w:t>
      </w:r>
      <w:proofErr w:type="spellStart"/>
      <w:r>
        <w:t>Goar</w:t>
      </w:r>
      <w:proofErr w:type="spellEnd"/>
      <w:r>
        <w:t xml:space="preserve">. R. 1968. </w:t>
      </w:r>
      <w:r>
        <w:rPr>
          <w:i/>
          <w:iCs/>
        </w:rPr>
        <w:t xml:space="preserve">The purpose of De Divinatione. </w:t>
      </w:r>
      <w:r>
        <w:t>In Transactions and Proceedings of the American Philological Association, Vol 99. The John Hopkins University Press. P241.</w:t>
      </w:r>
    </w:p>
  </w:footnote>
  <w:footnote w:id="16">
    <w:p w14:paraId="3DB3331D" w14:textId="77777777" w:rsidR="007770A5" w:rsidRDefault="007770A5" w:rsidP="007770A5">
      <w:pPr>
        <w:pStyle w:val="FootnoteText"/>
      </w:pPr>
      <w:r>
        <w:rPr>
          <w:rStyle w:val="FootnoteReference"/>
        </w:rPr>
        <w:footnoteRef/>
      </w:r>
      <w:r>
        <w:t xml:space="preserve"> IBID.</w:t>
      </w:r>
    </w:p>
  </w:footnote>
  <w:footnote w:id="17">
    <w:p w14:paraId="1EBCAB24" w14:textId="77777777" w:rsidR="007770A5" w:rsidRDefault="007770A5" w:rsidP="007770A5">
      <w:pPr>
        <w:pStyle w:val="FootnoteText"/>
      </w:pPr>
      <w:r>
        <w:rPr>
          <w:rStyle w:val="FootnoteReference"/>
        </w:rPr>
        <w:footnoteRef/>
      </w:r>
      <w:r>
        <w:t xml:space="preserve"> IBID.</w:t>
      </w:r>
    </w:p>
  </w:footnote>
  <w:footnote w:id="18">
    <w:p w14:paraId="46FE421E" w14:textId="77777777" w:rsidR="007770A5" w:rsidRDefault="007770A5" w:rsidP="007770A5">
      <w:pPr>
        <w:pStyle w:val="FootnoteText"/>
      </w:pPr>
      <w:r>
        <w:rPr>
          <w:rStyle w:val="FootnoteReference"/>
        </w:rPr>
        <w:footnoteRef/>
      </w:r>
      <w:r>
        <w:t xml:space="preserve"> IBID. P242.</w:t>
      </w:r>
    </w:p>
  </w:footnote>
  <w:footnote w:id="19">
    <w:p w14:paraId="233B6206" w14:textId="77777777" w:rsidR="007770A5" w:rsidRPr="008719E4" w:rsidRDefault="007770A5" w:rsidP="007770A5">
      <w:pPr>
        <w:pStyle w:val="FootnoteText"/>
      </w:pPr>
      <w:r>
        <w:rPr>
          <w:rStyle w:val="FootnoteReference"/>
        </w:rPr>
        <w:footnoteRef/>
      </w:r>
      <w:r>
        <w:t xml:space="preserve"> Fox. M. 2007. </w:t>
      </w:r>
      <w:r>
        <w:rPr>
          <w:i/>
          <w:iCs/>
        </w:rPr>
        <w:t xml:space="preserve">Divination, History, and Superstition. </w:t>
      </w:r>
      <w:r>
        <w:t>In, Cicero’s Philosophy of History</w:t>
      </w:r>
      <w:r>
        <w:rPr>
          <w:i/>
          <w:iCs/>
        </w:rPr>
        <w:t xml:space="preserve">. </w:t>
      </w:r>
      <w:r>
        <w:t>Oxford Press. P2.</w:t>
      </w:r>
      <w:r>
        <w:rPr>
          <w:i/>
          <w:iCs/>
        </w:rPr>
        <w:t xml:space="preserve"> </w:t>
      </w:r>
    </w:p>
  </w:footnote>
  <w:footnote w:id="20">
    <w:p w14:paraId="382C53F3" w14:textId="77777777" w:rsidR="007770A5" w:rsidRPr="005A4CDC" w:rsidRDefault="007770A5" w:rsidP="007770A5">
      <w:pPr>
        <w:pStyle w:val="FootnoteText"/>
      </w:pPr>
      <w:r>
        <w:rPr>
          <w:rStyle w:val="FootnoteReference"/>
        </w:rPr>
        <w:footnoteRef/>
      </w:r>
      <w:r>
        <w:t xml:space="preserve"> Schofield. M. 1986. </w:t>
      </w:r>
      <w:r>
        <w:rPr>
          <w:i/>
          <w:iCs/>
        </w:rPr>
        <w:t xml:space="preserve">Cicero for and Against Divination. </w:t>
      </w:r>
      <w:r>
        <w:t>The Journal of Roman Studies, Vol. 76.</w:t>
      </w:r>
      <w:r>
        <w:rPr>
          <w:i/>
          <w:iCs/>
        </w:rPr>
        <w:t xml:space="preserve"> </w:t>
      </w:r>
      <w:r>
        <w:t>Society for the Promotion of Roman studies. P49.</w:t>
      </w:r>
    </w:p>
  </w:footnote>
  <w:footnote w:id="21">
    <w:p w14:paraId="179D6DF7" w14:textId="77777777" w:rsidR="007770A5" w:rsidRDefault="007770A5" w:rsidP="007770A5">
      <w:pPr>
        <w:pStyle w:val="FootnoteText"/>
      </w:pPr>
      <w:r>
        <w:rPr>
          <w:rStyle w:val="FootnoteReference"/>
        </w:rPr>
        <w:footnoteRef/>
      </w:r>
      <w:r>
        <w:t xml:space="preserve"> IBID.</w:t>
      </w:r>
    </w:p>
  </w:footnote>
  <w:footnote w:id="22">
    <w:p w14:paraId="0D906AA9" w14:textId="77777777" w:rsidR="007770A5" w:rsidRPr="00DA6855" w:rsidRDefault="007770A5" w:rsidP="007770A5">
      <w:pPr>
        <w:pStyle w:val="FootnoteText"/>
      </w:pPr>
      <w:r>
        <w:rPr>
          <w:rStyle w:val="FootnoteReference"/>
        </w:rPr>
        <w:footnoteRef/>
      </w:r>
      <w:r>
        <w:t xml:space="preserve"> Leg. 2, I3, 32-3; </w:t>
      </w:r>
      <w:bookmarkStart w:id="5" w:name="_Hlk11509634"/>
      <w:bookmarkStart w:id="6" w:name="_Hlk11509635"/>
      <w:r>
        <w:t xml:space="preserve">Beard. M. 1986. </w:t>
      </w:r>
      <w:r>
        <w:rPr>
          <w:i/>
          <w:iCs/>
        </w:rPr>
        <w:t xml:space="preserve">Cicero and Divination: The Formation of a Latin Discourse. </w:t>
      </w:r>
      <w:r>
        <w:t xml:space="preserve">The Journal of Roman Studies, Vol. 76. Society of the Promotion of Roman Studies. </w:t>
      </w:r>
      <w:bookmarkEnd w:id="5"/>
      <w:bookmarkEnd w:id="6"/>
      <w:r>
        <w:t>P34.</w:t>
      </w:r>
    </w:p>
  </w:footnote>
  <w:footnote w:id="23">
    <w:p w14:paraId="78588545" w14:textId="77777777" w:rsidR="007770A5" w:rsidRDefault="007770A5" w:rsidP="007770A5">
      <w:pPr>
        <w:pStyle w:val="FootnoteText"/>
      </w:pPr>
      <w:r>
        <w:rPr>
          <w:rStyle w:val="FootnoteReference"/>
        </w:rPr>
        <w:footnoteRef/>
      </w:r>
      <w:r>
        <w:t xml:space="preserve"> Beard. M. 1986. </w:t>
      </w:r>
      <w:r>
        <w:rPr>
          <w:i/>
          <w:iCs/>
        </w:rPr>
        <w:t xml:space="preserve">Cicero and Divination: The Formation of a Latin Discourse. </w:t>
      </w:r>
      <w:r>
        <w:t>The Journal of Roman Studies, Vol. 76. Society of the Promotion of Roman Studies. P34.</w:t>
      </w:r>
    </w:p>
  </w:footnote>
  <w:footnote w:id="24">
    <w:p w14:paraId="76FDAAE3" w14:textId="77777777" w:rsidR="007770A5" w:rsidRPr="009A77D3" w:rsidRDefault="007770A5" w:rsidP="007770A5">
      <w:pPr>
        <w:pStyle w:val="FootnoteText"/>
      </w:pPr>
      <w:r>
        <w:rPr>
          <w:rStyle w:val="FootnoteReference"/>
        </w:rPr>
        <w:footnoteRef/>
      </w:r>
      <w:r>
        <w:t xml:space="preserve"> </w:t>
      </w:r>
      <w:bookmarkStart w:id="8" w:name="_Hlk11510599"/>
      <w:r>
        <w:t xml:space="preserve">Beard. M. 1986. </w:t>
      </w:r>
      <w:r>
        <w:rPr>
          <w:i/>
          <w:iCs/>
        </w:rPr>
        <w:t xml:space="preserve">Cicero and Divination: The Formation of a Latin Discourse. </w:t>
      </w:r>
      <w:r>
        <w:t xml:space="preserve">The Journal of Roman Studies, Vol. 76. Society of the Promotion of Roman Studies. P34.; </w:t>
      </w:r>
      <w:proofErr w:type="spellStart"/>
      <w:r>
        <w:t>Linderski</w:t>
      </w:r>
      <w:proofErr w:type="spellEnd"/>
      <w:r>
        <w:t xml:space="preserve">. J. 1982. </w:t>
      </w:r>
      <w:r>
        <w:rPr>
          <w:i/>
          <w:iCs/>
        </w:rPr>
        <w:t>Cicero and Roman divination.</w:t>
      </w:r>
      <w:r>
        <w:t xml:space="preserve"> </w:t>
      </w:r>
      <w:bookmarkEnd w:id="8"/>
      <w:r>
        <w:t>P34-8.</w:t>
      </w:r>
    </w:p>
  </w:footnote>
  <w:footnote w:id="25">
    <w:p w14:paraId="7C91CC5C" w14:textId="77777777" w:rsidR="007770A5" w:rsidRDefault="007770A5" w:rsidP="007770A5">
      <w:pPr>
        <w:pStyle w:val="FootnoteText"/>
      </w:pPr>
      <w:r>
        <w:rPr>
          <w:rStyle w:val="FootnoteReference"/>
        </w:rPr>
        <w:footnoteRef/>
      </w:r>
      <w:r>
        <w:t xml:space="preserve"> Santangelo. F. 2013. </w:t>
      </w:r>
      <w:r>
        <w:rPr>
          <w:i/>
          <w:iCs/>
        </w:rPr>
        <w:t xml:space="preserve">Divination, Prediction and the end of the Roman Republic. </w:t>
      </w:r>
      <w:r>
        <w:t>Cambridge University Press. P35.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66400"/>
    <w:multiLevelType w:val="hybridMultilevel"/>
    <w:tmpl w:val="AD482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40"/>
    <w:rsid w:val="00046ECA"/>
    <w:rsid w:val="00057C6A"/>
    <w:rsid w:val="0007092C"/>
    <w:rsid w:val="00071829"/>
    <w:rsid w:val="000B2519"/>
    <w:rsid w:val="0015028E"/>
    <w:rsid w:val="00151BFD"/>
    <w:rsid w:val="00161D16"/>
    <w:rsid w:val="00183E38"/>
    <w:rsid w:val="001A1215"/>
    <w:rsid w:val="001C2173"/>
    <w:rsid w:val="001C3DC4"/>
    <w:rsid w:val="001D78FE"/>
    <w:rsid w:val="002033D0"/>
    <w:rsid w:val="00206636"/>
    <w:rsid w:val="00247737"/>
    <w:rsid w:val="00296E1F"/>
    <w:rsid w:val="002C575E"/>
    <w:rsid w:val="002C6C94"/>
    <w:rsid w:val="002D099F"/>
    <w:rsid w:val="002D20E3"/>
    <w:rsid w:val="002F61F2"/>
    <w:rsid w:val="00354FCA"/>
    <w:rsid w:val="00357D89"/>
    <w:rsid w:val="00390A40"/>
    <w:rsid w:val="00410364"/>
    <w:rsid w:val="00442B98"/>
    <w:rsid w:val="00466909"/>
    <w:rsid w:val="004814F4"/>
    <w:rsid w:val="004837B6"/>
    <w:rsid w:val="004B1595"/>
    <w:rsid w:val="005615BD"/>
    <w:rsid w:val="0058207D"/>
    <w:rsid w:val="00596F47"/>
    <w:rsid w:val="005A4CDC"/>
    <w:rsid w:val="005D0EAF"/>
    <w:rsid w:val="005D29E8"/>
    <w:rsid w:val="005F53A4"/>
    <w:rsid w:val="005F6A0C"/>
    <w:rsid w:val="0060052F"/>
    <w:rsid w:val="006044C2"/>
    <w:rsid w:val="00655A45"/>
    <w:rsid w:val="006808FC"/>
    <w:rsid w:val="006E1C79"/>
    <w:rsid w:val="006F220E"/>
    <w:rsid w:val="006F429E"/>
    <w:rsid w:val="00707FC0"/>
    <w:rsid w:val="0071378E"/>
    <w:rsid w:val="0073071C"/>
    <w:rsid w:val="00760A11"/>
    <w:rsid w:val="007770A5"/>
    <w:rsid w:val="00791215"/>
    <w:rsid w:val="007A323D"/>
    <w:rsid w:val="00820A8D"/>
    <w:rsid w:val="008719E4"/>
    <w:rsid w:val="00877410"/>
    <w:rsid w:val="008A68EA"/>
    <w:rsid w:val="008B24A0"/>
    <w:rsid w:val="008B5599"/>
    <w:rsid w:val="008F4ECB"/>
    <w:rsid w:val="00934CE0"/>
    <w:rsid w:val="00936A1E"/>
    <w:rsid w:val="00955FA6"/>
    <w:rsid w:val="009A77D3"/>
    <w:rsid w:val="009A7F56"/>
    <w:rsid w:val="009B11D4"/>
    <w:rsid w:val="009C179A"/>
    <w:rsid w:val="009E7B1B"/>
    <w:rsid w:val="009F7C81"/>
    <w:rsid w:val="00A26E00"/>
    <w:rsid w:val="00A75E89"/>
    <w:rsid w:val="00AC6ACA"/>
    <w:rsid w:val="00AD76F6"/>
    <w:rsid w:val="00B33FB4"/>
    <w:rsid w:val="00BA1D87"/>
    <w:rsid w:val="00BB7989"/>
    <w:rsid w:val="00C05D33"/>
    <w:rsid w:val="00C47130"/>
    <w:rsid w:val="00C559E9"/>
    <w:rsid w:val="00C727A4"/>
    <w:rsid w:val="00C91D36"/>
    <w:rsid w:val="00CA73E5"/>
    <w:rsid w:val="00CB70EE"/>
    <w:rsid w:val="00D108D7"/>
    <w:rsid w:val="00D43224"/>
    <w:rsid w:val="00D7416B"/>
    <w:rsid w:val="00D83CAE"/>
    <w:rsid w:val="00D85094"/>
    <w:rsid w:val="00DA1682"/>
    <w:rsid w:val="00DA6855"/>
    <w:rsid w:val="00DE7C85"/>
    <w:rsid w:val="00E01962"/>
    <w:rsid w:val="00E240E8"/>
    <w:rsid w:val="00E33995"/>
    <w:rsid w:val="00E86344"/>
    <w:rsid w:val="00F23A00"/>
    <w:rsid w:val="00F32316"/>
    <w:rsid w:val="00F87299"/>
    <w:rsid w:val="00FB0314"/>
    <w:rsid w:val="00FE5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C46"/>
  <w15:chartTrackingRefBased/>
  <w15:docId w15:val="{A6492147-5F31-466C-9D8A-0D7728EB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3071C"/>
    <w:pPr>
      <w:spacing w:after="0" w:line="240" w:lineRule="auto"/>
    </w:pPr>
    <w:rPr>
      <w:sz w:val="20"/>
      <w:szCs w:val="20"/>
    </w:rPr>
  </w:style>
  <w:style w:type="character" w:customStyle="1" w:styleId="FootnoteTextChar">
    <w:name w:val="Footnote Text Char"/>
    <w:basedOn w:val="DefaultParagraphFont"/>
    <w:link w:val="FootnoteText"/>
    <w:uiPriority w:val="99"/>
    <w:rsid w:val="0073071C"/>
    <w:rPr>
      <w:sz w:val="20"/>
      <w:szCs w:val="20"/>
    </w:rPr>
  </w:style>
  <w:style w:type="character" w:styleId="FootnoteReference">
    <w:name w:val="footnote reference"/>
    <w:basedOn w:val="DefaultParagraphFont"/>
    <w:uiPriority w:val="99"/>
    <w:unhideWhenUsed/>
    <w:rsid w:val="0073071C"/>
    <w:rPr>
      <w:vertAlign w:val="superscript"/>
    </w:rPr>
  </w:style>
  <w:style w:type="paragraph" w:styleId="NormalWeb">
    <w:name w:val="Normal (Web)"/>
    <w:basedOn w:val="Normal"/>
    <w:rsid w:val="00AC6ACA"/>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Hyperlink">
    <w:name w:val="Hyperlink"/>
    <w:uiPriority w:val="99"/>
    <w:unhideWhenUsed/>
    <w:rsid w:val="00AC6A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578833">
      <w:bodyDiv w:val="1"/>
      <w:marLeft w:val="0"/>
      <w:marRight w:val="0"/>
      <w:marTop w:val="0"/>
      <w:marBottom w:val="0"/>
      <w:divBdr>
        <w:top w:val="none" w:sz="0" w:space="0" w:color="auto"/>
        <w:left w:val="none" w:sz="0" w:space="0" w:color="auto"/>
        <w:bottom w:val="none" w:sz="0" w:space="0" w:color="auto"/>
        <w:right w:val="none" w:sz="0" w:space="0" w:color="auto"/>
      </w:divBdr>
    </w:div>
    <w:div w:id="2004433412">
      <w:bodyDiv w:val="1"/>
      <w:marLeft w:val="0"/>
      <w:marRight w:val="0"/>
      <w:marTop w:val="0"/>
      <w:marBottom w:val="0"/>
      <w:divBdr>
        <w:top w:val="none" w:sz="0" w:space="0" w:color="auto"/>
        <w:left w:val="none" w:sz="0" w:space="0" w:color="auto"/>
        <w:bottom w:val="none" w:sz="0" w:space="0" w:color="auto"/>
        <w:right w:val="none" w:sz="0" w:space="0" w:color="auto"/>
      </w:divBdr>
      <w:divsChild>
        <w:div w:id="486475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2007.01.0043%3Abook%3D1%3Asection%3D3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DB937-93E9-4C78-AC3E-49DDEFA2C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7</Pages>
  <Words>1777</Words>
  <Characters>8832</Characters>
  <Application>Microsoft Office Word</Application>
  <DocSecurity>0</DocSecurity>
  <Lines>149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Lapworth</dc:creator>
  <cp:keywords/>
  <dc:description/>
  <cp:lastModifiedBy>Cerys Lapworth</cp:lastModifiedBy>
  <cp:revision>77</cp:revision>
  <dcterms:created xsi:type="dcterms:W3CDTF">2019-06-13T09:56:00Z</dcterms:created>
  <dcterms:modified xsi:type="dcterms:W3CDTF">2019-06-17T14:06:00Z</dcterms:modified>
</cp:coreProperties>
</file>