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9056838"/>
        <w:docPartObj>
          <w:docPartGallery w:val="Cover Pages"/>
          <w:docPartUnique/>
        </w:docPartObj>
      </w:sdtPr>
      <w:sdtContent>
        <w:p w14:paraId="47809C67" w14:textId="24AD344F" w:rsidR="004D6350" w:rsidRDefault="004D6350">
          <w:r>
            <w:rPr>
              <w:noProof/>
            </w:rPr>
            <mc:AlternateContent>
              <mc:Choice Requires="wpg">
                <w:drawing>
                  <wp:anchor distT="0" distB="0" distL="114300" distR="114300" simplePos="0" relativeHeight="251659264" behindDoc="1" locked="0" layoutInCell="1" allowOverlap="1" wp14:anchorId="2BFCF0D6" wp14:editId="21B01E4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4F8B90" w14:textId="15F6FD5B" w:rsidR="004D6350" w:rsidRDefault="004D6350">
                                      <w:pPr>
                                        <w:pStyle w:val="NoSpacing"/>
                                        <w:spacing w:before="120"/>
                                        <w:jc w:val="center"/>
                                        <w:rPr>
                                          <w:color w:val="FFFFFF" w:themeColor="background1"/>
                                        </w:rPr>
                                      </w:pPr>
                                      <w:r>
                                        <w:rPr>
                                          <w:color w:val="FFFFFF" w:themeColor="background1"/>
                                        </w:rPr>
                                        <w:t>Michael Sloan</w:t>
                                      </w:r>
                                    </w:p>
                                  </w:sdtContent>
                                </w:sdt>
                                <w:p w14:paraId="72AA09B2" w14:textId="6EBE4B16" w:rsidR="004D6350" w:rsidRDefault="004D635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DNO</w:t>
                                      </w:r>
                                    </w:sdtContent>
                                  </w:sdt>
                                  <w:r>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Abbeywood</w:t>
                                      </w:r>
                                      <w:proofErr w:type="spellEnd"/>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3A23EA" w14:textId="79614BB1" w:rsidR="004D6350" w:rsidRDefault="004D6350">
                                      <w:pPr>
                                        <w:pStyle w:val="NoSpacing"/>
                                        <w:jc w:val="center"/>
                                        <w:rPr>
                                          <w:rFonts w:asciiTheme="majorHAnsi" w:eastAsiaTheme="majorEastAsia" w:hAnsiTheme="majorHAnsi" w:cstheme="majorBidi"/>
                                          <w:caps/>
                                          <w:color w:val="4472C4" w:themeColor="accent1"/>
                                          <w:sz w:val="72"/>
                                          <w:szCs w:val="72"/>
                                        </w:rPr>
                                      </w:pPr>
                                      <w:r w:rsidRPr="004D6350">
                                        <w:rPr>
                                          <w:rFonts w:asciiTheme="majorHAnsi" w:eastAsiaTheme="majorEastAsia" w:hAnsiTheme="majorHAnsi" w:cstheme="majorBidi"/>
                                          <w:caps/>
                                          <w:color w:val="4472C4" w:themeColor="accent1"/>
                                          <w:sz w:val="72"/>
                                          <w:szCs w:val="72"/>
                                        </w:rPr>
                                        <w:t>ACDA 5013: Risk Assessment &amp; ALARP Justification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FCF0D6"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4F8B90" w14:textId="15F6FD5B" w:rsidR="004D6350" w:rsidRDefault="004D6350">
                                <w:pPr>
                                  <w:pStyle w:val="NoSpacing"/>
                                  <w:spacing w:before="120"/>
                                  <w:jc w:val="center"/>
                                  <w:rPr>
                                    <w:color w:val="FFFFFF" w:themeColor="background1"/>
                                  </w:rPr>
                                </w:pPr>
                                <w:r>
                                  <w:rPr>
                                    <w:color w:val="FFFFFF" w:themeColor="background1"/>
                                  </w:rPr>
                                  <w:t>Michael Sloan</w:t>
                                </w:r>
                              </w:p>
                            </w:sdtContent>
                          </w:sdt>
                          <w:p w14:paraId="72AA09B2" w14:textId="6EBE4B16" w:rsidR="004D6350" w:rsidRDefault="004D635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DNO</w:t>
                                </w:r>
                              </w:sdtContent>
                            </w:sdt>
                            <w:r>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Abbeywood</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3A23EA" w14:textId="79614BB1" w:rsidR="004D6350" w:rsidRDefault="004D6350">
                                <w:pPr>
                                  <w:pStyle w:val="NoSpacing"/>
                                  <w:jc w:val="center"/>
                                  <w:rPr>
                                    <w:rFonts w:asciiTheme="majorHAnsi" w:eastAsiaTheme="majorEastAsia" w:hAnsiTheme="majorHAnsi" w:cstheme="majorBidi"/>
                                    <w:caps/>
                                    <w:color w:val="4472C4" w:themeColor="accent1"/>
                                    <w:sz w:val="72"/>
                                    <w:szCs w:val="72"/>
                                  </w:rPr>
                                </w:pPr>
                                <w:r w:rsidRPr="004D6350">
                                  <w:rPr>
                                    <w:rFonts w:asciiTheme="majorHAnsi" w:eastAsiaTheme="majorEastAsia" w:hAnsiTheme="majorHAnsi" w:cstheme="majorBidi"/>
                                    <w:caps/>
                                    <w:color w:val="4472C4" w:themeColor="accent1"/>
                                    <w:sz w:val="72"/>
                                    <w:szCs w:val="72"/>
                                  </w:rPr>
                                  <w:t>ACDA 5013: Risk Assessment &amp; ALARP Justification</w:t>
                                </w:r>
                              </w:p>
                            </w:sdtContent>
                          </w:sdt>
                        </w:txbxContent>
                      </v:textbox>
                    </v:shape>
                    <w10:wrap anchorx="page" anchory="page"/>
                  </v:group>
                </w:pict>
              </mc:Fallback>
            </mc:AlternateContent>
          </w:r>
        </w:p>
        <w:p w14:paraId="710E3E0D" w14:textId="7C867024" w:rsidR="004D6350" w:rsidRDefault="004D6350">
          <w:r>
            <w:br w:type="page"/>
          </w:r>
        </w:p>
      </w:sdtContent>
    </w:sdt>
    <w:sdt>
      <w:sdtPr>
        <w:id w:val="57101961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75B2FB" w14:textId="34B14DDE" w:rsidR="004D6350" w:rsidRDefault="004D6350">
          <w:pPr>
            <w:pStyle w:val="TOCHeading"/>
          </w:pPr>
          <w:r>
            <w:t>Contents</w:t>
          </w:r>
        </w:p>
        <w:p w14:paraId="2A459140" w14:textId="2557DCED" w:rsidR="00862470" w:rsidRDefault="004D6350">
          <w:pPr>
            <w:pStyle w:val="TOC1"/>
            <w:tabs>
              <w:tab w:val="left" w:pos="440"/>
              <w:tab w:val="right" w:leader="dot" w:pos="13948"/>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3739751" w:history="1">
            <w:r w:rsidR="00862470" w:rsidRPr="000F4EFA">
              <w:rPr>
                <w:rStyle w:val="Hyperlink"/>
                <w:noProof/>
              </w:rPr>
              <w:t>1.</w:t>
            </w:r>
            <w:r w:rsidR="00862470">
              <w:rPr>
                <w:rFonts w:eastAsiaTheme="minorEastAsia"/>
                <w:noProof/>
                <w:kern w:val="2"/>
                <w:sz w:val="24"/>
                <w:szCs w:val="24"/>
                <w:lang w:eastAsia="en-GB"/>
                <w14:ligatures w14:val="standardContextual"/>
              </w:rPr>
              <w:tab/>
            </w:r>
            <w:r w:rsidR="00862470" w:rsidRPr="000F4EFA">
              <w:rPr>
                <w:rStyle w:val="Hyperlink"/>
                <w:noProof/>
              </w:rPr>
              <w:t>Risk Assessment</w:t>
            </w:r>
            <w:r w:rsidR="00862470">
              <w:rPr>
                <w:noProof/>
                <w:webHidden/>
              </w:rPr>
              <w:tab/>
            </w:r>
            <w:r w:rsidR="00862470">
              <w:rPr>
                <w:noProof/>
                <w:webHidden/>
              </w:rPr>
              <w:fldChar w:fldCharType="begin"/>
            </w:r>
            <w:r w:rsidR="00862470">
              <w:rPr>
                <w:noProof/>
                <w:webHidden/>
              </w:rPr>
              <w:instrText xml:space="preserve"> PAGEREF _Toc203739751 \h </w:instrText>
            </w:r>
            <w:r w:rsidR="00862470">
              <w:rPr>
                <w:noProof/>
                <w:webHidden/>
              </w:rPr>
            </w:r>
            <w:r w:rsidR="00862470">
              <w:rPr>
                <w:noProof/>
                <w:webHidden/>
              </w:rPr>
              <w:fldChar w:fldCharType="separate"/>
            </w:r>
            <w:r w:rsidR="00862470">
              <w:rPr>
                <w:noProof/>
                <w:webHidden/>
              </w:rPr>
              <w:t>2</w:t>
            </w:r>
            <w:r w:rsidR="00862470">
              <w:rPr>
                <w:noProof/>
                <w:webHidden/>
              </w:rPr>
              <w:fldChar w:fldCharType="end"/>
            </w:r>
          </w:hyperlink>
        </w:p>
        <w:p w14:paraId="49E21912" w14:textId="0248F7B4" w:rsidR="00862470" w:rsidRDefault="00862470">
          <w:pPr>
            <w:pStyle w:val="TOC2"/>
            <w:tabs>
              <w:tab w:val="left" w:pos="960"/>
              <w:tab w:val="right" w:leader="dot" w:pos="13948"/>
            </w:tabs>
            <w:rPr>
              <w:rFonts w:eastAsiaTheme="minorEastAsia"/>
              <w:noProof/>
              <w:kern w:val="2"/>
              <w:sz w:val="24"/>
              <w:szCs w:val="24"/>
              <w:lang w:eastAsia="en-GB"/>
              <w14:ligatures w14:val="standardContextual"/>
            </w:rPr>
          </w:pPr>
          <w:hyperlink w:anchor="_Toc203739752" w:history="1">
            <w:r w:rsidRPr="000F4EFA">
              <w:rPr>
                <w:rStyle w:val="Hyperlink"/>
                <w:noProof/>
              </w:rPr>
              <w:t>1.1.</w:t>
            </w:r>
            <w:r>
              <w:rPr>
                <w:rFonts w:eastAsiaTheme="minorEastAsia"/>
                <w:noProof/>
                <w:kern w:val="2"/>
                <w:sz w:val="24"/>
                <w:szCs w:val="24"/>
                <w:lang w:eastAsia="en-GB"/>
                <w14:ligatures w14:val="standardContextual"/>
              </w:rPr>
              <w:tab/>
            </w:r>
            <w:r w:rsidRPr="000F4EFA">
              <w:rPr>
                <w:rStyle w:val="Hyperlink"/>
                <w:noProof/>
              </w:rPr>
              <w:t>Hazard and Operability (HAZOP) Study</w:t>
            </w:r>
            <w:r>
              <w:rPr>
                <w:noProof/>
                <w:webHidden/>
              </w:rPr>
              <w:tab/>
            </w:r>
            <w:r>
              <w:rPr>
                <w:noProof/>
                <w:webHidden/>
              </w:rPr>
              <w:fldChar w:fldCharType="begin"/>
            </w:r>
            <w:r>
              <w:rPr>
                <w:noProof/>
                <w:webHidden/>
              </w:rPr>
              <w:instrText xml:space="preserve"> PAGEREF _Toc203739752 \h </w:instrText>
            </w:r>
            <w:r>
              <w:rPr>
                <w:noProof/>
                <w:webHidden/>
              </w:rPr>
            </w:r>
            <w:r>
              <w:rPr>
                <w:noProof/>
                <w:webHidden/>
              </w:rPr>
              <w:fldChar w:fldCharType="separate"/>
            </w:r>
            <w:r>
              <w:rPr>
                <w:noProof/>
                <w:webHidden/>
              </w:rPr>
              <w:t>2</w:t>
            </w:r>
            <w:r>
              <w:rPr>
                <w:noProof/>
                <w:webHidden/>
              </w:rPr>
              <w:fldChar w:fldCharType="end"/>
            </w:r>
          </w:hyperlink>
        </w:p>
        <w:p w14:paraId="01E892B2" w14:textId="43BE78E0" w:rsidR="00862470" w:rsidRDefault="00862470">
          <w:pPr>
            <w:pStyle w:val="TOC2"/>
            <w:tabs>
              <w:tab w:val="left" w:pos="960"/>
              <w:tab w:val="right" w:leader="dot" w:pos="13948"/>
            </w:tabs>
            <w:rPr>
              <w:rFonts w:eastAsiaTheme="minorEastAsia"/>
              <w:noProof/>
              <w:kern w:val="2"/>
              <w:sz w:val="24"/>
              <w:szCs w:val="24"/>
              <w:lang w:eastAsia="en-GB"/>
              <w14:ligatures w14:val="standardContextual"/>
            </w:rPr>
          </w:pPr>
          <w:hyperlink w:anchor="_Toc203739753" w:history="1">
            <w:r w:rsidRPr="000F4EFA">
              <w:rPr>
                <w:rStyle w:val="Hyperlink"/>
                <w:noProof/>
              </w:rPr>
              <w:t>1.2.</w:t>
            </w:r>
            <w:r>
              <w:rPr>
                <w:rFonts w:eastAsiaTheme="minorEastAsia"/>
                <w:noProof/>
                <w:kern w:val="2"/>
                <w:sz w:val="24"/>
                <w:szCs w:val="24"/>
                <w:lang w:eastAsia="en-GB"/>
                <w14:ligatures w14:val="standardContextual"/>
              </w:rPr>
              <w:tab/>
            </w:r>
            <w:r w:rsidRPr="000F4EFA">
              <w:rPr>
                <w:rStyle w:val="Hyperlink"/>
                <w:noProof/>
              </w:rPr>
              <w:t>Risk Classification Matrix</w:t>
            </w:r>
            <w:r>
              <w:rPr>
                <w:noProof/>
                <w:webHidden/>
              </w:rPr>
              <w:tab/>
            </w:r>
            <w:r>
              <w:rPr>
                <w:noProof/>
                <w:webHidden/>
              </w:rPr>
              <w:fldChar w:fldCharType="begin"/>
            </w:r>
            <w:r>
              <w:rPr>
                <w:noProof/>
                <w:webHidden/>
              </w:rPr>
              <w:instrText xml:space="preserve"> PAGEREF _Toc203739753 \h </w:instrText>
            </w:r>
            <w:r>
              <w:rPr>
                <w:noProof/>
                <w:webHidden/>
              </w:rPr>
            </w:r>
            <w:r>
              <w:rPr>
                <w:noProof/>
                <w:webHidden/>
              </w:rPr>
              <w:fldChar w:fldCharType="separate"/>
            </w:r>
            <w:r>
              <w:rPr>
                <w:noProof/>
                <w:webHidden/>
              </w:rPr>
              <w:t>5</w:t>
            </w:r>
            <w:r>
              <w:rPr>
                <w:noProof/>
                <w:webHidden/>
              </w:rPr>
              <w:fldChar w:fldCharType="end"/>
            </w:r>
          </w:hyperlink>
        </w:p>
        <w:p w14:paraId="52507142" w14:textId="7BBFA4D6" w:rsidR="00862470" w:rsidRDefault="00862470">
          <w:pPr>
            <w:pStyle w:val="TOC1"/>
            <w:tabs>
              <w:tab w:val="left" w:pos="440"/>
              <w:tab w:val="right" w:leader="dot" w:pos="13948"/>
            </w:tabs>
            <w:rPr>
              <w:rFonts w:eastAsiaTheme="minorEastAsia"/>
              <w:noProof/>
              <w:kern w:val="2"/>
              <w:sz w:val="24"/>
              <w:szCs w:val="24"/>
              <w:lang w:eastAsia="en-GB"/>
              <w14:ligatures w14:val="standardContextual"/>
            </w:rPr>
          </w:pPr>
          <w:hyperlink w:anchor="_Toc203739754" w:history="1">
            <w:r w:rsidRPr="000F4EFA">
              <w:rPr>
                <w:rStyle w:val="Hyperlink"/>
                <w:noProof/>
              </w:rPr>
              <w:t>2.</w:t>
            </w:r>
            <w:r>
              <w:rPr>
                <w:rFonts w:eastAsiaTheme="minorEastAsia"/>
                <w:noProof/>
                <w:kern w:val="2"/>
                <w:sz w:val="24"/>
                <w:szCs w:val="24"/>
                <w:lang w:eastAsia="en-GB"/>
                <w14:ligatures w14:val="standardContextual"/>
              </w:rPr>
              <w:tab/>
            </w:r>
            <w:r w:rsidRPr="000F4EFA">
              <w:rPr>
                <w:rStyle w:val="Hyperlink"/>
                <w:noProof/>
              </w:rPr>
              <w:t>ALARP Justification</w:t>
            </w:r>
            <w:r>
              <w:rPr>
                <w:noProof/>
                <w:webHidden/>
              </w:rPr>
              <w:tab/>
            </w:r>
            <w:r>
              <w:rPr>
                <w:noProof/>
                <w:webHidden/>
              </w:rPr>
              <w:fldChar w:fldCharType="begin"/>
            </w:r>
            <w:r>
              <w:rPr>
                <w:noProof/>
                <w:webHidden/>
              </w:rPr>
              <w:instrText xml:space="preserve"> PAGEREF _Toc203739754 \h </w:instrText>
            </w:r>
            <w:r>
              <w:rPr>
                <w:noProof/>
                <w:webHidden/>
              </w:rPr>
            </w:r>
            <w:r>
              <w:rPr>
                <w:noProof/>
                <w:webHidden/>
              </w:rPr>
              <w:fldChar w:fldCharType="separate"/>
            </w:r>
            <w:r>
              <w:rPr>
                <w:noProof/>
                <w:webHidden/>
              </w:rPr>
              <w:t>6</w:t>
            </w:r>
            <w:r>
              <w:rPr>
                <w:noProof/>
                <w:webHidden/>
              </w:rPr>
              <w:fldChar w:fldCharType="end"/>
            </w:r>
          </w:hyperlink>
        </w:p>
        <w:p w14:paraId="7315CC77" w14:textId="4ED8555E" w:rsidR="00862470" w:rsidRDefault="00862470">
          <w:pPr>
            <w:pStyle w:val="TOC2"/>
            <w:tabs>
              <w:tab w:val="left" w:pos="960"/>
              <w:tab w:val="right" w:leader="dot" w:pos="13948"/>
            </w:tabs>
            <w:rPr>
              <w:rFonts w:eastAsiaTheme="minorEastAsia"/>
              <w:noProof/>
              <w:kern w:val="2"/>
              <w:sz w:val="24"/>
              <w:szCs w:val="24"/>
              <w:lang w:eastAsia="en-GB"/>
              <w14:ligatures w14:val="standardContextual"/>
            </w:rPr>
          </w:pPr>
          <w:hyperlink w:anchor="_Toc203739755" w:history="1">
            <w:r w:rsidRPr="000F4EFA">
              <w:rPr>
                <w:rStyle w:val="Hyperlink"/>
                <w:noProof/>
              </w:rPr>
              <w:t>2.1.</w:t>
            </w:r>
            <w:r>
              <w:rPr>
                <w:rFonts w:eastAsiaTheme="minorEastAsia"/>
                <w:noProof/>
                <w:kern w:val="2"/>
                <w:sz w:val="24"/>
                <w:szCs w:val="24"/>
                <w:lang w:eastAsia="en-GB"/>
                <w14:ligatures w14:val="standardContextual"/>
              </w:rPr>
              <w:tab/>
            </w:r>
            <w:r w:rsidRPr="000F4EFA">
              <w:rPr>
                <w:rStyle w:val="Hyperlink"/>
                <w:noProof/>
              </w:rPr>
              <w:t>Hazard Description</w:t>
            </w:r>
            <w:r>
              <w:rPr>
                <w:noProof/>
                <w:webHidden/>
              </w:rPr>
              <w:tab/>
            </w:r>
            <w:r>
              <w:rPr>
                <w:noProof/>
                <w:webHidden/>
              </w:rPr>
              <w:fldChar w:fldCharType="begin"/>
            </w:r>
            <w:r>
              <w:rPr>
                <w:noProof/>
                <w:webHidden/>
              </w:rPr>
              <w:instrText xml:space="preserve"> PAGEREF _Toc203739755 \h </w:instrText>
            </w:r>
            <w:r>
              <w:rPr>
                <w:noProof/>
                <w:webHidden/>
              </w:rPr>
            </w:r>
            <w:r>
              <w:rPr>
                <w:noProof/>
                <w:webHidden/>
              </w:rPr>
              <w:fldChar w:fldCharType="separate"/>
            </w:r>
            <w:r>
              <w:rPr>
                <w:noProof/>
                <w:webHidden/>
              </w:rPr>
              <w:t>6</w:t>
            </w:r>
            <w:r>
              <w:rPr>
                <w:noProof/>
                <w:webHidden/>
              </w:rPr>
              <w:fldChar w:fldCharType="end"/>
            </w:r>
          </w:hyperlink>
        </w:p>
        <w:p w14:paraId="2651D9C2" w14:textId="491E9E97" w:rsidR="00862470" w:rsidRDefault="00862470">
          <w:pPr>
            <w:pStyle w:val="TOC2"/>
            <w:tabs>
              <w:tab w:val="left" w:pos="960"/>
              <w:tab w:val="right" w:leader="dot" w:pos="13948"/>
            </w:tabs>
            <w:rPr>
              <w:rFonts w:eastAsiaTheme="minorEastAsia"/>
              <w:noProof/>
              <w:kern w:val="2"/>
              <w:sz w:val="24"/>
              <w:szCs w:val="24"/>
              <w:lang w:eastAsia="en-GB"/>
              <w14:ligatures w14:val="standardContextual"/>
            </w:rPr>
          </w:pPr>
          <w:hyperlink w:anchor="_Toc203739756" w:history="1">
            <w:r w:rsidRPr="000F4EFA">
              <w:rPr>
                <w:rStyle w:val="Hyperlink"/>
                <w:noProof/>
              </w:rPr>
              <w:t>2.2.</w:t>
            </w:r>
            <w:r>
              <w:rPr>
                <w:rFonts w:eastAsiaTheme="minorEastAsia"/>
                <w:noProof/>
                <w:kern w:val="2"/>
                <w:sz w:val="24"/>
                <w:szCs w:val="24"/>
                <w:lang w:eastAsia="en-GB"/>
                <w14:ligatures w14:val="standardContextual"/>
              </w:rPr>
              <w:tab/>
            </w:r>
            <w:r w:rsidRPr="000F4EFA">
              <w:rPr>
                <w:rStyle w:val="Hyperlink"/>
                <w:noProof/>
              </w:rPr>
              <w:t>Controls</w:t>
            </w:r>
            <w:r>
              <w:rPr>
                <w:noProof/>
                <w:webHidden/>
              </w:rPr>
              <w:tab/>
            </w:r>
            <w:r>
              <w:rPr>
                <w:noProof/>
                <w:webHidden/>
              </w:rPr>
              <w:fldChar w:fldCharType="begin"/>
            </w:r>
            <w:r>
              <w:rPr>
                <w:noProof/>
                <w:webHidden/>
              </w:rPr>
              <w:instrText xml:space="preserve"> PAGEREF _Toc203739756 \h </w:instrText>
            </w:r>
            <w:r>
              <w:rPr>
                <w:noProof/>
                <w:webHidden/>
              </w:rPr>
            </w:r>
            <w:r>
              <w:rPr>
                <w:noProof/>
                <w:webHidden/>
              </w:rPr>
              <w:fldChar w:fldCharType="separate"/>
            </w:r>
            <w:r>
              <w:rPr>
                <w:noProof/>
                <w:webHidden/>
              </w:rPr>
              <w:t>6</w:t>
            </w:r>
            <w:r>
              <w:rPr>
                <w:noProof/>
                <w:webHidden/>
              </w:rPr>
              <w:fldChar w:fldCharType="end"/>
            </w:r>
          </w:hyperlink>
        </w:p>
        <w:p w14:paraId="2D1BA9F0" w14:textId="0384A3C4" w:rsidR="00862470" w:rsidRDefault="00862470">
          <w:pPr>
            <w:pStyle w:val="TOC3"/>
            <w:tabs>
              <w:tab w:val="left" w:pos="1440"/>
              <w:tab w:val="right" w:leader="dot" w:pos="13948"/>
            </w:tabs>
            <w:rPr>
              <w:rFonts w:eastAsiaTheme="minorEastAsia"/>
              <w:noProof/>
              <w:kern w:val="2"/>
              <w:sz w:val="24"/>
              <w:szCs w:val="24"/>
              <w:lang w:eastAsia="en-GB"/>
              <w14:ligatures w14:val="standardContextual"/>
            </w:rPr>
          </w:pPr>
          <w:hyperlink w:anchor="_Toc203739757" w:history="1">
            <w:r w:rsidRPr="000F4EFA">
              <w:rPr>
                <w:rStyle w:val="Hyperlink"/>
                <w:noProof/>
              </w:rPr>
              <w:t>2.2.1.</w:t>
            </w:r>
            <w:r>
              <w:rPr>
                <w:rFonts w:eastAsiaTheme="minorEastAsia"/>
                <w:noProof/>
                <w:kern w:val="2"/>
                <w:sz w:val="24"/>
                <w:szCs w:val="24"/>
                <w:lang w:eastAsia="en-GB"/>
                <w14:ligatures w14:val="standardContextual"/>
              </w:rPr>
              <w:tab/>
            </w:r>
            <w:r w:rsidRPr="000F4EFA">
              <w:rPr>
                <w:rStyle w:val="Hyperlink"/>
                <w:noProof/>
              </w:rPr>
              <w:t>Personal Protective Equipment</w:t>
            </w:r>
            <w:r>
              <w:rPr>
                <w:noProof/>
                <w:webHidden/>
              </w:rPr>
              <w:tab/>
            </w:r>
            <w:r>
              <w:rPr>
                <w:noProof/>
                <w:webHidden/>
              </w:rPr>
              <w:fldChar w:fldCharType="begin"/>
            </w:r>
            <w:r>
              <w:rPr>
                <w:noProof/>
                <w:webHidden/>
              </w:rPr>
              <w:instrText xml:space="preserve"> PAGEREF _Toc203739757 \h </w:instrText>
            </w:r>
            <w:r>
              <w:rPr>
                <w:noProof/>
                <w:webHidden/>
              </w:rPr>
            </w:r>
            <w:r>
              <w:rPr>
                <w:noProof/>
                <w:webHidden/>
              </w:rPr>
              <w:fldChar w:fldCharType="separate"/>
            </w:r>
            <w:r>
              <w:rPr>
                <w:noProof/>
                <w:webHidden/>
              </w:rPr>
              <w:t>6</w:t>
            </w:r>
            <w:r>
              <w:rPr>
                <w:noProof/>
                <w:webHidden/>
              </w:rPr>
              <w:fldChar w:fldCharType="end"/>
            </w:r>
          </w:hyperlink>
        </w:p>
        <w:p w14:paraId="19533A73" w14:textId="32FC3D12" w:rsidR="00862470" w:rsidRDefault="00862470">
          <w:pPr>
            <w:pStyle w:val="TOC3"/>
            <w:tabs>
              <w:tab w:val="left" w:pos="1440"/>
              <w:tab w:val="right" w:leader="dot" w:pos="13948"/>
            </w:tabs>
            <w:rPr>
              <w:rFonts w:eastAsiaTheme="minorEastAsia"/>
              <w:noProof/>
              <w:kern w:val="2"/>
              <w:sz w:val="24"/>
              <w:szCs w:val="24"/>
              <w:lang w:eastAsia="en-GB"/>
              <w14:ligatures w14:val="standardContextual"/>
            </w:rPr>
          </w:pPr>
          <w:hyperlink w:anchor="_Toc203739758" w:history="1">
            <w:r w:rsidRPr="000F4EFA">
              <w:rPr>
                <w:rStyle w:val="Hyperlink"/>
                <w:noProof/>
              </w:rPr>
              <w:t>2.2.2.</w:t>
            </w:r>
            <w:r>
              <w:rPr>
                <w:rFonts w:eastAsiaTheme="minorEastAsia"/>
                <w:noProof/>
                <w:kern w:val="2"/>
                <w:sz w:val="24"/>
                <w:szCs w:val="24"/>
                <w:lang w:eastAsia="en-GB"/>
                <w14:ligatures w14:val="standardContextual"/>
              </w:rPr>
              <w:tab/>
            </w:r>
            <w:r w:rsidRPr="000F4EFA">
              <w:rPr>
                <w:rStyle w:val="Hyperlink"/>
                <w:noProof/>
              </w:rPr>
              <w:t>Training</w:t>
            </w:r>
            <w:r>
              <w:rPr>
                <w:noProof/>
                <w:webHidden/>
              </w:rPr>
              <w:tab/>
            </w:r>
            <w:r>
              <w:rPr>
                <w:noProof/>
                <w:webHidden/>
              </w:rPr>
              <w:fldChar w:fldCharType="begin"/>
            </w:r>
            <w:r>
              <w:rPr>
                <w:noProof/>
                <w:webHidden/>
              </w:rPr>
              <w:instrText xml:space="preserve"> PAGEREF _Toc203739758 \h </w:instrText>
            </w:r>
            <w:r>
              <w:rPr>
                <w:noProof/>
                <w:webHidden/>
              </w:rPr>
            </w:r>
            <w:r>
              <w:rPr>
                <w:noProof/>
                <w:webHidden/>
              </w:rPr>
              <w:fldChar w:fldCharType="separate"/>
            </w:r>
            <w:r>
              <w:rPr>
                <w:noProof/>
                <w:webHidden/>
              </w:rPr>
              <w:t>7</w:t>
            </w:r>
            <w:r>
              <w:rPr>
                <w:noProof/>
                <w:webHidden/>
              </w:rPr>
              <w:fldChar w:fldCharType="end"/>
            </w:r>
          </w:hyperlink>
        </w:p>
        <w:p w14:paraId="28F61496" w14:textId="41E058E0" w:rsidR="00862470" w:rsidRDefault="00862470">
          <w:pPr>
            <w:pStyle w:val="TOC3"/>
            <w:tabs>
              <w:tab w:val="left" w:pos="1440"/>
              <w:tab w:val="right" w:leader="dot" w:pos="13948"/>
            </w:tabs>
            <w:rPr>
              <w:rFonts w:eastAsiaTheme="minorEastAsia"/>
              <w:noProof/>
              <w:kern w:val="2"/>
              <w:sz w:val="24"/>
              <w:szCs w:val="24"/>
              <w:lang w:eastAsia="en-GB"/>
              <w14:ligatures w14:val="standardContextual"/>
            </w:rPr>
          </w:pPr>
          <w:hyperlink w:anchor="_Toc203739759" w:history="1">
            <w:r w:rsidRPr="000F4EFA">
              <w:rPr>
                <w:rStyle w:val="Hyperlink"/>
                <w:noProof/>
              </w:rPr>
              <w:t>2.2.3.</w:t>
            </w:r>
            <w:r>
              <w:rPr>
                <w:rFonts w:eastAsiaTheme="minorEastAsia"/>
                <w:noProof/>
                <w:kern w:val="2"/>
                <w:sz w:val="24"/>
                <w:szCs w:val="24"/>
                <w:lang w:eastAsia="en-GB"/>
                <w14:ligatures w14:val="standardContextual"/>
              </w:rPr>
              <w:tab/>
            </w:r>
            <w:r w:rsidRPr="000F4EFA">
              <w:rPr>
                <w:rStyle w:val="Hyperlink"/>
                <w:noProof/>
              </w:rPr>
              <w:t>Increase Visibility of the Hazard</w:t>
            </w:r>
            <w:r>
              <w:rPr>
                <w:noProof/>
                <w:webHidden/>
              </w:rPr>
              <w:tab/>
            </w:r>
            <w:r>
              <w:rPr>
                <w:noProof/>
                <w:webHidden/>
              </w:rPr>
              <w:fldChar w:fldCharType="begin"/>
            </w:r>
            <w:r>
              <w:rPr>
                <w:noProof/>
                <w:webHidden/>
              </w:rPr>
              <w:instrText xml:space="preserve"> PAGEREF _Toc203739759 \h </w:instrText>
            </w:r>
            <w:r>
              <w:rPr>
                <w:noProof/>
                <w:webHidden/>
              </w:rPr>
            </w:r>
            <w:r>
              <w:rPr>
                <w:noProof/>
                <w:webHidden/>
              </w:rPr>
              <w:fldChar w:fldCharType="separate"/>
            </w:r>
            <w:r>
              <w:rPr>
                <w:noProof/>
                <w:webHidden/>
              </w:rPr>
              <w:t>7</w:t>
            </w:r>
            <w:r>
              <w:rPr>
                <w:noProof/>
                <w:webHidden/>
              </w:rPr>
              <w:fldChar w:fldCharType="end"/>
            </w:r>
          </w:hyperlink>
        </w:p>
        <w:p w14:paraId="03808AEC" w14:textId="0BBC6271" w:rsidR="00862470" w:rsidRDefault="00862470">
          <w:pPr>
            <w:pStyle w:val="TOC3"/>
            <w:tabs>
              <w:tab w:val="left" w:pos="1440"/>
              <w:tab w:val="right" w:leader="dot" w:pos="13948"/>
            </w:tabs>
            <w:rPr>
              <w:rFonts w:eastAsiaTheme="minorEastAsia"/>
              <w:noProof/>
              <w:kern w:val="2"/>
              <w:sz w:val="24"/>
              <w:szCs w:val="24"/>
              <w:lang w:eastAsia="en-GB"/>
              <w14:ligatures w14:val="standardContextual"/>
            </w:rPr>
          </w:pPr>
          <w:hyperlink w:anchor="_Toc203739760" w:history="1">
            <w:r w:rsidRPr="000F4EFA">
              <w:rPr>
                <w:rStyle w:val="Hyperlink"/>
                <w:noProof/>
              </w:rPr>
              <w:t>2.2.4.</w:t>
            </w:r>
            <w:r>
              <w:rPr>
                <w:rFonts w:eastAsiaTheme="minorEastAsia"/>
                <w:noProof/>
                <w:kern w:val="2"/>
                <w:sz w:val="24"/>
                <w:szCs w:val="24"/>
                <w:lang w:eastAsia="en-GB"/>
                <w14:ligatures w14:val="standardContextual"/>
              </w:rPr>
              <w:tab/>
            </w:r>
            <w:r w:rsidRPr="000F4EFA">
              <w:rPr>
                <w:rStyle w:val="Hyperlink"/>
                <w:noProof/>
              </w:rPr>
              <w:t>Lessening the severity of the Hazard</w:t>
            </w:r>
            <w:r>
              <w:rPr>
                <w:noProof/>
                <w:webHidden/>
              </w:rPr>
              <w:tab/>
            </w:r>
            <w:r>
              <w:rPr>
                <w:noProof/>
                <w:webHidden/>
              </w:rPr>
              <w:fldChar w:fldCharType="begin"/>
            </w:r>
            <w:r>
              <w:rPr>
                <w:noProof/>
                <w:webHidden/>
              </w:rPr>
              <w:instrText xml:space="preserve"> PAGEREF _Toc203739760 \h </w:instrText>
            </w:r>
            <w:r>
              <w:rPr>
                <w:noProof/>
                <w:webHidden/>
              </w:rPr>
            </w:r>
            <w:r>
              <w:rPr>
                <w:noProof/>
                <w:webHidden/>
              </w:rPr>
              <w:fldChar w:fldCharType="separate"/>
            </w:r>
            <w:r>
              <w:rPr>
                <w:noProof/>
                <w:webHidden/>
              </w:rPr>
              <w:t>7</w:t>
            </w:r>
            <w:r>
              <w:rPr>
                <w:noProof/>
                <w:webHidden/>
              </w:rPr>
              <w:fldChar w:fldCharType="end"/>
            </w:r>
          </w:hyperlink>
        </w:p>
        <w:p w14:paraId="755E3DB2" w14:textId="0BD69C15" w:rsidR="00862470" w:rsidRDefault="00862470">
          <w:pPr>
            <w:pStyle w:val="TOC2"/>
            <w:tabs>
              <w:tab w:val="left" w:pos="960"/>
              <w:tab w:val="right" w:leader="dot" w:pos="13948"/>
            </w:tabs>
            <w:rPr>
              <w:rFonts w:eastAsiaTheme="minorEastAsia"/>
              <w:noProof/>
              <w:kern w:val="2"/>
              <w:sz w:val="24"/>
              <w:szCs w:val="24"/>
              <w:lang w:eastAsia="en-GB"/>
              <w14:ligatures w14:val="standardContextual"/>
            </w:rPr>
          </w:pPr>
          <w:hyperlink w:anchor="_Toc203739761" w:history="1">
            <w:r w:rsidRPr="000F4EFA">
              <w:rPr>
                <w:rStyle w:val="Hyperlink"/>
                <w:noProof/>
              </w:rPr>
              <w:t>2.3.</w:t>
            </w:r>
            <w:r>
              <w:rPr>
                <w:rFonts w:eastAsiaTheme="minorEastAsia"/>
                <w:noProof/>
                <w:kern w:val="2"/>
                <w:sz w:val="24"/>
                <w:szCs w:val="24"/>
                <w:lang w:eastAsia="en-GB"/>
                <w14:ligatures w14:val="standardContextual"/>
              </w:rPr>
              <w:tab/>
            </w:r>
            <w:r w:rsidRPr="000F4EFA">
              <w:rPr>
                <w:rStyle w:val="Hyperlink"/>
                <w:noProof/>
              </w:rPr>
              <w:t>Conclusion</w:t>
            </w:r>
            <w:r>
              <w:rPr>
                <w:noProof/>
                <w:webHidden/>
              </w:rPr>
              <w:tab/>
            </w:r>
            <w:r>
              <w:rPr>
                <w:noProof/>
                <w:webHidden/>
              </w:rPr>
              <w:fldChar w:fldCharType="begin"/>
            </w:r>
            <w:r>
              <w:rPr>
                <w:noProof/>
                <w:webHidden/>
              </w:rPr>
              <w:instrText xml:space="preserve"> PAGEREF _Toc203739761 \h </w:instrText>
            </w:r>
            <w:r>
              <w:rPr>
                <w:noProof/>
                <w:webHidden/>
              </w:rPr>
            </w:r>
            <w:r>
              <w:rPr>
                <w:noProof/>
                <w:webHidden/>
              </w:rPr>
              <w:fldChar w:fldCharType="separate"/>
            </w:r>
            <w:r>
              <w:rPr>
                <w:noProof/>
                <w:webHidden/>
              </w:rPr>
              <w:t>8</w:t>
            </w:r>
            <w:r>
              <w:rPr>
                <w:noProof/>
                <w:webHidden/>
              </w:rPr>
              <w:fldChar w:fldCharType="end"/>
            </w:r>
          </w:hyperlink>
        </w:p>
        <w:p w14:paraId="3B71DE2F" w14:textId="493B700D" w:rsidR="00862470" w:rsidRDefault="00862470">
          <w:pPr>
            <w:pStyle w:val="TOC1"/>
            <w:tabs>
              <w:tab w:val="left" w:pos="440"/>
              <w:tab w:val="right" w:leader="dot" w:pos="13948"/>
            </w:tabs>
            <w:rPr>
              <w:rFonts w:eastAsiaTheme="minorEastAsia"/>
              <w:noProof/>
              <w:kern w:val="2"/>
              <w:sz w:val="24"/>
              <w:szCs w:val="24"/>
              <w:lang w:eastAsia="en-GB"/>
              <w14:ligatures w14:val="standardContextual"/>
            </w:rPr>
          </w:pPr>
          <w:hyperlink w:anchor="_Toc203739762" w:history="1">
            <w:r w:rsidRPr="000F4EFA">
              <w:rPr>
                <w:rStyle w:val="Hyperlink"/>
                <w:noProof/>
              </w:rPr>
              <w:t>3.</w:t>
            </w:r>
            <w:r>
              <w:rPr>
                <w:rFonts w:eastAsiaTheme="minorEastAsia"/>
                <w:noProof/>
                <w:kern w:val="2"/>
                <w:sz w:val="24"/>
                <w:szCs w:val="24"/>
                <w:lang w:eastAsia="en-GB"/>
                <w14:ligatures w14:val="standardContextual"/>
              </w:rPr>
              <w:tab/>
            </w:r>
            <w:r w:rsidRPr="000F4EFA">
              <w:rPr>
                <w:rStyle w:val="Hyperlink"/>
                <w:noProof/>
              </w:rPr>
              <w:t>References</w:t>
            </w:r>
            <w:r>
              <w:rPr>
                <w:noProof/>
                <w:webHidden/>
              </w:rPr>
              <w:tab/>
            </w:r>
            <w:r>
              <w:rPr>
                <w:noProof/>
                <w:webHidden/>
              </w:rPr>
              <w:fldChar w:fldCharType="begin"/>
            </w:r>
            <w:r>
              <w:rPr>
                <w:noProof/>
                <w:webHidden/>
              </w:rPr>
              <w:instrText xml:space="preserve"> PAGEREF _Toc203739762 \h </w:instrText>
            </w:r>
            <w:r>
              <w:rPr>
                <w:noProof/>
                <w:webHidden/>
              </w:rPr>
            </w:r>
            <w:r>
              <w:rPr>
                <w:noProof/>
                <w:webHidden/>
              </w:rPr>
              <w:fldChar w:fldCharType="separate"/>
            </w:r>
            <w:r>
              <w:rPr>
                <w:noProof/>
                <w:webHidden/>
              </w:rPr>
              <w:t>9</w:t>
            </w:r>
            <w:r>
              <w:rPr>
                <w:noProof/>
                <w:webHidden/>
              </w:rPr>
              <w:fldChar w:fldCharType="end"/>
            </w:r>
          </w:hyperlink>
        </w:p>
        <w:p w14:paraId="4560193B" w14:textId="1A65891E" w:rsidR="004D6350" w:rsidRDefault="004D6350">
          <w:r>
            <w:rPr>
              <w:b/>
              <w:bCs/>
              <w:noProof/>
            </w:rPr>
            <w:fldChar w:fldCharType="end"/>
          </w:r>
        </w:p>
      </w:sdtContent>
    </w:sdt>
    <w:p w14:paraId="313CD0BF" w14:textId="1C24975F" w:rsidR="004D6350" w:rsidRDefault="004D6350">
      <w:r>
        <w:br w:type="page"/>
      </w:r>
    </w:p>
    <w:p w14:paraId="42CFD82D" w14:textId="14FFD469" w:rsidR="004D6350" w:rsidRDefault="004D6350" w:rsidP="004D6350">
      <w:pPr>
        <w:pStyle w:val="Heading1"/>
        <w:numPr>
          <w:ilvl w:val="0"/>
          <w:numId w:val="1"/>
        </w:numPr>
      </w:pPr>
      <w:bookmarkStart w:id="0" w:name="_Toc203739751"/>
      <w:r>
        <w:lastRenderedPageBreak/>
        <w:t>Risk Assessment</w:t>
      </w:r>
      <w:bookmarkEnd w:id="0"/>
    </w:p>
    <w:p w14:paraId="25EA05CB" w14:textId="074FC4B9" w:rsidR="0018625C" w:rsidRPr="0018625C" w:rsidRDefault="0018625C" w:rsidP="0018625C">
      <w:pPr>
        <w:pStyle w:val="Heading2"/>
        <w:numPr>
          <w:ilvl w:val="1"/>
          <w:numId w:val="1"/>
        </w:numPr>
      </w:pPr>
      <w:bookmarkStart w:id="1" w:name="_Toc203739752"/>
      <w:r>
        <w:t>H</w:t>
      </w:r>
      <w:r w:rsidR="00B304CD">
        <w:t>azard and Operability (HAZOP) Study</w:t>
      </w:r>
      <w:bookmarkEnd w:id="1"/>
    </w:p>
    <w:tbl>
      <w:tblPr>
        <w:tblStyle w:val="PlainTable1"/>
        <w:tblW w:w="0" w:type="auto"/>
        <w:tblLayout w:type="fixed"/>
        <w:tblLook w:val="04A0" w:firstRow="1" w:lastRow="0" w:firstColumn="1" w:lastColumn="0" w:noHBand="0" w:noVBand="1"/>
      </w:tblPr>
      <w:tblGrid>
        <w:gridCol w:w="1129"/>
        <w:gridCol w:w="1560"/>
        <w:gridCol w:w="1417"/>
        <w:gridCol w:w="1559"/>
        <w:gridCol w:w="520"/>
        <w:gridCol w:w="520"/>
        <w:gridCol w:w="520"/>
        <w:gridCol w:w="1417"/>
        <w:gridCol w:w="1985"/>
        <w:gridCol w:w="567"/>
        <w:gridCol w:w="567"/>
        <w:gridCol w:w="567"/>
        <w:gridCol w:w="1620"/>
      </w:tblGrid>
      <w:tr w:rsidR="004D6350" w14:paraId="224F377A" w14:textId="2C256DF3" w:rsidTr="00AE60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shd w:val="clear" w:color="auto" w:fill="D9E2F3" w:themeFill="accent1" w:themeFillTint="33"/>
          </w:tcPr>
          <w:p w14:paraId="51C5BF43" w14:textId="52D28668" w:rsidR="004D6350" w:rsidRPr="00C94CDA" w:rsidRDefault="004D6350">
            <w:r w:rsidRPr="00C94CDA">
              <w:t>Facility:</w:t>
            </w:r>
          </w:p>
        </w:tc>
        <w:tc>
          <w:tcPr>
            <w:tcW w:w="7513" w:type="dxa"/>
            <w:gridSpan w:val="7"/>
            <w:shd w:val="clear" w:color="auto" w:fill="D9E2F3" w:themeFill="accent1" w:themeFillTint="33"/>
          </w:tcPr>
          <w:p w14:paraId="4081A8A0" w14:textId="03136F3B" w:rsidR="004D6350" w:rsidRDefault="004D6350">
            <w:pPr>
              <w:cnfStyle w:val="100000000000" w:firstRow="1" w:lastRow="0" w:firstColumn="0" w:lastColumn="0" w:oddVBand="0" w:evenVBand="0" w:oddHBand="0" w:evenHBand="0" w:firstRowFirstColumn="0" w:firstRowLastColumn="0" w:lastRowFirstColumn="0" w:lastRowLastColumn="0"/>
            </w:pPr>
            <w:r>
              <w:t>Ajax Turret System</w:t>
            </w:r>
          </w:p>
        </w:tc>
        <w:tc>
          <w:tcPr>
            <w:tcW w:w="1985" w:type="dxa"/>
            <w:shd w:val="clear" w:color="auto" w:fill="D9E2F3" w:themeFill="accent1" w:themeFillTint="33"/>
          </w:tcPr>
          <w:p w14:paraId="492EC8DB" w14:textId="7D133798" w:rsidR="004D6350" w:rsidRPr="00C94CDA" w:rsidRDefault="004D6350">
            <w:pPr>
              <w:cnfStyle w:val="100000000000" w:firstRow="1" w:lastRow="0" w:firstColumn="0" w:lastColumn="0" w:oddVBand="0" w:evenVBand="0" w:oddHBand="0" w:evenHBand="0" w:firstRowFirstColumn="0" w:firstRowLastColumn="0" w:lastRowFirstColumn="0" w:lastRowLastColumn="0"/>
            </w:pPr>
            <w:r w:rsidRPr="00C94CDA">
              <w:t>Session:</w:t>
            </w:r>
          </w:p>
        </w:tc>
        <w:tc>
          <w:tcPr>
            <w:tcW w:w="3321" w:type="dxa"/>
            <w:gridSpan w:val="4"/>
            <w:shd w:val="clear" w:color="auto" w:fill="D9E2F3" w:themeFill="accent1" w:themeFillTint="33"/>
          </w:tcPr>
          <w:p w14:paraId="32F7C152" w14:textId="538423F7" w:rsidR="004D6350" w:rsidRDefault="004D6350">
            <w:pPr>
              <w:cnfStyle w:val="100000000000" w:firstRow="1" w:lastRow="0" w:firstColumn="0" w:lastColumn="0" w:oddVBand="0" w:evenVBand="0" w:oddHBand="0" w:evenHBand="0" w:firstRowFirstColumn="0" w:firstRowLastColumn="0" w:lastRowFirstColumn="0" w:lastRowLastColumn="0"/>
            </w:pPr>
            <w:r>
              <w:t>Operations</w:t>
            </w:r>
          </w:p>
        </w:tc>
      </w:tr>
      <w:tr w:rsidR="004D6350" w14:paraId="1969C00C" w14:textId="65C0298C" w:rsidTr="00A16E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shd w:val="clear" w:color="auto" w:fill="D9E2F3" w:themeFill="accent1" w:themeFillTint="33"/>
          </w:tcPr>
          <w:p w14:paraId="541015BE" w14:textId="118314EB" w:rsidR="004D6350" w:rsidRPr="00C94CDA" w:rsidRDefault="004D6350">
            <w:r w:rsidRPr="00C94CDA">
              <w:t>Node:</w:t>
            </w:r>
          </w:p>
        </w:tc>
        <w:tc>
          <w:tcPr>
            <w:tcW w:w="12819" w:type="dxa"/>
            <w:gridSpan w:val="12"/>
            <w:shd w:val="clear" w:color="auto" w:fill="D9E2F3" w:themeFill="accent1" w:themeFillTint="33"/>
          </w:tcPr>
          <w:p w14:paraId="1806D9FF" w14:textId="3A26D4A3" w:rsidR="004D6350" w:rsidRDefault="004D6350">
            <w:pPr>
              <w:cnfStyle w:val="000000100000" w:firstRow="0" w:lastRow="0" w:firstColumn="0" w:lastColumn="0" w:oddVBand="0" w:evenVBand="0" w:oddHBand="1" w:evenHBand="0" w:firstRowFirstColumn="0" w:firstRowLastColumn="0" w:lastRowFirstColumn="0" w:lastRowLastColumn="0"/>
            </w:pPr>
            <w:r>
              <w:t>Non-Energetic applications of the Ajax turret systems during operational environments</w:t>
            </w:r>
          </w:p>
        </w:tc>
      </w:tr>
      <w:tr w:rsidR="004D6350" w14:paraId="6878EB2B" w14:textId="59E5C1F5" w:rsidTr="00A16E70">
        <w:tc>
          <w:tcPr>
            <w:cnfStyle w:val="001000000000" w:firstRow="0" w:lastRow="0" w:firstColumn="1" w:lastColumn="0" w:oddVBand="0" w:evenVBand="0" w:oddHBand="0" w:evenHBand="0" w:firstRowFirstColumn="0" w:firstRowLastColumn="0" w:lastRowFirstColumn="0" w:lastRowLastColumn="0"/>
            <w:tcW w:w="1129" w:type="dxa"/>
            <w:shd w:val="clear" w:color="auto" w:fill="D9E2F3" w:themeFill="accent1" w:themeFillTint="33"/>
          </w:tcPr>
          <w:p w14:paraId="08F952DF" w14:textId="435DF9F7" w:rsidR="004D6350" w:rsidRPr="00C94CDA" w:rsidRDefault="004D6350">
            <w:r w:rsidRPr="00C94CDA">
              <w:t>Intention:</w:t>
            </w:r>
          </w:p>
        </w:tc>
        <w:tc>
          <w:tcPr>
            <w:tcW w:w="12819" w:type="dxa"/>
            <w:gridSpan w:val="12"/>
            <w:shd w:val="clear" w:color="auto" w:fill="D9E2F3" w:themeFill="accent1" w:themeFillTint="33"/>
          </w:tcPr>
          <w:p w14:paraId="5E4EC84B" w14:textId="7D977B9A" w:rsidR="004D6350" w:rsidRDefault="004D6350">
            <w:pPr>
              <w:cnfStyle w:val="000000000000" w:firstRow="0" w:lastRow="0" w:firstColumn="0" w:lastColumn="0" w:oddVBand="0" w:evenVBand="0" w:oddHBand="0" w:evenHBand="0" w:firstRowFirstColumn="0" w:firstRowLastColumn="0" w:lastRowFirstColumn="0" w:lastRowLastColumn="0"/>
            </w:pPr>
            <w:r>
              <w:t>Rotate the main turret system and pitch the gun barrel, and any additional movements by auxiliary systems in support of primary energetic operations.</w:t>
            </w:r>
          </w:p>
        </w:tc>
      </w:tr>
      <w:tr w:rsidR="00310005" w14:paraId="5D2C804B" w14:textId="77777777" w:rsidTr="00AE60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Merge w:val="restart"/>
            <w:shd w:val="clear" w:color="auto" w:fill="D9E2F3" w:themeFill="accent1" w:themeFillTint="33"/>
          </w:tcPr>
          <w:p w14:paraId="130280A2" w14:textId="03282EEE" w:rsidR="00310005" w:rsidRPr="00C94CDA" w:rsidRDefault="00310005" w:rsidP="00836806">
            <w:r w:rsidRPr="00C94CDA">
              <w:t>ID</w:t>
            </w:r>
          </w:p>
        </w:tc>
        <w:tc>
          <w:tcPr>
            <w:tcW w:w="4536" w:type="dxa"/>
            <w:gridSpan w:val="3"/>
            <w:shd w:val="clear" w:color="auto" w:fill="D9E2F3" w:themeFill="accent1" w:themeFillTint="33"/>
          </w:tcPr>
          <w:p w14:paraId="08EC6F71" w14:textId="67DE5A4A" w:rsidR="00310005" w:rsidRPr="0087375F" w:rsidRDefault="00310005">
            <w:pPr>
              <w:cnfStyle w:val="000000100000" w:firstRow="0" w:lastRow="0" w:firstColumn="0" w:lastColumn="0" w:oddVBand="0" w:evenVBand="0" w:oddHBand="1" w:evenHBand="0" w:firstRowFirstColumn="0" w:firstRowLastColumn="0" w:lastRowFirstColumn="0" w:lastRowLastColumn="0"/>
              <w:rPr>
                <w:b/>
                <w:bCs/>
              </w:rPr>
            </w:pPr>
            <w:r>
              <w:rPr>
                <w:b/>
                <w:bCs/>
              </w:rPr>
              <w:t>Hazard Description</w:t>
            </w:r>
          </w:p>
        </w:tc>
        <w:tc>
          <w:tcPr>
            <w:tcW w:w="1560" w:type="dxa"/>
            <w:gridSpan w:val="3"/>
            <w:shd w:val="clear" w:color="auto" w:fill="D9E2F3" w:themeFill="accent1" w:themeFillTint="33"/>
          </w:tcPr>
          <w:p w14:paraId="1EC2340D" w14:textId="34B73461" w:rsidR="00310005" w:rsidRPr="0087375F" w:rsidRDefault="00310005">
            <w:pPr>
              <w:cnfStyle w:val="000000100000" w:firstRow="0" w:lastRow="0" w:firstColumn="0" w:lastColumn="0" w:oddVBand="0" w:evenVBand="0" w:oddHBand="1" w:evenHBand="0" w:firstRowFirstColumn="0" w:firstRowLastColumn="0" w:lastRowFirstColumn="0" w:lastRowLastColumn="0"/>
              <w:rPr>
                <w:b/>
                <w:bCs/>
              </w:rPr>
            </w:pPr>
            <w:r>
              <w:rPr>
                <w:b/>
                <w:bCs/>
              </w:rPr>
              <w:t>Pre-Control Risk Estimate</w:t>
            </w:r>
          </w:p>
        </w:tc>
        <w:tc>
          <w:tcPr>
            <w:tcW w:w="3402" w:type="dxa"/>
            <w:gridSpan w:val="2"/>
            <w:shd w:val="clear" w:color="auto" w:fill="D9E2F3" w:themeFill="accent1" w:themeFillTint="33"/>
          </w:tcPr>
          <w:p w14:paraId="3B870DB7" w14:textId="22D59951" w:rsidR="00310005" w:rsidRPr="0087375F" w:rsidRDefault="00310005">
            <w:pPr>
              <w:cnfStyle w:val="000000100000" w:firstRow="0" w:lastRow="0" w:firstColumn="0" w:lastColumn="0" w:oddVBand="0" w:evenVBand="0" w:oddHBand="1" w:evenHBand="0" w:firstRowFirstColumn="0" w:firstRowLastColumn="0" w:lastRowFirstColumn="0" w:lastRowLastColumn="0"/>
              <w:rPr>
                <w:b/>
                <w:bCs/>
              </w:rPr>
            </w:pPr>
            <w:r>
              <w:rPr>
                <w:b/>
                <w:bCs/>
              </w:rPr>
              <w:t>Safeguards</w:t>
            </w:r>
          </w:p>
        </w:tc>
        <w:tc>
          <w:tcPr>
            <w:tcW w:w="1701" w:type="dxa"/>
            <w:gridSpan w:val="3"/>
            <w:shd w:val="clear" w:color="auto" w:fill="D9E2F3" w:themeFill="accent1" w:themeFillTint="33"/>
          </w:tcPr>
          <w:p w14:paraId="1F3DE6B2" w14:textId="07AC9A9B" w:rsidR="00310005" w:rsidRPr="0087375F" w:rsidRDefault="00310005">
            <w:pPr>
              <w:cnfStyle w:val="000000100000" w:firstRow="0" w:lastRow="0" w:firstColumn="0" w:lastColumn="0" w:oddVBand="0" w:evenVBand="0" w:oddHBand="1" w:evenHBand="0" w:firstRowFirstColumn="0" w:firstRowLastColumn="0" w:lastRowFirstColumn="0" w:lastRowLastColumn="0"/>
              <w:rPr>
                <w:b/>
                <w:bCs/>
              </w:rPr>
            </w:pPr>
            <w:r>
              <w:rPr>
                <w:b/>
                <w:bCs/>
              </w:rPr>
              <w:t>Post-Control Risk Estimate</w:t>
            </w:r>
          </w:p>
        </w:tc>
        <w:tc>
          <w:tcPr>
            <w:tcW w:w="1620" w:type="dxa"/>
            <w:vMerge w:val="restart"/>
            <w:shd w:val="clear" w:color="auto" w:fill="D9E2F3" w:themeFill="accent1" w:themeFillTint="33"/>
          </w:tcPr>
          <w:p w14:paraId="28D0612B" w14:textId="26FFE4C9" w:rsidR="00310005" w:rsidRPr="0087375F" w:rsidRDefault="00310005" w:rsidP="00D3683A">
            <w:pPr>
              <w:cnfStyle w:val="000000100000" w:firstRow="0" w:lastRow="0" w:firstColumn="0" w:lastColumn="0" w:oddVBand="0" w:evenVBand="0" w:oddHBand="1" w:evenHBand="0" w:firstRowFirstColumn="0" w:firstRowLastColumn="0" w:lastRowFirstColumn="0" w:lastRowLastColumn="0"/>
              <w:rPr>
                <w:b/>
                <w:bCs/>
              </w:rPr>
            </w:pPr>
            <w:r w:rsidRPr="0087375F">
              <w:rPr>
                <w:b/>
                <w:bCs/>
              </w:rPr>
              <w:t>Comments</w:t>
            </w:r>
          </w:p>
        </w:tc>
      </w:tr>
      <w:tr w:rsidR="00AE60B2" w14:paraId="524E0FE2" w14:textId="0F66BB7E" w:rsidTr="004D5B05">
        <w:tc>
          <w:tcPr>
            <w:cnfStyle w:val="001000000000" w:firstRow="0" w:lastRow="0" w:firstColumn="1" w:lastColumn="0" w:oddVBand="0" w:evenVBand="0" w:oddHBand="0" w:evenHBand="0" w:firstRowFirstColumn="0" w:firstRowLastColumn="0" w:lastRowFirstColumn="0" w:lastRowLastColumn="0"/>
            <w:tcW w:w="1129" w:type="dxa"/>
            <w:vMerge/>
            <w:shd w:val="clear" w:color="auto" w:fill="D9E2F3" w:themeFill="accent1" w:themeFillTint="33"/>
          </w:tcPr>
          <w:p w14:paraId="01E2BDDF" w14:textId="5B8B1EC4" w:rsidR="00310005" w:rsidRPr="00C94CDA" w:rsidRDefault="00310005"/>
        </w:tc>
        <w:tc>
          <w:tcPr>
            <w:tcW w:w="1560" w:type="dxa"/>
            <w:shd w:val="clear" w:color="auto" w:fill="D9E2F3" w:themeFill="accent1" w:themeFillTint="33"/>
          </w:tcPr>
          <w:p w14:paraId="729AC10A" w14:textId="6E36415E"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Keyword</w:t>
            </w:r>
          </w:p>
        </w:tc>
        <w:tc>
          <w:tcPr>
            <w:tcW w:w="1417" w:type="dxa"/>
            <w:shd w:val="clear" w:color="auto" w:fill="D9E2F3" w:themeFill="accent1" w:themeFillTint="33"/>
          </w:tcPr>
          <w:p w14:paraId="35ECA335" w14:textId="3C25619C"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Cause</w:t>
            </w:r>
          </w:p>
        </w:tc>
        <w:tc>
          <w:tcPr>
            <w:tcW w:w="1559" w:type="dxa"/>
            <w:shd w:val="clear" w:color="auto" w:fill="D9E2F3" w:themeFill="accent1" w:themeFillTint="33"/>
          </w:tcPr>
          <w:p w14:paraId="523DFB80" w14:textId="1D379848"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Consequence</w:t>
            </w:r>
          </w:p>
        </w:tc>
        <w:tc>
          <w:tcPr>
            <w:tcW w:w="520" w:type="dxa"/>
            <w:shd w:val="clear" w:color="auto" w:fill="D9E2F3" w:themeFill="accent1" w:themeFillTint="33"/>
          </w:tcPr>
          <w:p w14:paraId="7251403E" w14:textId="1EBFD9D1"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Pr>
                <w:b/>
                <w:bCs/>
              </w:rPr>
              <w:t>S</w:t>
            </w:r>
          </w:p>
        </w:tc>
        <w:tc>
          <w:tcPr>
            <w:tcW w:w="520" w:type="dxa"/>
            <w:shd w:val="clear" w:color="auto" w:fill="D9E2F3" w:themeFill="accent1" w:themeFillTint="33"/>
          </w:tcPr>
          <w:p w14:paraId="19307781" w14:textId="4113E471"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Pr>
                <w:b/>
                <w:bCs/>
              </w:rPr>
              <w:t>L</w:t>
            </w:r>
          </w:p>
        </w:tc>
        <w:tc>
          <w:tcPr>
            <w:tcW w:w="520" w:type="dxa"/>
            <w:shd w:val="clear" w:color="auto" w:fill="D9E2F3" w:themeFill="accent1" w:themeFillTint="33"/>
          </w:tcPr>
          <w:p w14:paraId="70B86360" w14:textId="332FA1C3"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Pr>
                <w:b/>
                <w:bCs/>
              </w:rPr>
              <w:t>R</w:t>
            </w:r>
          </w:p>
        </w:tc>
        <w:tc>
          <w:tcPr>
            <w:tcW w:w="1417" w:type="dxa"/>
            <w:shd w:val="clear" w:color="auto" w:fill="D9E2F3" w:themeFill="accent1" w:themeFillTint="33"/>
          </w:tcPr>
          <w:p w14:paraId="2EE62FC6" w14:textId="1B539644"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Controls</w:t>
            </w:r>
          </w:p>
        </w:tc>
        <w:tc>
          <w:tcPr>
            <w:tcW w:w="1985" w:type="dxa"/>
            <w:shd w:val="clear" w:color="auto" w:fill="D9E2F3" w:themeFill="accent1" w:themeFillTint="33"/>
          </w:tcPr>
          <w:p w14:paraId="4FC38357" w14:textId="290C6FA0"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Recommendations</w:t>
            </w:r>
          </w:p>
        </w:tc>
        <w:tc>
          <w:tcPr>
            <w:tcW w:w="567" w:type="dxa"/>
            <w:shd w:val="clear" w:color="auto" w:fill="D9E2F3" w:themeFill="accent1" w:themeFillTint="33"/>
          </w:tcPr>
          <w:p w14:paraId="1A92743A" w14:textId="5166950F"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S</w:t>
            </w:r>
          </w:p>
        </w:tc>
        <w:tc>
          <w:tcPr>
            <w:tcW w:w="567" w:type="dxa"/>
            <w:shd w:val="clear" w:color="auto" w:fill="D9E2F3" w:themeFill="accent1" w:themeFillTint="33"/>
          </w:tcPr>
          <w:p w14:paraId="7F81A3D1" w14:textId="677143CD"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L</w:t>
            </w:r>
          </w:p>
        </w:tc>
        <w:tc>
          <w:tcPr>
            <w:tcW w:w="567" w:type="dxa"/>
            <w:shd w:val="clear" w:color="auto" w:fill="D9E2F3" w:themeFill="accent1" w:themeFillTint="33"/>
          </w:tcPr>
          <w:p w14:paraId="2B768575" w14:textId="7F430A20"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r w:rsidRPr="0087375F">
              <w:rPr>
                <w:b/>
                <w:bCs/>
              </w:rPr>
              <w:t>R</w:t>
            </w:r>
          </w:p>
        </w:tc>
        <w:tc>
          <w:tcPr>
            <w:tcW w:w="1620" w:type="dxa"/>
            <w:vMerge/>
            <w:shd w:val="clear" w:color="auto" w:fill="D9E2F3" w:themeFill="accent1" w:themeFillTint="33"/>
          </w:tcPr>
          <w:p w14:paraId="733386DE" w14:textId="1F80B080" w:rsidR="00310005" w:rsidRPr="0087375F" w:rsidRDefault="00310005">
            <w:pPr>
              <w:cnfStyle w:val="000000000000" w:firstRow="0" w:lastRow="0" w:firstColumn="0" w:lastColumn="0" w:oddVBand="0" w:evenVBand="0" w:oddHBand="0" w:evenHBand="0" w:firstRowFirstColumn="0" w:firstRowLastColumn="0" w:lastRowFirstColumn="0" w:lastRowLastColumn="0"/>
              <w:rPr>
                <w:b/>
                <w:bCs/>
              </w:rPr>
            </w:pPr>
          </w:p>
        </w:tc>
      </w:tr>
      <w:tr w:rsidR="00AE60B2" w14:paraId="444F0DA6" w14:textId="1AC9F866" w:rsidTr="004D5B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Merge w:val="restart"/>
          </w:tcPr>
          <w:p w14:paraId="17C42B3E" w14:textId="1F4B49B2" w:rsidR="00A16E70" w:rsidRPr="00A16E70" w:rsidRDefault="00A16E70" w:rsidP="00115FE3">
            <w:pPr>
              <w:rPr>
                <w:b w:val="0"/>
                <w:bCs w:val="0"/>
              </w:rPr>
            </w:pPr>
            <w:r>
              <w:t>1</w:t>
            </w:r>
          </w:p>
        </w:tc>
        <w:tc>
          <w:tcPr>
            <w:tcW w:w="1560" w:type="dxa"/>
            <w:vMerge w:val="restart"/>
          </w:tcPr>
          <w:p w14:paraId="09ECB351" w14:textId="767A275B" w:rsidR="00A16E70" w:rsidRDefault="00AE60B2" w:rsidP="00AE60B2">
            <w:pPr>
              <w:cnfStyle w:val="000000100000" w:firstRow="0" w:lastRow="0" w:firstColumn="0" w:lastColumn="0" w:oddVBand="0" w:evenVBand="0" w:oddHBand="1" w:evenHBand="0" w:firstRowFirstColumn="0" w:firstRowLastColumn="0" w:lastRowFirstColumn="0" w:lastRowLastColumn="0"/>
            </w:pPr>
            <w:r>
              <w:t>Uncommand or Unexpected Movement of the turret, Pitching or Rotating</w:t>
            </w:r>
          </w:p>
          <w:p w14:paraId="5BBBB0B4" w14:textId="422692A9" w:rsidR="00A16E70" w:rsidRDefault="00A16E70" w:rsidP="00EE57AE">
            <w:pPr>
              <w:jc w:val="center"/>
              <w:cnfStyle w:val="000000100000" w:firstRow="0" w:lastRow="0" w:firstColumn="0" w:lastColumn="0" w:oddVBand="0" w:evenVBand="0" w:oddHBand="1" w:evenHBand="0" w:firstRowFirstColumn="0" w:firstRowLastColumn="0" w:lastRowFirstColumn="0" w:lastRowLastColumn="0"/>
            </w:pPr>
          </w:p>
        </w:tc>
        <w:tc>
          <w:tcPr>
            <w:tcW w:w="1417" w:type="dxa"/>
            <w:vMerge w:val="restart"/>
          </w:tcPr>
          <w:p w14:paraId="4A76D8A9" w14:textId="555FFF9E" w:rsidR="00A16E70" w:rsidRDefault="00A16E70" w:rsidP="006D3CFF">
            <w:pPr>
              <w:cnfStyle w:val="000000100000" w:firstRow="0" w:lastRow="0" w:firstColumn="0" w:lastColumn="0" w:oddVBand="0" w:evenVBand="0" w:oddHBand="1" w:evenHBand="0" w:firstRowFirstColumn="0" w:firstRowLastColumn="0" w:lastRowFirstColumn="0" w:lastRowLastColumn="0"/>
            </w:pPr>
            <w:r>
              <w:t>Mechanical Error</w:t>
            </w:r>
          </w:p>
        </w:tc>
        <w:tc>
          <w:tcPr>
            <w:tcW w:w="1559" w:type="dxa"/>
          </w:tcPr>
          <w:p w14:paraId="4C629B1E" w14:textId="5C6C929B" w:rsidR="00A16E70" w:rsidRDefault="00A16E70">
            <w:pPr>
              <w:cnfStyle w:val="000000100000" w:firstRow="0" w:lastRow="0" w:firstColumn="0" w:lastColumn="0" w:oddVBand="0" w:evenVBand="0" w:oddHBand="1" w:evenHBand="0" w:firstRowFirstColumn="0" w:firstRowLastColumn="0" w:lastRowFirstColumn="0" w:lastRowLastColumn="0"/>
            </w:pPr>
            <w:r>
              <w:t>Major Injury</w:t>
            </w:r>
          </w:p>
        </w:tc>
        <w:tc>
          <w:tcPr>
            <w:tcW w:w="520" w:type="dxa"/>
          </w:tcPr>
          <w:p w14:paraId="3E689D68" w14:textId="6D06F4A3" w:rsidR="00A16E70" w:rsidRDefault="00A16E70">
            <w:pPr>
              <w:cnfStyle w:val="000000100000" w:firstRow="0" w:lastRow="0" w:firstColumn="0" w:lastColumn="0" w:oddVBand="0" w:evenVBand="0" w:oddHBand="1" w:evenHBand="0" w:firstRowFirstColumn="0" w:firstRowLastColumn="0" w:lastRowFirstColumn="0" w:lastRowLastColumn="0"/>
            </w:pPr>
            <w:r>
              <w:t>3</w:t>
            </w:r>
          </w:p>
        </w:tc>
        <w:tc>
          <w:tcPr>
            <w:tcW w:w="520" w:type="dxa"/>
          </w:tcPr>
          <w:p w14:paraId="0F762B0A" w14:textId="7F4FFF7A" w:rsidR="00A16E70" w:rsidRDefault="00A16E70">
            <w:pPr>
              <w:cnfStyle w:val="000000100000" w:firstRow="0" w:lastRow="0" w:firstColumn="0" w:lastColumn="0" w:oddVBand="0" w:evenVBand="0" w:oddHBand="1" w:evenHBand="0" w:firstRowFirstColumn="0" w:firstRowLastColumn="0" w:lastRowFirstColumn="0" w:lastRowLastColumn="0"/>
            </w:pPr>
            <w:r>
              <w:t>5</w:t>
            </w:r>
          </w:p>
        </w:tc>
        <w:tc>
          <w:tcPr>
            <w:tcW w:w="520" w:type="dxa"/>
            <w:shd w:val="clear" w:color="auto" w:fill="EE0000"/>
          </w:tcPr>
          <w:p w14:paraId="01CE3765" w14:textId="28DB9C4D" w:rsidR="00A16E70" w:rsidRDefault="00A16E70">
            <w:pPr>
              <w:cnfStyle w:val="000000100000" w:firstRow="0" w:lastRow="0" w:firstColumn="0" w:lastColumn="0" w:oddVBand="0" w:evenVBand="0" w:oddHBand="1" w:evenHBand="0" w:firstRowFirstColumn="0" w:firstRowLastColumn="0" w:lastRowFirstColumn="0" w:lastRowLastColumn="0"/>
            </w:pPr>
            <w:r>
              <w:t>A</w:t>
            </w:r>
          </w:p>
        </w:tc>
        <w:tc>
          <w:tcPr>
            <w:tcW w:w="1417" w:type="dxa"/>
          </w:tcPr>
          <w:p w14:paraId="7DE5B1ED" w14:textId="6CC94E50" w:rsidR="00A16E70" w:rsidRDefault="00A16E70">
            <w:pPr>
              <w:cnfStyle w:val="000000100000" w:firstRow="0" w:lastRow="0" w:firstColumn="0" w:lastColumn="0" w:oddVBand="0" w:evenVBand="0" w:oddHBand="1" w:evenHBand="0" w:firstRowFirstColumn="0" w:firstRowLastColumn="0" w:lastRowFirstColumn="0" w:lastRowLastColumn="0"/>
            </w:pPr>
            <w:r>
              <w:t>Combat personnel wear PPE – Crew wears protective headgear in proximity to the system.</w:t>
            </w:r>
          </w:p>
        </w:tc>
        <w:tc>
          <w:tcPr>
            <w:tcW w:w="1985" w:type="dxa"/>
          </w:tcPr>
          <w:p w14:paraId="6FE7BDBE" w14:textId="589DF83D" w:rsidR="00A16E70" w:rsidRDefault="00A16E70">
            <w:pPr>
              <w:cnfStyle w:val="000000100000" w:firstRow="0" w:lastRow="0" w:firstColumn="0" w:lastColumn="0" w:oddVBand="0" w:evenVBand="0" w:oddHBand="1" w:evenHBand="0" w:firstRowFirstColumn="0" w:firstRowLastColumn="0" w:lastRowFirstColumn="0" w:lastRowLastColumn="0"/>
            </w:pPr>
            <w:r>
              <w:t>Do not stand underneath the turret</w:t>
            </w:r>
          </w:p>
        </w:tc>
        <w:tc>
          <w:tcPr>
            <w:tcW w:w="567" w:type="dxa"/>
          </w:tcPr>
          <w:p w14:paraId="28670A8D" w14:textId="55C7A853" w:rsidR="00A16E70" w:rsidRDefault="00A16E70">
            <w:pPr>
              <w:cnfStyle w:val="000000100000" w:firstRow="0" w:lastRow="0" w:firstColumn="0" w:lastColumn="0" w:oddVBand="0" w:evenVBand="0" w:oddHBand="1" w:evenHBand="0" w:firstRowFirstColumn="0" w:firstRowLastColumn="0" w:lastRowFirstColumn="0" w:lastRowLastColumn="0"/>
            </w:pPr>
            <w:r>
              <w:t>2</w:t>
            </w:r>
          </w:p>
        </w:tc>
        <w:tc>
          <w:tcPr>
            <w:tcW w:w="567" w:type="dxa"/>
          </w:tcPr>
          <w:p w14:paraId="140C85B0" w14:textId="23389C34" w:rsidR="00A16E70" w:rsidRDefault="00A16E70">
            <w:pPr>
              <w:cnfStyle w:val="000000100000" w:firstRow="0" w:lastRow="0" w:firstColumn="0" w:lastColumn="0" w:oddVBand="0" w:evenVBand="0" w:oddHBand="1" w:evenHBand="0" w:firstRowFirstColumn="0" w:firstRowLastColumn="0" w:lastRowFirstColumn="0" w:lastRowLastColumn="0"/>
            </w:pPr>
            <w:r>
              <w:t>5</w:t>
            </w:r>
          </w:p>
        </w:tc>
        <w:tc>
          <w:tcPr>
            <w:tcW w:w="567" w:type="dxa"/>
            <w:shd w:val="clear" w:color="auto" w:fill="FFFF00"/>
          </w:tcPr>
          <w:p w14:paraId="3F7168D6" w14:textId="70A53012" w:rsidR="00A16E70" w:rsidRDefault="00A16E70">
            <w:pPr>
              <w:cnfStyle w:val="000000100000" w:firstRow="0" w:lastRow="0" w:firstColumn="0" w:lastColumn="0" w:oddVBand="0" w:evenVBand="0" w:oddHBand="1" w:evenHBand="0" w:firstRowFirstColumn="0" w:firstRowLastColumn="0" w:lastRowFirstColumn="0" w:lastRowLastColumn="0"/>
            </w:pPr>
            <w:r>
              <w:t>B</w:t>
            </w:r>
          </w:p>
        </w:tc>
        <w:tc>
          <w:tcPr>
            <w:tcW w:w="1620" w:type="dxa"/>
          </w:tcPr>
          <w:p w14:paraId="514B1D5F" w14:textId="47CA9E75" w:rsidR="00A16E70" w:rsidRDefault="00A16E70">
            <w:pPr>
              <w:cnfStyle w:val="000000100000" w:firstRow="0" w:lastRow="0" w:firstColumn="0" w:lastColumn="0" w:oddVBand="0" w:evenVBand="0" w:oddHBand="1" w:evenHBand="0" w:firstRowFirstColumn="0" w:firstRowLastColumn="0" w:lastRowFirstColumn="0" w:lastRowLastColumn="0"/>
            </w:pPr>
            <w:r>
              <w:t>Major injuries (including concussion) to personnel, possibly resulting in long term afflictions.</w:t>
            </w:r>
          </w:p>
        </w:tc>
      </w:tr>
      <w:tr w:rsidR="00AE60B2" w14:paraId="3501FE98" w14:textId="49B2A7D1" w:rsidTr="004D5B05">
        <w:tc>
          <w:tcPr>
            <w:cnfStyle w:val="001000000000" w:firstRow="0" w:lastRow="0" w:firstColumn="1" w:lastColumn="0" w:oddVBand="0" w:evenVBand="0" w:oddHBand="0" w:evenHBand="0" w:firstRowFirstColumn="0" w:firstRowLastColumn="0" w:lastRowFirstColumn="0" w:lastRowLastColumn="0"/>
            <w:tcW w:w="1129" w:type="dxa"/>
            <w:vMerge/>
          </w:tcPr>
          <w:p w14:paraId="27CB7DA3" w14:textId="00A8397C" w:rsidR="00A16E70" w:rsidRDefault="00A16E70" w:rsidP="00115FE3"/>
        </w:tc>
        <w:tc>
          <w:tcPr>
            <w:tcW w:w="1560" w:type="dxa"/>
            <w:vMerge/>
          </w:tcPr>
          <w:p w14:paraId="449F9202" w14:textId="04FA1B0F" w:rsidR="00A16E70" w:rsidRDefault="00A16E70" w:rsidP="007A27A7">
            <w:pPr>
              <w:cnfStyle w:val="000000000000" w:firstRow="0" w:lastRow="0" w:firstColumn="0" w:lastColumn="0" w:oddVBand="0" w:evenVBand="0" w:oddHBand="0" w:evenHBand="0" w:firstRowFirstColumn="0" w:firstRowLastColumn="0" w:lastRowFirstColumn="0" w:lastRowLastColumn="0"/>
            </w:pPr>
          </w:p>
        </w:tc>
        <w:tc>
          <w:tcPr>
            <w:tcW w:w="1417" w:type="dxa"/>
            <w:vMerge/>
          </w:tcPr>
          <w:p w14:paraId="38B12E9E" w14:textId="472DADD5" w:rsidR="00A16E70" w:rsidRDefault="00A16E70">
            <w:pPr>
              <w:cnfStyle w:val="000000000000" w:firstRow="0" w:lastRow="0" w:firstColumn="0" w:lastColumn="0" w:oddVBand="0" w:evenVBand="0" w:oddHBand="0" w:evenHBand="0" w:firstRowFirstColumn="0" w:firstRowLastColumn="0" w:lastRowFirstColumn="0" w:lastRowLastColumn="0"/>
            </w:pPr>
          </w:p>
        </w:tc>
        <w:tc>
          <w:tcPr>
            <w:tcW w:w="1559" w:type="dxa"/>
          </w:tcPr>
          <w:p w14:paraId="00563FB7" w14:textId="2C5CF1D5" w:rsidR="00A16E70" w:rsidRDefault="00A16E70">
            <w:pPr>
              <w:cnfStyle w:val="000000000000" w:firstRow="0" w:lastRow="0" w:firstColumn="0" w:lastColumn="0" w:oddVBand="0" w:evenVBand="0" w:oddHBand="0" w:evenHBand="0" w:firstRowFirstColumn="0" w:firstRowLastColumn="0" w:lastRowFirstColumn="0" w:lastRowLastColumn="0"/>
            </w:pPr>
            <w:r>
              <w:t>Minor Injury</w:t>
            </w:r>
          </w:p>
        </w:tc>
        <w:tc>
          <w:tcPr>
            <w:tcW w:w="520" w:type="dxa"/>
          </w:tcPr>
          <w:p w14:paraId="09673B50" w14:textId="375AC74A" w:rsidR="00A16E70" w:rsidRDefault="00A16E70">
            <w:pPr>
              <w:cnfStyle w:val="000000000000" w:firstRow="0" w:lastRow="0" w:firstColumn="0" w:lastColumn="0" w:oddVBand="0" w:evenVBand="0" w:oddHBand="0" w:evenHBand="0" w:firstRowFirstColumn="0" w:firstRowLastColumn="0" w:lastRowFirstColumn="0" w:lastRowLastColumn="0"/>
            </w:pPr>
            <w:r>
              <w:t>2</w:t>
            </w:r>
          </w:p>
        </w:tc>
        <w:tc>
          <w:tcPr>
            <w:tcW w:w="520" w:type="dxa"/>
          </w:tcPr>
          <w:p w14:paraId="012FCF66" w14:textId="619935E8" w:rsidR="00A16E70" w:rsidRDefault="00A16E70">
            <w:pPr>
              <w:cnfStyle w:val="000000000000" w:firstRow="0" w:lastRow="0" w:firstColumn="0" w:lastColumn="0" w:oddVBand="0" w:evenVBand="0" w:oddHBand="0" w:evenHBand="0" w:firstRowFirstColumn="0" w:firstRowLastColumn="0" w:lastRowFirstColumn="0" w:lastRowLastColumn="0"/>
            </w:pPr>
            <w:r>
              <w:t>5</w:t>
            </w:r>
          </w:p>
        </w:tc>
        <w:tc>
          <w:tcPr>
            <w:tcW w:w="520" w:type="dxa"/>
            <w:shd w:val="clear" w:color="auto" w:fill="FFFF00"/>
          </w:tcPr>
          <w:p w14:paraId="49BA21CF" w14:textId="5C7E8222" w:rsidR="00A16E70" w:rsidRDefault="00A16E70">
            <w:pPr>
              <w:cnfStyle w:val="000000000000" w:firstRow="0" w:lastRow="0" w:firstColumn="0" w:lastColumn="0" w:oddVBand="0" w:evenVBand="0" w:oddHBand="0" w:evenHBand="0" w:firstRowFirstColumn="0" w:firstRowLastColumn="0" w:lastRowFirstColumn="0" w:lastRowLastColumn="0"/>
            </w:pPr>
            <w:r>
              <w:t>B</w:t>
            </w:r>
          </w:p>
        </w:tc>
        <w:tc>
          <w:tcPr>
            <w:tcW w:w="1417" w:type="dxa"/>
          </w:tcPr>
          <w:p w14:paraId="07D6FA91" w14:textId="26ED0F90" w:rsidR="00A16E70" w:rsidRDefault="00EF31F3">
            <w:pPr>
              <w:cnfStyle w:val="000000000000" w:firstRow="0" w:lastRow="0" w:firstColumn="0" w:lastColumn="0" w:oddVBand="0" w:evenVBand="0" w:oddHBand="0" w:evenHBand="0" w:firstRowFirstColumn="0" w:firstRowLastColumn="0" w:lastRowFirstColumn="0" w:lastRowLastColumn="0"/>
            </w:pPr>
            <w:r>
              <w:t xml:space="preserve">Combat personnel wear </w:t>
            </w:r>
            <w:r w:rsidR="00A16E70">
              <w:t>PPE – Crew wears protective headgear in proximity to the system.</w:t>
            </w:r>
          </w:p>
        </w:tc>
        <w:tc>
          <w:tcPr>
            <w:tcW w:w="1985" w:type="dxa"/>
          </w:tcPr>
          <w:p w14:paraId="5D575129" w14:textId="229A7CC8" w:rsidR="00A16E70" w:rsidRDefault="00A16E70">
            <w:pPr>
              <w:cnfStyle w:val="000000000000" w:firstRow="0" w:lastRow="0" w:firstColumn="0" w:lastColumn="0" w:oddVBand="0" w:evenVBand="0" w:oddHBand="0" w:evenHBand="0" w:firstRowFirstColumn="0" w:firstRowLastColumn="0" w:lastRowFirstColumn="0" w:lastRowLastColumn="0"/>
            </w:pPr>
            <w:r>
              <w:t>Do not stand underneath the turret</w:t>
            </w:r>
          </w:p>
        </w:tc>
        <w:tc>
          <w:tcPr>
            <w:tcW w:w="567" w:type="dxa"/>
          </w:tcPr>
          <w:p w14:paraId="79D17ADB" w14:textId="4DF7A3F4" w:rsidR="00A16E70" w:rsidRDefault="00A16E70">
            <w:pPr>
              <w:cnfStyle w:val="000000000000" w:firstRow="0" w:lastRow="0" w:firstColumn="0" w:lastColumn="0" w:oddVBand="0" w:evenVBand="0" w:oddHBand="0" w:evenHBand="0" w:firstRowFirstColumn="0" w:firstRowLastColumn="0" w:lastRowFirstColumn="0" w:lastRowLastColumn="0"/>
            </w:pPr>
            <w:r>
              <w:t>1</w:t>
            </w:r>
          </w:p>
        </w:tc>
        <w:tc>
          <w:tcPr>
            <w:tcW w:w="567" w:type="dxa"/>
          </w:tcPr>
          <w:p w14:paraId="746326D5" w14:textId="56D88770" w:rsidR="00A16E70" w:rsidRDefault="00A16E70">
            <w:pPr>
              <w:cnfStyle w:val="000000000000" w:firstRow="0" w:lastRow="0" w:firstColumn="0" w:lastColumn="0" w:oddVBand="0" w:evenVBand="0" w:oddHBand="0" w:evenHBand="0" w:firstRowFirstColumn="0" w:firstRowLastColumn="0" w:lastRowFirstColumn="0" w:lastRowLastColumn="0"/>
            </w:pPr>
            <w:r>
              <w:t>5</w:t>
            </w:r>
          </w:p>
        </w:tc>
        <w:tc>
          <w:tcPr>
            <w:tcW w:w="567" w:type="dxa"/>
            <w:shd w:val="clear" w:color="auto" w:fill="92D050"/>
          </w:tcPr>
          <w:p w14:paraId="1AD59C36" w14:textId="0C320500" w:rsidR="00A16E70" w:rsidRDefault="00A16E70">
            <w:pPr>
              <w:cnfStyle w:val="000000000000" w:firstRow="0" w:lastRow="0" w:firstColumn="0" w:lastColumn="0" w:oddVBand="0" w:evenVBand="0" w:oddHBand="0" w:evenHBand="0" w:firstRowFirstColumn="0" w:firstRowLastColumn="0" w:lastRowFirstColumn="0" w:lastRowLastColumn="0"/>
            </w:pPr>
            <w:r>
              <w:t>C</w:t>
            </w:r>
          </w:p>
        </w:tc>
        <w:tc>
          <w:tcPr>
            <w:tcW w:w="1620" w:type="dxa"/>
          </w:tcPr>
          <w:p w14:paraId="65DCE2C0" w14:textId="7029BDA1" w:rsidR="00A16E70" w:rsidRDefault="00A16E70" w:rsidP="00B11997">
            <w:pPr>
              <w:cnfStyle w:val="000000000000" w:firstRow="0" w:lastRow="0" w:firstColumn="0" w:lastColumn="0" w:oddVBand="0" w:evenVBand="0" w:oddHBand="0" w:evenHBand="0" w:firstRowFirstColumn="0" w:firstRowLastColumn="0" w:lastRowFirstColumn="0" w:lastRowLastColumn="0"/>
            </w:pPr>
            <w:r>
              <w:t>Minor (</w:t>
            </w:r>
            <w:proofErr w:type="gramStart"/>
            <w:r>
              <w:t>Non-head</w:t>
            </w:r>
            <w:proofErr w:type="gramEnd"/>
            <w:r>
              <w:t xml:space="preserve">) injuries to personnel resulting in only </w:t>
            </w:r>
            <w:proofErr w:type="gramStart"/>
            <w:r>
              <w:t>short term</w:t>
            </w:r>
            <w:proofErr w:type="gramEnd"/>
            <w:r>
              <w:t xml:space="preserve"> afflictions that can be treated on-site. Likelihood of minor injury remains constant throughout risk mitigation as major injuries </w:t>
            </w:r>
            <w:r>
              <w:lastRenderedPageBreak/>
              <w:t>are reduced to minor injuries.</w:t>
            </w:r>
          </w:p>
        </w:tc>
      </w:tr>
      <w:tr w:rsidR="00AE60B2" w14:paraId="46D4E23D" w14:textId="65F3DA2E" w:rsidTr="004D5B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Merge/>
          </w:tcPr>
          <w:p w14:paraId="2890DDEB" w14:textId="2BB06037" w:rsidR="00A16E70" w:rsidRDefault="00A16E70" w:rsidP="00115FE3"/>
        </w:tc>
        <w:tc>
          <w:tcPr>
            <w:tcW w:w="1560" w:type="dxa"/>
            <w:vMerge/>
          </w:tcPr>
          <w:p w14:paraId="589E4BE6" w14:textId="0254BD46" w:rsidR="00A16E70" w:rsidRDefault="00A16E70" w:rsidP="007A27A7">
            <w:pPr>
              <w:cnfStyle w:val="000000100000" w:firstRow="0" w:lastRow="0" w:firstColumn="0" w:lastColumn="0" w:oddVBand="0" w:evenVBand="0" w:oddHBand="1" w:evenHBand="0" w:firstRowFirstColumn="0" w:firstRowLastColumn="0" w:lastRowFirstColumn="0" w:lastRowLastColumn="0"/>
            </w:pPr>
          </w:p>
        </w:tc>
        <w:tc>
          <w:tcPr>
            <w:tcW w:w="1417" w:type="dxa"/>
            <w:vMerge w:val="restart"/>
          </w:tcPr>
          <w:p w14:paraId="6352C13D" w14:textId="77777777" w:rsidR="00A16E70" w:rsidRDefault="00A16E70">
            <w:pPr>
              <w:cnfStyle w:val="000000100000" w:firstRow="0" w:lastRow="0" w:firstColumn="0" w:lastColumn="0" w:oddVBand="0" w:evenVBand="0" w:oddHBand="1" w:evenHBand="0" w:firstRowFirstColumn="0" w:firstRowLastColumn="0" w:lastRowFirstColumn="0" w:lastRowLastColumn="0"/>
            </w:pPr>
            <w:r>
              <w:t>Human Error</w:t>
            </w:r>
          </w:p>
          <w:p w14:paraId="4BD293FD" w14:textId="08E267B7" w:rsidR="00A16E70" w:rsidRDefault="00A16E70" w:rsidP="004260D2">
            <w:pPr>
              <w:cnfStyle w:val="000000100000" w:firstRow="0" w:lastRow="0" w:firstColumn="0" w:lastColumn="0" w:oddVBand="0" w:evenVBand="0" w:oddHBand="1" w:evenHBand="0" w:firstRowFirstColumn="0" w:firstRowLastColumn="0" w:lastRowFirstColumn="0" w:lastRowLastColumn="0"/>
            </w:pPr>
          </w:p>
        </w:tc>
        <w:tc>
          <w:tcPr>
            <w:tcW w:w="1559" w:type="dxa"/>
          </w:tcPr>
          <w:p w14:paraId="68843E27" w14:textId="5951719C" w:rsidR="00A16E70" w:rsidRDefault="00A16E70">
            <w:pPr>
              <w:cnfStyle w:val="000000100000" w:firstRow="0" w:lastRow="0" w:firstColumn="0" w:lastColumn="0" w:oddVBand="0" w:evenVBand="0" w:oddHBand="1" w:evenHBand="0" w:firstRowFirstColumn="0" w:firstRowLastColumn="0" w:lastRowFirstColumn="0" w:lastRowLastColumn="0"/>
            </w:pPr>
            <w:r>
              <w:t>Major Injury</w:t>
            </w:r>
          </w:p>
        </w:tc>
        <w:tc>
          <w:tcPr>
            <w:tcW w:w="520" w:type="dxa"/>
          </w:tcPr>
          <w:p w14:paraId="39B36FDE" w14:textId="545EAF01" w:rsidR="00A16E70" w:rsidRDefault="00EF31F3">
            <w:pPr>
              <w:cnfStyle w:val="000000100000" w:firstRow="0" w:lastRow="0" w:firstColumn="0" w:lastColumn="0" w:oddVBand="0" w:evenVBand="0" w:oddHBand="1" w:evenHBand="0" w:firstRowFirstColumn="0" w:firstRowLastColumn="0" w:lastRowFirstColumn="0" w:lastRowLastColumn="0"/>
            </w:pPr>
            <w:r>
              <w:t>3</w:t>
            </w:r>
          </w:p>
        </w:tc>
        <w:tc>
          <w:tcPr>
            <w:tcW w:w="520" w:type="dxa"/>
          </w:tcPr>
          <w:p w14:paraId="48A873B7" w14:textId="317BF8B8" w:rsidR="00A16E70" w:rsidRDefault="00AB2007">
            <w:pPr>
              <w:cnfStyle w:val="000000100000" w:firstRow="0" w:lastRow="0" w:firstColumn="0" w:lastColumn="0" w:oddVBand="0" w:evenVBand="0" w:oddHBand="1" w:evenHBand="0" w:firstRowFirstColumn="0" w:firstRowLastColumn="0" w:lastRowFirstColumn="0" w:lastRowLastColumn="0"/>
            </w:pPr>
            <w:r>
              <w:t>5</w:t>
            </w:r>
          </w:p>
        </w:tc>
        <w:tc>
          <w:tcPr>
            <w:tcW w:w="520" w:type="dxa"/>
            <w:shd w:val="clear" w:color="auto" w:fill="EE0000"/>
          </w:tcPr>
          <w:p w14:paraId="6CCC7872" w14:textId="101A1C46" w:rsidR="00A16E70" w:rsidRDefault="00AB2007">
            <w:pPr>
              <w:cnfStyle w:val="000000100000" w:firstRow="0" w:lastRow="0" w:firstColumn="0" w:lastColumn="0" w:oddVBand="0" w:evenVBand="0" w:oddHBand="1" w:evenHBand="0" w:firstRowFirstColumn="0" w:firstRowLastColumn="0" w:lastRowFirstColumn="0" w:lastRowLastColumn="0"/>
            </w:pPr>
            <w:r>
              <w:t>A</w:t>
            </w:r>
          </w:p>
        </w:tc>
        <w:tc>
          <w:tcPr>
            <w:tcW w:w="1417" w:type="dxa"/>
          </w:tcPr>
          <w:p w14:paraId="48C7F5C0" w14:textId="466F195C" w:rsidR="00A16E70" w:rsidRDefault="00EF31F3">
            <w:pPr>
              <w:cnfStyle w:val="000000100000" w:firstRow="0" w:lastRow="0" w:firstColumn="0" w:lastColumn="0" w:oddVBand="0" w:evenVBand="0" w:oddHBand="1" w:evenHBand="0" w:firstRowFirstColumn="0" w:firstRowLastColumn="0" w:lastRowFirstColumn="0" w:lastRowLastColumn="0"/>
            </w:pPr>
            <w:r>
              <w:t xml:space="preserve">Combat personnel wear </w:t>
            </w:r>
            <w:r w:rsidR="00A16E70">
              <w:t>PPE – Crew wears protective headgear in proximity to the system.</w:t>
            </w:r>
          </w:p>
          <w:p w14:paraId="345157ED" w14:textId="558FC0B0" w:rsidR="00A16E70" w:rsidRDefault="00A4773D">
            <w:pPr>
              <w:cnfStyle w:val="000000100000" w:firstRow="0" w:lastRow="0" w:firstColumn="0" w:lastColumn="0" w:oddVBand="0" w:evenVBand="0" w:oddHBand="1" w:evenHBand="0" w:firstRowFirstColumn="0" w:firstRowLastColumn="0" w:lastRowFirstColumn="0" w:lastRowLastColumn="0"/>
            </w:pPr>
            <w:r>
              <w:t>Sufficient training on the system reduces the likelihood of a mistake due to “Lack of Knowledge”.</w:t>
            </w:r>
          </w:p>
        </w:tc>
        <w:tc>
          <w:tcPr>
            <w:tcW w:w="1985" w:type="dxa"/>
          </w:tcPr>
          <w:p w14:paraId="2FA6FF4F" w14:textId="1BB1BEBA" w:rsidR="00A16E70" w:rsidRDefault="00A16E70">
            <w:pPr>
              <w:cnfStyle w:val="000000100000" w:firstRow="0" w:lastRow="0" w:firstColumn="0" w:lastColumn="0" w:oddVBand="0" w:evenVBand="0" w:oddHBand="1" w:evenHBand="0" w:firstRowFirstColumn="0" w:firstRowLastColumn="0" w:lastRowFirstColumn="0" w:lastRowLastColumn="0"/>
            </w:pPr>
            <w:r>
              <w:t>Do not stand underneath the turret</w:t>
            </w:r>
          </w:p>
        </w:tc>
        <w:tc>
          <w:tcPr>
            <w:tcW w:w="567" w:type="dxa"/>
          </w:tcPr>
          <w:p w14:paraId="349D35DE" w14:textId="4E07C958" w:rsidR="00A16E70" w:rsidRDefault="00EF31F3">
            <w:pPr>
              <w:cnfStyle w:val="000000100000" w:firstRow="0" w:lastRow="0" w:firstColumn="0" w:lastColumn="0" w:oddVBand="0" w:evenVBand="0" w:oddHBand="1" w:evenHBand="0" w:firstRowFirstColumn="0" w:firstRowLastColumn="0" w:lastRowFirstColumn="0" w:lastRowLastColumn="0"/>
            </w:pPr>
            <w:r>
              <w:t>2</w:t>
            </w:r>
          </w:p>
        </w:tc>
        <w:tc>
          <w:tcPr>
            <w:tcW w:w="567" w:type="dxa"/>
          </w:tcPr>
          <w:p w14:paraId="0E285A05" w14:textId="30BD9A9F" w:rsidR="00A16E70" w:rsidRDefault="00EF31F3">
            <w:pPr>
              <w:cnfStyle w:val="000000100000" w:firstRow="0" w:lastRow="0" w:firstColumn="0" w:lastColumn="0" w:oddVBand="0" w:evenVBand="0" w:oddHBand="1" w:evenHBand="0" w:firstRowFirstColumn="0" w:firstRowLastColumn="0" w:lastRowFirstColumn="0" w:lastRowLastColumn="0"/>
            </w:pPr>
            <w:r>
              <w:t>3</w:t>
            </w:r>
          </w:p>
        </w:tc>
        <w:tc>
          <w:tcPr>
            <w:tcW w:w="567" w:type="dxa"/>
            <w:shd w:val="clear" w:color="auto" w:fill="00B050"/>
          </w:tcPr>
          <w:p w14:paraId="3D123986" w14:textId="3AD07AD3" w:rsidR="00A16E70" w:rsidRDefault="00EF31F3">
            <w:pPr>
              <w:cnfStyle w:val="000000100000" w:firstRow="0" w:lastRow="0" w:firstColumn="0" w:lastColumn="0" w:oddVBand="0" w:evenVBand="0" w:oddHBand="1" w:evenHBand="0" w:firstRowFirstColumn="0" w:firstRowLastColumn="0" w:lastRowFirstColumn="0" w:lastRowLastColumn="0"/>
            </w:pPr>
            <w:r>
              <w:t>D</w:t>
            </w:r>
          </w:p>
        </w:tc>
        <w:tc>
          <w:tcPr>
            <w:tcW w:w="1620" w:type="dxa"/>
          </w:tcPr>
          <w:p w14:paraId="57060F45" w14:textId="0AA4DE22" w:rsidR="00A16E70" w:rsidRDefault="00A16E70">
            <w:pPr>
              <w:cnfStyle w:val="000000100000" w:firstRow="0" w:lastRow="0" w:firstColumn="0" w:lastColumn="0" w:oddVBand="0" w:evenVBand="0" w:oddHBand="1" w:evenHBand="0" w:firstRowFirstColumn="0" w:firstRowLastColumn="0" w:lastRowFirstColumn="0" w:lastRowLastColumn="0"/>
            </w:pPr>
            <w:r>
              <w:t>Major injuries (including concussion) to personnel, possibly resulting in long term afflictions.</w:t>
            </w:r>
          </w:p>
        </w:tc>
      </w:tr>
      <w:tr w:rsidR="00AE60B2" w14:paraId="17C467FE" w14:textId="77777777" w:rsidTr="004D5B05">
        <w:tc>
          <w:tcPr>
            <w:cnfStyle w:val="001000000000" w:firstRow="0" w:lastRow="0" w:firstColumn="1" w:lastColumn="0" w:oddVBand="0" w:evenVBand="0" w:oddHBand="0" w:evenHBand="0" w:firstRowFirstColumn="0" w:firstRowLastColumn="0" w:lastRowFirstColumn="0" w:lastRowLastColumn="0"/>
            <w:tcW w:w="1129" w:type="dxa"/>
            <w:vMerge/>
          </w:tcPr>
          <w:p w14:paraId="7707EA32" w14:textId="5B20A7D1" w:rsidR="00A16E70" w:rsidRDefault="00A16E70"/>
        </w:tc>
        <w:tc>
          <w:tcPr>
            <w:tcW w:w="1560" w:type="dxa"/>
            <w:vMerge/>
          </w:tcPr>
          <w:p w14:paraId="05B0688B" w14:textId="2C420E38" w:rsidR="00A16E70" w:rsidRDefault="00A16E70">
            <w:pPr>
              <w:cnfStyle w:val="000000000000" w:firstRow="0" w:lastRow="0" w:firstColumn="0" w:lastColumn="0" w:oddVBand="0" w:evenVBand="0" w:oddHBand="0" w:evenHBand="0" w:firstRowFirstColumn="0" w:firstRowLastColumn="0" w:lastRowFirstColumn="0" w:lastRowLastColumn="0"/>
            </w:pPr>
          </w:p>
        </w:tc>
        <w:tc>
          <w:tcPr>
            <w:tcW w:w="1417" w:type="dxa"/>
            <w:vMerge/>
          </w:tcPr>
          <w:p w14:paraId="5BA75105" w14:textId="25DB2623" w:rsidR="00A16E70" w:rsidRDefault="00A16E70">
            <w:pPr>
              <w:cnfStyle w:val="000000000000" w:firstRow="0" w:lastRow="0" w:firstColumn="0" w:lastColumn="0" w:oddVBand="0" w:evenVBand="0" w:oddHBand="0" w:evenHBand="0" w:firstRowFirstColumn="0" w:firstRowLastColumn="0" w:lastRowFirstColumn="0" w:lastRowLastColumn="0"/>
            </w:pPr>
          </w:p>
        </w:tc>
        <w:tc>
          <w:tcPr>
            <w:tcW w:w="1559" w:type="dxa"/>
          </w:tcPr>
          <w:p w14:paraId="3CDC1352" w14:textId="636D2360" w:rsidR="00A16E70" w:rsidRDefault="00A16E70">
            <w:pPr>
              <w:cnfStyle w:val="000000000000" w:firstRow="0" w:lastRow="0" w:firstColumn="0" w:lastColumn="0" w:oddVBand="0" w:evenVBand="0" w:oddHBand="0" w:evenHBand="0" w:firstRowFirstColumn="0" w:firstRowLastColumn="0" w:lastRowFirstColumn="0" w:lastRowLastColumn="0"/>
            </w:pPr>
            <w:r>
              <w:t>Minor Injury</w:t>
            </w:r>
          </w:p>
        </w:tc>
        <w:tc>
          <w:tcPr>
            <w:tcW w:w="520" w:type="dxa"/>
          </w:tcPr>
          <w:p w14:paraId="6A3B04D0" w14:textId="300377DD" w:rsidR="00A16E70" w:rsidRDefault="00AB2007">
            <w:pPr>
              <w:cnfStyle w:val="000000000000" w:firstRow="0" w:lastRow="0" w:firstColumn="0" w:lastColumn="0" w:oddVBand="0" w:evenVBand="0" w:oddHBand="0" w:evenHBand="0" w:firstRowFirstColumn="0" w:firstRowLastColumn="0" w:lastRowFirstColumn="0" w:lastRowLastColumn="0"/>
            </w:pPr>
            <w:r>
              <w:t>2</w:t>
            </w:r>
          </w:p>
        </w:tc>
        <w:tc>
          <w:tcPr>
            <w:tcW w:w="520" w:type="dxa"/>
          </w:tcPr>
          <w:p w14:paraId="297A223D" w14:textId="7C01795E" w:rsidR="00A16E70" w:rsidRDefault="00AB2007">
            <w:pPr>
              <w:cnfStyle w:val="000000000000" w:firstRow="0" w:lastRow="0" w:firstColumn="0" w:lastColumn="0" w:oddVBand="0" w:evenVBand="0" w:oddHBand="0" w:evenHBand="0" w:firstRowFirstColumn="0" w:firstRowLastColumn="0" w:lastRowFirstColumn="0" w:lastRowLastColumn="0"/>
            </w:pPr>
            <w:r>
              <w:t>5</w:t>
            </w:r>
          </w:p>
        </w:tc>
        <w:tc>
          <w:tcPr>
            <w:tcW w:w="520" w:type="dxa"/>
            <w:shd w:val="clear" w:color="auto" w:fill="FFFF00"/>
          </w:tcPr>
          <w:p w14:paraId="51B7A1BC" w14:textId="4D6FC569" w:rsidR="00A16E70" w:rsidRDefault="00AB2007">
            <w:pPr>
              <w:cnfStyle w:val="000000000000" w:firstRow="0" w:lastRow="0" w:firstColumn="0" w:lastColumn="0" w:oddVBand="0" w:evenVBand="0" w:oddHBand="0" w:evenHBand="0" w:firstRowFirstColumn="0" w:firstRowLastColumn="0" w:lastRowFirstColumn="0" w:lastRowLastColumn="0"/>
            </w:pPr>
            <w:r>
              <w:t>B</w:t>
            </w:r>
          </w:p>
        </w:tc>
        <w:tc>
          <w:tcPr>
            <w:tcW w:w="1417" w:type="dxa"/>
          </w:tcPr>
          <w:p w14:paraId="5E9DDA38" w14:textId="52424B05" w:rsidR="00A16E70" w:rsidRDefault="00A4773D">
            <w:pPr>
              <w:cnfStyle w:val="000000000000" w:firstRow="0" w:lastRow="0" w:firstColumn="0" w:lastColumn="0" w:oddVBand="0" w:evenVBand="0" w:oddHBand="0" w:evenHBand="0" w:firstRowFirstColumn="0" w:firstRowLastColumn="0" w:lastRowFirstColumn="0" w:lastRowLastColumn="0"/>
            </w:pPr>
            <w:r>
              <w:t xml:space="preserve">Combat personnel wear </w:t>
            </w:r>
            <w:r w:rsidR="00A16E70">
              <w:t>PPE – Crew wears protective headgear in proximity to the system.</w:t>
            </w:r>
          </w:p>
          <w:p w14:paraId="61DDF6D8" w14:textId="5444DC40" w:rsidR="00A16E70" w:rsidRDefault="00A16E70">
            <w:pPr>
              <w:cnfStyle w:val="000000000000" w:firstRow="0" w:lastRow="0" w:firstColumn="0" w:lastColumn="0" w:oddVBand="0" w:evenVBand="0" w:oddHBand="0" w:evenHBand="0" w:firstRowFirstColumn="0" w:firstRowLastColumn="0" w:lastRowFirstColumn="0" w:lastRowLastColumn="0"/>
            </w:pPr>
            <w:r>
              <w:t xml:space="preserve">Sufficient training on the system reduces the </w:t>
            </w:r>
            <w:r w:rsidR="00A4773D">
              <w:t xml:space="preserve">likelihood of a mistake </w:t>
            </w:r>
            <w:r w:rsidR="00A4773D">
              <w:lastRenderedPageBreak/>
              <w:t>due to “Lack of Knowledge”.</w:t>
            </w:r>
          </w:p>
        </w:tc>
        <w:tc>
          <w:tcPr>
            <w:tcW w:w="1985" w:type="dxa"/>
          </w:tcPr>
          <w:p w14:paraId="1B53B64E" w14:textId="0CEEB6A5" w:rsidR="00A16E70" w:rsidRDefault="00A16E70">
            <w:pPr>
              <w:cnfStyle w:val="000000000000" w:firstRow="0" w:lastRow="0" w:firstColumn="0" w:lastColumn="0" w:oddVBand="0" w:evenVBand="0" w:oddHBand="0" w:evenHBand="0" w:firstRowFirstColumn="0" w:firstRowLastColumn="0" w:lastRowFirstColumn="0" w:lastRowLastColumn="0"/>
            </w:pPr>
            <w:r>
              <w:lastRenderedPageBreak/>
              <w:t>Do not stand underneath the turret</w:t>
            </w:r>
          </w:p>
        </w:tc>
        <w:tc>
          <w:tcPr>
            <w:tcW w:w="567" w:type="dxa"/>
          </w:tcPr>
          <w:p w14:paraId="75858F25" w14:textId="4C7BA13B" w:rsidR="00A16E70" w:rsidRDefault="00EF31F3">
            <w:pPr>
              <w:cnfStyle w:val="000000000000" w:firstRow="0" w:lastRow="0" w:firstColumn="0" w:lastColumn="0" w:oddVBand="0" w:evenVBand="0" w:oddHBand="0" w:evenHBand="0" w:firstRowFirstColumn="0" w:firstRowLastColumn="0" w:lastRowFirstColumn="0" w:lastRowLastColumn="0"/>
            </w:pPr>
            <w:r>
              <w:t>1</w:t>
            </w:r>
          </w:p>
        </w:tc>
        <w:tc>
          <w:tcPr>
            <w:tcW w:w="567" w:type="dxa"/>
          </w:tcPr>
          <w:p w14:paraId="1FD18337" w14:textId="239CE9FF" w:rsidR="00A16E70" w:rsidRDefault="00EF31F3">
            <w:pPr>
              <w:cnfStyle w:val="000000000000" w:firstRow="0" w:lastRow="0" w:firstColumn="0" w:lastColumn="0" w:oddVBand="0" w:evenVBand="0" w:oddHBand="0" w:evenHBand="0" w:firstRowFirstColumn="0" w:firstRowLastColumn="0" w:lastRowFirstColumn="0" w:lastRowLastColumn="0"/>
            </w:pPr>
            <w:r>
              <w:t>3</w:t>
            </w:r>
          </w:p>
        </w:tc>
        <w:tc>
          <w:tcPr>
            <w:tcW w:w="567" w:type="dxa"/>
            <w:shd w:val="clear" w:color="auto" w:fill="00B050"/>
          </w:tcPr>
          <w:p w14:paraId="43A3A9B9" w14:textId="6611254A" w:rsidR="00A16E70" w:rsidRDefault="00EF31F3">
            <w:pPr>
              <w:cnfStyle w:val="000000000000" w:firstRow="0" w:lastRow="0" w:firstColumn="0" w:lastColumn="0" w:oddVBand="0" w:evenVBand="0" w:oddHBand="0" w:evenHBand="0" w:firstRowFirstColumn="0" w:firstRowLastColumn="0" w:lastRowFirstColumn="0" w:lastRowLastColumn="0"/>
            </w:pPr>
            <w:r>
              <w:t>D</w:t>
            </w:r>
          </w:p>
        </w:tc>
        <w:tc>
          <w:tcPr>
            <w:tcW w:w="1620" w:type="dxa"/>
          </w:tcPr>
          <w:p w14:paraId="0763B932" w14:textId="39844FAA" w:rsidR="00A16E70" w:rsidRDefault="00A16E70" w:rsidP="00B11997">
            <w:pPr>
              <w:cnfStyle w:val="000000000000" w:firstRow="0" w:lastRow="0" w:firstColumn="0" w:lastColumn="0" w:oddVBand="0" w:evenVBand="0" w:oddHBand="0" w:evenHBand="0" w:firstRowFirstColumn="0" w:firstRowLastColumn="0" w:lastRowFirstColumn="0" w:lastRowLastColumn="0"/>
            </w:pPr>
            <w:r>
              <w:t>Minor (</w:t>
            </w:r>
            <w:proofErr w:type="gramStart"/>
            <w:r>
              <w:t>Non-head</w:t>
            </w:r>
            <w:proofErr w:type="gramEnd"/>
            <w:r>
              <w:t xml:space="preserve">) injuries to personnel resulting in only </w:t>
            </w:r>
            <w:proofErr w:type="gramStart"/>
            <w:r>
              <w:t>short term</w:t>
            </w:r>
            <w:proofErr w:type="gramEnd"/>
            <w:r>
              <w:t xml:space="preserve"> afflictions that can be treated on-site.</w:t>
            </w:r>
            <w:r>
              <w:t xml:space="preserve"> </w:t>
            </w:r>
            <w:r>
              <w:t xml:space="preserve">Likelihood of minor injury remains constant throughout risk mitigation as </w:t>
            </w:r>
            <w:r>
              <w:lastRenderedPageBreak/>
              <w:t>major injuries are reduced to minor injuries.</w:t>
            </w:r>
          </w:p>
        </w:tc>
      </w:tr>
      <w:tr w:rsidR="00174153" w14:paraId="1392B9F9" w14:textId="77777777" w:rsidTr="004D5B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497C694C" w14:textId="69C85381" w:rsidR="00310005" w:rsidRDefault="00AE60B2">
            <w:r>
              <w:lastRenderedPageBreak/>
              <w:t>2</w:t>
            </w:r>
          </w:p>
        </w:tc>
        <w:tc>
          <w:tcPr>
            <w:tcW w:w="1560" w:type="dxa"/>
          </w:tcPr>
          <w:p w14:paraId="44E05F60" w14:textId="724C4FDE" w:rsidR="00310005" w:rsidRDefault="00310005">
            <w:pPr>
              <w:cnfStyle w:val="000000100000" w:firstRow="0" w:lastRow="0" w:firstColumn="0" w:lastColumn="0" w:oddVBand="0" w:evenVBand="0" w:oddHBand="1" w:evenHBand="0" w:firstRowFirstColumn="0" w:firstRowLastColumn="0" w:lastRowFirstColumn="0" w:lastRowLastColumn="0"/>
            </w:pPr>
            <w:r>
              <w:t>Excessive noise of the System</w:t>
            </w:r>
            <w:sdt>
              <w:sdtPr>
                <w:id w:val="-1026953993"/>
                <w:citation/>
              </w:sdtPr>
              <w:sdtContent>
                <w:r w:rsidR="00EF31F3">
                  <w:fldChar w:fldCharType="begin"/>
                </w:r>
                <w:r w:rsidR="00EF31F3">
                  <w:instrText xml:space="preserve"> CITATION Cli23 \l 2057 </w:instrText>
                </w:r>
                <w:r w:rsidR="00EF31F3">
                  <w:fldChar w:fldCharType="separate"/>
                </w:r>
                <w:r w:rsidR="004D5B05">
                  <w:rPr>
                    <w:noProof/>
                  </w:rPr>
                  <w:t xml:space="preserve"> </w:t>
                </w:r>
                <w:r w:rsidR="004D5B05" w:rsidRPr="004D5B05">
                  <w:rPr>
                    <w:noProof/>
                  </w:rPr>
                  <w:t>[1]</w:t>
                </w:r>
                <w:r w:rsidR="00EF31F3">
                  <w:fldChar w:fldCharType="end"/>
                </w:r>
              </w:sdtContent>
            </w:sdt>
          </w:p>
        </w:tc>
        <w:tc>
          <w:tcPr>
            <w:tcW w:w="1417" w:type="dxa"/>
          </w:tcPr>
          <w:p w14:paraId="6EB7CCC0" w14:textId="240DED08" w:rsidR="00310005" w:rsidRDefault="00A4773D">
            <w:pPr>
              <w:cnfStyle w:val="000000100000" w:firstRow="0" w:lastRow="0" w:firstColumn="0" w:lastColumn="0" w:oddVBand="0" w:evenVBand="0" w:oddHBand="1" w:evenHBand="0" w:firstRowFirstColumn="0" w:firstRowLastColumn="0" w:lastRowFirstColumn="0" w:lastRowLastColumn="0"/>
            </w:pPr>
            <w:r>
              <w:t>Poor design and build quality of the system.</w:t>
            </w:r>
          </w:p>
        </w:tc>
        <w:tc>
          <w:tcPr>
            <w:tcW w:w="1559" w:type="dxa"/>
          </w:tcPr>
          <w:p w14:paraId="1C36CAA7" w14:textId="38C3C7AC" w:rsidR="00310005" w:rsidRDefault="0018625C">
            <w:pPr>
              <w:cnfStyle w:val="000000100000" w:firstRow="0" w:lastRow="0" w:firstColumn="0" w:lastColumn="0" w:oddVBand="0" w:evenVBand="0" w:oddHBand="1" w:evenHBand="0" w:firstRowFirstColumn="0" w:firstRowLastColumn="0" w:lastRowFirstColumn="0" w:lastRowLastColumn="0"/>
            </w:pPr>
            <w:r>
              <w:t>Hearing Loss</w:t>
            </w:r>
          </w:p>
        </w:tc>
        <w:tc>
          <w:tcPr>
            <w:tcW w:w="520" w:type="dxa"/>
          </w:tcPr>
          <w:p w14:paraId="79F9006F" w14:textId="32CAF2F4" w:rsidR="00310005" w:rsidRDefault="008A1BA7">
            <w:pPr>
              <w:cnfStyle w:val="000000100000" w:firstRow="0" w:lastRow="0" w:firstColumn="0" w:lastColumn="0" w:oddVBand="0" w:evenVBand="0" w:oddHBand="1" w:evenHBand="0" w:firstRowFirstColumn="0" w:firstRowLastColumn="0" w:lastRowFirstColumn="0" w:lastRowLastColumn="0"/>
            </w:pPr>
            <w:r>
              <w:t>3</w:t>
            </w:r>
          </w:p>
        </w:tc>
        <w:tc>
          <w:tcPr>
            <w:tcW w:w="520" w:type="dxa"/>
          </w:tcPr>
          <w:p w14:paraId="7D6D8EBE" w14:textId="2ED75801" w:rsidR="00310005" w:rsidRDefault="008A1BA7">
            <w:pPr>
              <w:cnfStyle w:val="000000100000" w:firstRow="0" w:lastRow="0" w:firstColumn="0" w:lastColumn="0" w:oddVBand="0" w:evenVBand="0" w:oddHBand="1" w:evenHBand="0" w:firstRowFirstColumn="0" w:firstRowLastColumn="0" w:lastRowFirstColumn="0" w:lastRowLastColumn="0"/>
            </w:pPr>
            <w:r>
              <w:t>6</w:t>
            </w:r>
          </w:p>
        </w:tc>
        <w:tc>
          <w:tcPr>
            <w:tcW w:w="520" w:type="dxa"/>
            <w:shd w:val="clear" w:color="auto" w:fill="EE0000"/>
          </w:tcPr>
          <w:p w14:paraId="4145D240" w14:textId="1657DE48" w:rsidR="00310005" w:rsidRDefault="008A1BA7">
            <w:pPr>
              <w:cnfStyle w:val="000000100000" w:firstRow="0" w:lastRow="0" w:firstColumn="0" w:lastColumn="0" w:oddVBand="0" w:evenVBand="0" w:oddHBand="1" w:evenHBand="0" w:firstRowFirstColumn="0" w:firstRowLastColumn="0" w:lastRowFirstColumn="0" w:lastRowLastColumn="0"/>
            </w:pPr>
            <w:r>
              <w:t>A</w:t>
            </w:r>
          </w:p>
        </w:tc>
        <w:tc>
          <w:tcPr>
            <w:tcW w:w="1417" w:type="dxa"/>
          </w:tcPr>
          <w:p w14:paraId="7D092788" w14:textId="663C75BC" w:rsidR="00310005" w:rsidRDefault="00310005">
            <w:pPr>
              <w:cnfStyle w:val="000000100000" w:firstRow="0" w:lastRow="0" w:firstColumn="0" w:lastColumn="0" w:oddVBand="0" w:evenVBand="0" w:oddHBand="1" w:evenHBand="0" w:firstRowFirstColumn="0" w:firstRowLastColumn="0" w:lastRowFirstColumn="0" w:lastRowLastColumn="0"/>
            </w:pPr>
            <w:r>
              <w:t>Ear protection</w:t>
            </w:r>
            <w:r w:rsidR="00A4773D">
              <w:t>.</w:t>
            </w:r>
          </w:p>
        </w:tc>
        <w:tc>
          <w:tcPr>
            <w:tcW w:w="1985" w:type="dxa"/>
          </w:tcPr>
          <w:p w14:paraId="34655978" w14:textId="77777777" w:rsidR="00A4773D" w:rsidRDefault="00A4773D" w:rsidP="00A4773D">
            <w:pPr>
              <w:cnfStyle w:val="000000100000" w:firstRow="0" w:lastRow="0" w:firstColumn="0" w:lastColumn="0" w:oddVBand="0" w:evenVBand="0" w:oddHBand="1" w:evenHBand="0" w:firstRowFirstColumn="0" w:firstRowLastColumn="0" w:lastRowFirstColumn="0" w:lastRowLastColumn="0"/>
            </w:pPr>
            <w:r>
              <w:t>Logging of batch numbers for parts during production and manufacture.</w:t>
            </w:r>
          </w:p>
          <w:p w14:paraId="633E7574" w14:textId="2F262A95" w:rsidR="00310005" w:rsidRDefault="00A4773D" w:rsidP="00A4773D">
            <w:pPr>
              <w:cnfStyle w:val="000000100000" w:firstRow="0" w:lastRow="0" w:firstColumn="0" w:lastColumn="0" w:oddVBand="0" w:evenVBand="0" w:oddHBand="1" w:evenHBand="0" w:firstRowFirstColumn="0" w:firstRowLastColumn="0" w:lastRowFirstColumn="0" w:lastRowLastColumn="0"/>
            </w:pPr>
            <w:r>
              <w:t>Recalling of identified defective equipment.</w:t>
            </w:r>
          </w:p>
        </w:tc>
        <w:tc>
          <w:tcPr>
            <w:tcW w:w="567" w:type="dxa"/>
          </w:tcPr>
          <w:p w14:paraId="6E2CD674" w14:textId="3957CFFA" w:rsidR="00310005" w:rsidRDefault="008A1BA7">
            <w:pPr>
              <w:cnfStyle w:val="000000100000" w:firstRow="0" w:lastRow="0" w:firstColumn="0" w:lastColumn="0" w:oddVBand="0" w:evenVBand="0" w:oddHBand="1" w:evenHBand="0" w:firstRowFirstColumn="0" w:firstRowLastColumn="0" w:lastRowFirstColumn="0" w:lastRowLastColumn="0"/>
            </w:pPr>
            <w:r>
              <w:t>2</w:t>
            </w:r>
          </w:p>
        </w:tc>
        <w:tc>
          <w:tcPr>
            <w:tcW w:w="567" w:type="dxa"/>
          </w:tcPr>
          <w:p w14:paraId="492C0EE2" w14:textId="3BA7E362" w:rsidR="00310005" w:rsidRDefault="008A1BA7">
            <w:pPr>
              <w:cnfStyle w:val="000000100000" w:firstRow="0" w:lastRow="0" w:firstColumn="0" w:lastColumn="0" w:oddVBand="0" w:evenVBand="0" w:oddHBand="1" w:evenHBand="0" w:firstRowFirstColumn="0" w:firstRowLastColumn="0" w:lastRowFirstColumn="0" w:lastRowLastColumn="0"/>
            </w:pPr>
            <w:r>
              <w:t>4</w:t>
            </w:r>
          </w:p>
        </w:tc>
        <w:tc>
          <w:tcPr>
            <w:tcW w:w="567" w:type="dxa"/>
            <w:shd w:val="clear" w:color="auto" w:fill="92D050"/>
          </w:tcPr>
          <w:p w14:paraId="3A43DFED" w14:textId="2F31582D" w:rsidR="00310005" w:rsidRDefault="00AB2007">
            <w:pPr>
              <w:cnfStyle w:val="000000100000" w:firstRow="0" w:lastRow="0" w:firstColumn="0" w:lastColumn="0" w:oddVBand="0" w:evenVBand="0" w:oddHBand="1" w:evenHBand="0" w:firstRowFirstColumn="0" w:firstRowLastColumn="0" w:lastRowFirstColumn="0" w:lastRowLastColumn="0"/>
            </w:pPr>
            <w:r>
              <w:t>C</w:t>
            </w:r>
          </w:p>
        </w:tc>
        <w:tc>
          <w:tcPr>
            <w:tcW w:w="1620" w:type="dxa"/>
          </w:tcPr>
          <w:p w14:paraId="594639E2" w14:textId="77777777" w:rsidR="00AB2007" w:rsidRPr="00AB2007" w:rsidRDefault="00AB2007" w:rsidP="00AB2007">
            <w:pPr>
              <w:cnfStyle w:val="000000100000" w:firstRow="0" w:lastRow="0" w:firstColumn="0" w:lastColumn="0" w:oddVBand="0" w:evenVBand="0" w:oddHBand="1" w:evenHBand="0" w:firstRowFirstColumn="0" w:firstRowLastColumn="0" w:lastRowFirstColumn="0" w:lastRowLastColumn="0"/>
            </w:pPr>
            <w:r w:rsidRPr="00AB2007">
              <w:t>During normal use of the platform</w:t>
            </w:r>
          </w:p>
          <w:p w14:paraId="61EE71DB" w14:textId="2EF8D3C2" w:rsidR="00310005" w:rsidRDefault="00AB2007" w:rsidP="00AB2007">
            <w:pPr>
              <w:cnfStyle w:val="000000100000" w:firstRow="0" w:lastRow="0" w:firstColumn="0" w:lastColumn="0" w:oddVBand="0" w:evenVBand="0" w:oddHBand="1" w:evenHBand="0" w:firstRowFirstColumn="0" w:firstRowLastColumn="0" w:lastRowFirstColumn="0" w:lastRowLastColumn="0"/>
            </w:pPr>
            <w:r w:rsidRPr="00AB2007">
              <w:t xml:space="preserve">the user may be exposed to noise which exceeds the </w:t>
            </w:r>
            <w:r>
              <w:t>HSE Maximum Exposure Limits</w:t>
            </w:r>
          </w:p>
        </w:tc>
      </w:tr>
      <w:tr w:rsidR="00AE60B2" w14:paraId="7721DB0E" w14:textId="77777777" w:rsidTr="004D5B05">
        <w:trPr>
          <w:trHeight w:val="1731"/>
        </w:trPr>
        <w:tc>
          <w:tcPr>
            <w:cnfStyle w:val="001000000000" w:firstRow="0" w:lastRow="0" w:firstColumn="1" w:lastColumn="0" w:oddVBand="0" w:evenVBand="0" w:oddHBand="0" w:evenHBand="0" w:firstRowFirstColumn="0" w:firstRowLastColumn="0" w:lastRowFirstColumn="0" w:lastRowLastColumn="0"/>
            <w:tcW w:w="1129" w:type="dxa"/>
            <w:vMerge w:val="restart"/>
          </w:tcPr>
          <w:p w14:paraId="33F8895C" w14:textId="2238F2A5" w:rsidR="00A4773D" w:rsidRDefault="00AE60B2">
            <w:r>
              <w:t>3</w:t>
            </w:r>
          </w:p>
        </w:tc>
        <w:tc>
          <w:tcPr>
            <w:tcW w:w="1560" w:type="dxa"/>
            <w:vMerge w:val="restart"/>
          </w:tcPr>
          <w:p w14:paraId="60BA5A06" w14:textId="48F62CA0" w:rsidR="00A4773D" w:rsidRDefault="00A4773D">
            <w:pPr>
              <w:cnfStyle w:val="000000000000" w:firstRow="0" w:lastRow="0" w:firstColumn="0" w:lastColumn="0" w:oddVBand="0" w:evenVBand="0" w:oddHBand="0" w:evenHBand="0" w:firstRowFirstColumn="0" w:firstRowLastColumn="0" w:lastRowFirstColumn="0" w:lastRowLastColumn="0"/>
            </w:pPr>
            <w:r>
              <w:t xml:space="preserve">Excessive vibration of the system </w:t>
            </w:r>
            <w:sdt>
              <w:sdtPr>
                <w:id w:val="2132196678"/>
                <w:citation/>
              </w:sdtPr>
              <w:sdtContent>
                <w:r>
                  <w:fldChar w:fldCharType="begin"/>
                </w:r>
                <w:r>
                  <w:instrText xml:space="preserve"> CITATION Cli23 \l 2057 </w:instrText>
                </w:r>
                <w:r>
                  <w:fldChar w:fldCharType="separate"/>
                </w:r>
                <w:r w:rsidR="004D5B05">
                  <w:rPr>
                    <w:noProof/>
                  </w:rPr>
                  <w:t xml:space="preserve"> </w:t>
                </w:r>
                <w:r w:rsidR="004D5B05" w:rsidRPr="004D5B05">
                  <w:rPr>
                    <w:noProof/>
                  </w:rPr>
                  <w:t>[1]</w:t>
                </w:r>
                <w:r>
                  <w:fldChar w:fldCharType="end"/>
                </w:r>
              </w:sdtContent>
            </w:sdt>
          </w:p>
        </w:tc>
        <w:tc>
          <w:tcPr>
            <w:tcW w:w="1417" w:type="dxa"/>
            <w:vMerge w:val="restart"/>
          </w:tcPr>
          <w:p w14:paraId="681C7C95" w14:textId="454B0BE5" w:rsidR="00A4773D" w:rsidRDefault="00A4773D">
            <w:pPr>
              <w:cnfStyle w:val="000000000000" w:firstRow="0" w:lastRow="0" w:firstColumn="0" w:lastColumn="0" w:oddVBand="0" w:evenVBand="0" w:oddHBand="0" w:evenHBand="0" w:firstRowFirstColumn="0" w:firstRowLastColumn="0" w:lastRowFirstColumn="0" w:lastRowLastColumn="0"/>
            </w:pPr>
            <w:r>
              <w:t>Poor design and build quality of the system.</w:t>
            </w:r>
          </w:p>
        </w:tc>
        <w:tc>
          <w:tcPr>
            <w:tcW w:w="1559" w:type="dxa"/>
          </w:tcPr>
          <w:p w14:paraId="27E44941" w14:textId="76B3FAB2" w:rsidR="00A4773D" w:rsidRDefault="00A4773D">
            <w:pPr>
              <w:cnfStyle w:val="000000000000" w:firstRow="0" w:lastRow="0" w:firstColumn="0" w:lastColumn="0" w:oddVBand="0" w:evenVBand="0" w:oddHBand="0" w:evenHBand="0" w:firstRowFirstColumn="0" w:firstRowLastColumn="0" w:lastRowFirstColumn="0" w:lastRowLastColumn="0"/>
            </w:pPr>
            <w:r>
              <w:t>Self-damage to the system</w:t>
            </w:r>
          </w:p>
        </w:tc>
        <w:tc>
          <w:tcPr>
            <w:tcW w:w="520" w:type="dxa"/>
          </w:tcPr>
          <w:p w14:paraId="6B95C5AD" w14:textId="581E4D57" w:rsidR="00A4773D" w:rsidRDefault="00A4773D">
            <w:pPr>
              <w:cnfStyle w:val="000000000000" w:firstRow="0" w:lastRow="0" w:firstColumn="0" w:lastColumn="0" w:oddVBand="0" w:evenVBand="0" w:oddHBand="0" w:evenHBand="0" w:firstRowFirstColumn="0" w:firstRowLastColumn="0" w:lastRowFirstColumn="0" w:lastRowLastColumn="0"/>
            </w:pPr>
            <w:r>
              <w:t>1</w:t>
            </w:r>
          </w:p>
        </w:tc>
        <w:tc>
          <w:tcPr>
            <w:tcW w:w="520" w:type="dxa"/>
          </w:tcPr>
          <w:p w14:paraId="33D8233B" w14:textId="1D89E8CF" w:rsidR="00A4773D" w:rsidRDefault="00A4773D">
            <w:pPr>
              <w:cnfStyle w:val="000000000000" w:firstRow="0" w:lastRow="0" w:firstColumn="0" w:lastColumn="0" w:oddVBand="0" w:evenVBand="0" w:oddHBand="0" w:evenHBand="0" w:firstRowFirstColumn="0" w:firstRowLastColumn="0" w:lastRowFirstColumn="0" w:lastRowLastColumn="0"/>
            </w:pPr>
            <w:r>
              <w:t>6</w:t>
            </w:r>
          </w:p>
        </w:tc>
        <w:tc>
          <w:tcPr>
            <w:tcW w:w="520" w:type="dxa"/>
            <w:shd w:val="clear" w:color="auto" w:fill="FFFF00"/>
          </w:tcPr>
          <w:p w14:paraId="15E1FEBD" w14:textId="4EB51DBF" w:rsidR="00A4773D" w:rsidRDefault="00A4773D">
            <w:pPr>
              <w:cnfStyle w:val="000000000000" w:firstRow="0" w:lastRow="0" w:firstColumn="0" w:lastColumn="0" w:oddVBand="0" w:evenVBand="0" w:oddHBand="0" w:evenHBand="0" w:firstRowFirstColumn="0" w:firstRowLastColumn="0" w:lastRowFirstColumn="0" w:lastRowLastColumn="0"/>
            </w:pPr>
            <w:r>
              <w:t>B</w:t>
            </w:r>
          </w:p>
        </w:tc>
        <w:tc>
          <w:tcPr>
            <w:tcW w:w="1417" w:type="dxa"/>
          </w:tcPr>
          <w:p w14:paraId="7BDB1661" w14:textId="34BA0658" w:rsidR="00A4773D" w:rsidRDefault="00A4773D">
            <w:pPr>
              <w:cnfStyle w:val="000000000000" w:firstRow="0" w:lastRow="0" w:firstColumn="0" w:lastColumn="0" w:oddVBand="0" w:evenVBand="0" w:oddHBand="0" w:evenHBand="0" w:firstRowFirstColumn="0" w:firstRowLastColumn="0" w:lastRowFirstColumn="0" w:lastRowLastColumn="0"/>
            </w:pPr>
            <w:r>
              <w:t>Defective parts Recast</w:t>
            </w:r>
          </w:p>
        </w:tc>
        <w:tc>
          <w:tcPr>
            <w:tcW w:w="1985" w:type="dxa"/>
          </w:tcPr>
          <w:p w14:paraId="70285EB8" w14:textId="77777777" w:rsidR="00A4773D" w:rsidRDefault="00A4773D">
            <w:pPr>
              <w:cnfStyle w:val="000000000000" w:firstRow="0" w:lastRow="0" w:firstColumn="0" w:lastColumn="0" w:oddVBand="0" w:evenVBand="0" w:oddHBand="0" w:evenHBand="0" w:firstRowFirstColumn="0" w:firstRowLastColumn="0" w:lastRowFirstColumn="0" w:lastRowLastColumn="0"/>
            </w:pPr>
            <w:r>
              <w:t>Logging of batch numbers for parts during production and manufacture.</w:t>
            </w:r>
          </w:p>
          <w:p w14:paraId="1EF68A4A" w14:textId="62D91ADC" w:rsidR="00A4773D" w:rsidRDefault="00A4773D">
            <w:pPr>
              <w:cnfStyle w:val="000000000000" w:firstRow="0" w:lastRow="0" w:firstColumn="0" w:lastColumn="0" w:oddVBand="0" w:evenVBand="0" w:oddHBand="0" w:evenHBand="0" w:firstRowFirstColumn="0" w:firstRowLastColumn="0" w:lastRowFirstColumn="0" w:lastRowLastColumn="0"/>
            </w:pPr>
            <w:r>
              <w:t>Recalling of identified defective equipment.</w:t>
            </w:r>
          </w:p>
        </w:tc>
        <w:tc>
          <w:tcPr>
            <w:tcW w:w="567" w:type="dxa"/>
          </w:tcPr>
          <w:p w14:paraId="732406E1" w14:textId="28CCE949" w:rsidR="00A4773D" w:rsidRDefault="00A4773D">
            <w:pPr>
              <w:cnfStyle w:val="000000000000" w:firstRow="0" w:lastRow="0" w:firstColumn="0" w:lastColumn="0" w:oddVBand="0" w:evenVBand="0" w:oddHBand="0" w:evenHBand="0" w:firstRowFirstColumn="0" w:firstRowLastColumn="0" w:lastRowFirstColumn="0" w:lastRowLastColumn="0"/>
            </w:pPr>
            <w:r>
              <w:t>1</w:t>
            </w:r>
          </w:p>
        </w:tc>
        <w:tc>
          <w:tcPr>
            <w:tcW w:w="567" w:type="dxa"/>
          </w:tcPr>
          <w:p w14:paraId="4828E950" w14:textId="7AA7A23A" w:rsidR="00A4773D" w:rsidRDefault="00A4773D">
            <w:pPr>
              <w:cnfStyle w:val="000000000000" w:firstRow="0" w:lastRow="0" w:firstColumn="0" w:lastColumn="0" w:oddVBand="0" w:evenVBand="0" w:oddHBand="0" w:evenHBand="0" w:firstRowFirstColumn="0" w:firstRowLastColumn="0" w:lastRowFirstColumn="0" w:lastRowLastColumn="0"/>
            </w:pPr>
            <w:r>
              <w:t>2</w:t>
            </w:r>
          </w:p>
        </w:tc>
        <w:tc>
          <w:tcPr>
            <w:tcW w:w="567" w:type="dxa"/>
            <w:shd w:val="clear" w:color="auto" w:fill="00B050"/>
          </w:tcPr>
          <w:p w14:paraId="648B7A67" w14:textId="0C078CED" w:rsidR="00A4773D" w:rsidRDefault="00A4773D">
            <w:pPr>
              <w:cnfStyle w:val="000000000000" w:firstRow="0" w:lastRow="0" w:firstColumn="0" w:lastColumn="0" w:oddVBand="0" w:evenVBand="0" w:oddHBand="0" w:evenHBand="0" w:firstRowFirstColumn="0" w:firstRowLastColumn="0" w:lastRowFirstColumn="0" w:lastRowLastColumn="0"/>
            </w:pPr>
            <w:r>
              <w:t>D</w:t>
            </w:r>
          </w:p>
        </w:tc>
        <w:tc>
          <w:tcPr>
            <w:tcW w:w="1620" w:type="dxa"/>
          </w:tcPr>
          <w:p w14:paraId="72B95692" w14:textId="77777777" w:rsidR="00A4773D" w:rsidRDefault="00A4773D" w:rsidP="00F14A5E">
            <w:pPr>
              <w:cnfStyle w:val="000000000000" w:firstRow="0" w:lastRow="0" w:firstColumn="0" w:lastColumn="0" w:oddVBand="0" w:evenVBand="0" w:oddHBand="0" w:evenHBand="0" w:firstRowFirstColumn="0" w:firstRowLastColumn="0" w:lastRowFirstColumn="0" w:lastRowLastColumn="0"/>
            </w:pPr>
            <w:r>
              <w:t>Shear forces effecting equipment parts not designed to withstand such movements.</w:t>
            </w:r>
          </w:p>
          <w:p w14:paraId="18AB1A6F" w14:textId="31F84088" w:rsidR="00A4773D" w:rsidRDefault="00A4773D" w:rsidP="00F14A5E">
            <w:pPr>
              <w:cnfStyle w:val="000000000000" w:firstRow="0" w:lastRow="0" w:firstColumn="0" w:lastColumn="0" w:oddVBand="0" w:evenVBand="0" w:oddHBand="0" w:evenHBand="0" w:firstRowFirstColumn="0" w:firstRowLastColumn="0" w:lastRowFirstColumn="0" w:lastRowLastColumn="0"/>
            </w:pPr>
            <w:r>
              <w:t>Severity is negligible as damage to system is less that injury to humans.</w:t>
            </w:r>
          </w:p>
        </w:tc>
      </w:tr>
      <w:tr w:rsidR="00AE60B2" w14:paraId="7187AF86" w14:textId="77777777" w:rsidTr="004D5B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Merge/>
          </w:tcPr>
          <w:p w14:paraId="6FE16496" w14:textId="77777777" w:rsidR="00A4773D" w:rsidRDefault="00A4773D"/>
        </w:tc>
        <w:tc>
          <w:tcPr>
            <w:tcW w:w="1560" w:type="dxa"/>
            <w:vMerge/>
          </w:tcPr>
          <w:p w14:paraId="34DCCE52" w14:textId="77777777" w:rsidR="00A4773D" w:rsidRDefault="00A4773D">
            <w:pPr>
              <w:cnfStyle w:val="000000100000" w:firstRow="0" w:lastRow="0" w:firstColumn="0" w:lastColumn="0" w:oddVBand="0" w:evenVBand="0" w:oddHBand="1" w:evenHBand="0" w:firstRowFirstColumn="0" w:firstRowLastColumn="0" w:lastRowFirstColumn="0" w:lastRowLastColumn="0"/>
            </w:pPr>
          </w:p>
        </w:tc>
        <w:tc>
          <w:tcPr>
            <w:tcW w:w="1417" w:type="dxa"/>
            <w:vMerge/>
          </w:tcPr>
          <w:p w14:paraId="15E3F523" w14:textId="77777777" w:rsidR="00A4773D" w:rsidRDefault="00A4773D">
            <w:pPr>
              <w:cnfStyle w:val="000000100000" w:firstRow="0" w:lastRow="0" w:firstColumn="0" w:lastColumn="0" w:oddVBand="0" w:evenVBand="0" w:oddHBand="1" w:evenHBand="0" w:firstRowFirstColumn="0" w:firstRowLastColumn="0" w:lastRowFirstColumn="0" w:lastRowLastColumn="0"/>
            </w:pPr>
          </w:p>
        </w:tc>
        <w:tc>
          <w:tcPr>
            <w:tcW w:w="1559" w:type="dxa"/>
          </w:tcPr>
          <w:p w14:paraId="653FEEEB" w14:textId="30025528" w:rsidR="00A4773D" w:rsidRDefault="00A4773D">
            <w:pPr>
              <w:cnfStyle w:val="000000100000" w:firstRow="0" w:lastRow="0" w:firstColumn="0" w:lastColumn="0" w:oddVBand="0" w:evenVBand="0" w:oddHBand="1" w:evenHBand="0" w:firstRowFirstColumn="0" w:firstRowLastColumn="0" w:lastRowFirstColumn="0" w:lastRowLastColumn="0"/>
            </w:pPr>
            <w:r>
              <w:t>Minor Injury</w:t>
            </w:r>
          </w:p>
        </w:tc>
        <w:tc>
          <w:tcPr>
            <w:tcW w:w="520" w:type="dxa"/>
          </w:tcPr>
          <w:p w14:paraId="60BD97D8" w14:textId="7294BF7C" w:rsidR="00A4773D" w:rsidRDefault="0018625C">
            <w:pPr>
              <w:cnfStyle w:val="000000100000" w:firstRow="0" w:lastRow="0" w:firstColumn="0" w:lastColumn="0" w:oddVBand="0" w:evenVBand="0" w:oddHBand="1" w:evenHBand="0" w:firstRowFirstColumn="0" w:firstRowLastColumn="0" w:lastRowFirstColumn="0" w:lastRowLastColumn="0"/>
            </w:pPr>
            <w:r>
              <w:t>1</w:t>
            </w:r>
          </w:p>
        </w:tc>
        <w:tc>
          <w:tcPr>
            <w:tcW w:w="520" w:type="dxa"/>
          </w:tcPr>
          <w:p w14:paraId="64771794" w14:textId="693D5FE5" w:rsidR="00A4773D" w:rsidRDefault="0018625C">
            <w:pPr>
              <w:cnfStyle w:val="000000100000" w:firstRow="0" w:lastRow="0" w:firstColumn="0" w:lastColumn="0" w:oddVBand="0" w:evenVBand="0" w:oddHBand="1" w:evenHBand="0" w:firstRowFirstColumn="0" w:firstRowLastColumn="0" w:lastRowFirstColumn="0" w:lastRowLastColumn="0"/>
            </w:pPr>
            <w:r>
              <w:t>5</w:t>
            </w:r>
          </w:p>
        </w:tc>
        <w:tc>
          <w:tcPr>
            <w:tcW w:w="520" w:type="dxa"/>
            <w:shd w:val="clear" w:color="auto" w:fill="92D050"/>
          </w:tcPr>
          <w:p w14:paraId="47D06800" w14:textId="5CF71650" w:rsidR="00A4773D" w:rsidRDefault="0018625C">
            <w:pPr>
              <w:cnfStyle w:val="000000100000" w:firstRow="0" w:lastRow="0" w:firstColumn="0" w:lastColumn="0" w:oddVBand="0" w:evenVBand="0" w:oddHBand="1" w:evenHBand="0" w:firstRowFirstColumn="0" w:firstRowLastColumn="0" w:lastRowFirstColumn="0" w:lastRowLastColumn="0"/>
            </w:pPr>
            <w:r>
              <w:t>C</w:t>
            </w:r>
          </w:p>
        </w:tc>
        <w:tc>
          <w:tcPr>
            <w:tcW w:w="1417" w:type="dxa"/>
          </w:tcPr>
          <w:p w14:paraId="21329CAC" w14:textId="60733717" w:rsidR="00A4773D" w:rsidRDefault="008A1BA7">
            <w:pPr>
              <w:cnfStyle w:val="000000100000" w:firstRow="0" w:lastRow="0" w:firstColumn="0" w:lastColumn="0" w:oddVBand="0" w:evenVBand="0" w:oddHBand="1" w:evenHBand="0" w:firstRowFirstColumn="0" w:firstRowLastColumn="0" w:lastRowFirstColumn="0" w:lastRowLastColumn="0"/>
            </w:pPr>
            <w:r>
              <w:t>Set exposure limits to vibrations</w:t>
            </w:r>
          </w:p>
        </w:tc>
        <w:tc>
          <w:tcPr>
            <w:tcW w:w="1985" w:type="dxa"/>
          </w:tcPr>
          <w:p w14:paraId="2DB12FB4" w14:textId="69E70BB8" w:rsidR="00A4773D" w:rsidRDefault="008A1BA7">
            <w:pPr>
              <w:cnfStyle w:val="000000100000" w:firstRow="0" w:lastRow="0" w:firstColumn="0" w:lastColumn="0" w:oddVBand="0" w:evenVBand="0" w:oddHBand="1" w:evenHBand="0" w:firstRowFirstColumn="0" w:firstRowLastColumn="0" w:lastRowFirstColumn="0" w:lastRowLastColumn="0"/>
            </w:pPr>
            <w:r>
              <w:t>Ensure the user remains inside the legal limits</w:t>
            </w:r>
          </w:p>
        </w:tc>
        <w:tc>
          <w:tcPr>
            <w:tcW w:w="567" w:type="dxa"/>
          </w:tcPr>
          <w:p w14:paraId="017FCF3B" w14:textId="4F82FC72" w:rsidR="00A4773D" w:rsidRDefault="0018625C">
            <w:pPr>
              <w:cnfStyle w:val="000000100000" w:firstRow="0" w:lastRow="0" w:firstColumn="0" w:lastColumn="0" w:oddVBand="0" w:evenVBand="0" w:oddHBand="1" w:evenHBand="0" w:firstRowFirstColumn="0" w:firstRowLastColumn="0" w:lastRowFirstColumn="0" w:lastRowLastColumn="0"/>
            </w:pPr>
            <w:r>
              <w:t>1</w:t>
            </w:r>
          </w:p>
        </w:tc>
        <w:tc>
          <w:tcPr>
            <w:tcW w:w="567" w:type="dxa"/>
          </w:tcPr>
          <w:p w14:paraId="1F3DBED0" w14:textId="6F1B79C1" w:rsidR="00A4773D" w:rsidRDefault="0018625C">
            <w:pPr>
              <w:cnfStyle w:val="000000100000" w:firstRow="0" w:lastRow="0" w:firstColumn="0" w:lastColumn="0" w:oddVBand="0" w:evenVBand="0" w:oddHBand="1" w:evenHBand="0" w:firstRowFirstColumn="0" w:firstRowLastColumn="0" w:lastRowFirstColumn="0" w:lastRowLastColumn="0"/>
            </w:pPr>
            <w:r>
              <w:t>2</w:t>
            </w:r>
          </w:p>
        </w:tc>
        <w:tc>
          <w:tcPr>
            <w:tcW w:w="567" w:type="dxa"/>
            <w:shd w:val="clear" w:color="auto" w:fill="00B050"/>
          </w:tcPr>
          <w:p w14:paraId="1ECDE3C5" w14:textId="5AA3E78E" w:rsidR="00A4773D" w:rsidRDefault="0018625C">
            <w:pPr>
              <w:cnfStyle w:val="000000100000" w:firstRow="0" w:lastRow="0" w:firstColumn="0" w:lastColumn="0" w:oddVBand="0" w:evenVBand="0" w:oddHBand="1" w:evenHBand="0" w:firstRowFirstColumn="0" w:firstRowLastColumn="0" w:lastRowFirstColumn="0" w:lastRowLastColumn="0"/>
            </w:pPr>
            <w:r>
              <w:t>D</w:t>
            </w:r>
          </w:p>
        </w:tc>
        <w:tc>
          <w:tcPr>
            <w:tcW w:w="1620" w:type="dxa"/>
          </w:tcPr>
          <w:p w14:paraId="4B17F7BB" w14:textId="4B433A5C" w:rsidR="00A4773D" w:rsidRDefault="00A4773D">
            <w:pPr>
              <w:cnfStyle w:val="000000100000" w:firstRow="0" w:lastRow="0" w:firstColumn="0" w:lastColumn="0" w:oddVBand="0" w:evenVBand="0" w:oddHBand="1" w:evenHBand="0" w:firstRowFirstColumn="0" w:firstRowLastColumn="0" w:lastRowFirstColumn="0" w:lastRowLastColumn="0"/>
            </w:pPr>
            <w:r>
              <w:t>Fatigue</w:t>
            </w:r>
            <w:r w:rsidR="008A1BA7">
              <w:t xml:space="preserve">, </w:t>
            </w:r>
            <w:r w:rsidR="00AE60B2">
              <w:t>Nausea, and</w:t>
            </w:r>
            <w:r w:rsidR="008A1BA7">
              <w:t>/or Vomiting.</w:t>
            </w:r>
          </w:p>
        </w:tc>
      </w:tr>
      <w:tr w:rsidR="00174153" w14:paraId="504441B8" w14:textId="77777777" w:rsidTr="004D5B05">
        <w:tc>
          <w:tcPr>
            <w:cnfStyle w:val="001000000000" w:firstRow="0" w:lastRow="0" w:firstColumn="1" w:lastColumn="0" w:oddVBand="0" w:evenVBand="0" w:oddHBand="0" w:evenHBand="0" w:firstRowFirstColumn="0" w:firstRowLastColumn="0" w:lastRowFirstColumn="0" w:lastRowLastColumn="0"/>
            <w:tcW w:w="1129" w:type="dxa"/>
          </w:tcPr>
          <w:p w14:paraId="68DD93E8" w14:textId="7DC162A7" w:rsidR="00AE60B2" w:rsidRDefault="00AE60B2">
            <w:r>
              <w:t>4</w:t>
            </w:r>
          </w:p>
        </w:tc>
        <w:tc>
          <w:tcPr>
            <w:tcW w:w="1560" w:type="dxa"/>
          </w:tcPr>
          <w:p w14:paraId="178013CF" w14:textId="0B7E7730" w:rsidR="00AE60B2" w:rsidRDefault="00AE60B2">
            <w:pPr>
              <w:cnfStyle w:val="000000000000" w:firstRow="0" w:lastRow="0" w:firstColumn="0" w:lastColumn="0" w:oddVBand="0" w:evenVBand="0" w:oddHBand="0" w:evenHBand="0" w:firstRowFirstColumn="0" w:firstRowLastColumn="0" w:lastRowFirstColumn="0" w:lastRowLastColumn="0"/>
            </w:pPr>
            <w:r>
              <w:t>Hot/Cold Surfaces</w:t>
            </w:r>
            <w:sdt>
              <w:sdtPr>
                <w:id w:val="177317513"/>
                <w:citation/>
              </w:sdtPr>
              <w:sdtContent>
                <w:r>
                  <w:fldChar w:fldCharType="begin"/>
                </w:r>
                <w:r>
                  <w:instrText xml:space="preserve">CITATION Min18 \l 2057 </w:instrText>
                </w:r>
                <w:r>
                  <w:fldChar w:fldCharType="separate"/>
                </w:r>
                <w:r w:rsidR="004D5B05">
                  <w:rPr>
                    <w:noProof/>
                  </w:rPr>
                  <w:t xml:space="preserve"> </w:t>
                </w:r>
                <w:r w:rsidR="004D5B05" w:rsidRPr="004D5B05">
                  <w:rPr>
                    <w:noProof/>
                  </w:rPr>
                  <w:t>[2]</w:t>
                </w:r>
                <w:r>
                  <w:fldChar w:fldCharType="end"/>
                </w:r>
              </w:sdtContent>
            </w:sdt>
          </w:p>
        </w:tc>
        <w:tc>
          <w:tcPr>
            <w:tcW w:w="1417" w:type="dxa"/>
          </w:tcPr>
          <w:p w14:paraId="2784AE96" w14:textId="14C44F62" w:rsidR="00AE60B2" w:rsidRDefault="004D5B05">
            <w:pPr>
              <w:cnfStyle w:val="000000000000" w:firstRow="0" w:lastRow="0" w:firstColumn="0" w:lastColumn="0" w:oddVBand="0" w:evenVBand="0" w:oddHBand="0" w:evenHBand="0" w:firstRowFirstColumn="0" w:firstRowLastColumn="0" w:lastRowFirstColumn="0" w:lastRowLastColumn="0"/>
            </w:pPr>
            <w:r>
              <w:t>High thermal conductivity of metal plating</w:t>
            </w:r>
          </w:p>
        </w:tc>
        <w:tc>
          <w:tcPr>
            <w:tcW w:w="1559" w:type="dxa"/>
          </w:tcPr>
          <w:p w14:paraId="282A87C9" w14:textId="1FEE902E" w:rsidR="00AE60B2" w:rsidRDefault="00731245">
            <w:pPr>
              <w:cnfStyle w:val="000000000000" w:firstRow="0" w:lastRow="0" w:firstColumn="0" w:lastColumn="0" w:oddVBand="0" w:evenVBand="0" w:oddHBand="0" w:evenHBand="0" w:firstRowFirstColumn="0" w:firstRowLastColumn="0" w:lastRowFirstColumn="0" w:lastRowLastColumn="0"/>
            </w:pPr>
            <w:r>
              <w:t>Minor Injury</w:t>
            </w:r>
          </w:p>
        </w:tc>
        <w:tc>
          <w:tcPr>
            <w:tcW w:w="520" w:type="dxa"/>
          </w:tcPr>
          <w:p w14:paraId="41B7D518" w14:textId="5F52AECD" w:rsidR="00AE60B2" w:rsidRDefault="004D5B05">
            <w:pPr>
              <w:cnfStyle w:val="000000000000" w:firstRow="0" w:lastRow="0" w:firstColumn="0" w:lastColumn="0" w:oddVBand="0" w:evenVBand="0" w:oddHBand="0" w:evenHBand="0" w:firstRowFirstColumn="0" w:firstRowLastColumn="0" w:lastRowFirstColumn="0" w:lastRowLastColumn="0"/>
            </w:pPr>
            <w:r>
              <w:t>1</w:t>
            </w:r>
          </w:p>
        </w:tc>
        <w:tc>
          <w:tcPr>
            <w:tcW w:w="520" w:type="dxa"/>
          </w:tcPr>
          <w:p w14:paraId="0ACC7981" w14:textId="617E4A19" w:rsidR="00AE60B2" w:rsidRDefault="004D5B05">
            <w:pPr>
              <w:cnfStyle w:val="000000000000" w:firstRow="0" w:lastRow="0" w:firstColumn="0" w:lastColumn="0" w:oddVBand="0" w:evenVBand="0" w:oddHBand="0" w:evenHBand="0" w:firstRowFirstColumn="0" w:firstRowLastColumn="0" w:lastRowFirstColumn="0" w:lastRowLastColumn="0"/>
            </w:pPr>
            <w:r>
              <w:t>5</w:t>
            </w:r>
          </w:p>
        </w:tc>
        <w:tc>
          <w:tcPr>
            <w:tcW w:w="520" w:type="dxa"/>
            <w:shd w:val="clear" w:color="auto" w:fill="92D050"/>
          </w:tcPr>
          <w:p w14:paraId="1B910CD5" w14:textId="44ED8569" w:rsidR="00AE60B2" w:rsidRDefault="004D5B05">
            <w:pPr>
              <w:cnfStyle w:val="000000000000" w:firstRow="0" w:lastRow="0" w:firstColumn="0" w:lastColumn="0" w:oddVBand="0" w:evenVBand="0" w:oddHBand="0" w:evenHBand="0" w:firstRowFirstColumn="0" w:firstRowLastColumn="0" w:lastRowFirstColumn="0" w:lastRowLastColumn="0"/>
            </w:pPr>
            <w:r>
              <w:t>C</w:t>
            </w:r>
          </w:p>
        </w:tc>
        <w:tc>
          <w:tcPr>
            <w:tcW w:w="1417" w:type="dxa"/>
          </w:tcPr>
          <w:p w14:paraId="02A7F4F4" w14:textId="7671B085" w:rsidR="00AE60B2" w:rsidRDefault="004D5B05">
            <w:pPr>
              <w:cnfStyle w:val="000000000000" w:firstRow="0" w:lastRow="0" w:firstColumn="0" w:lastColumn="0" w:oddVBand="0" w:evenVBand="0" w:oddHBand="0" w:evenHBand="0" w:firstRowFirstColumn="0" w:firstRowLastColumn="0" w:lastRowFirstColumn="0" w:lastRowLastColumn="0"/>
            </w:pPr>
            <w:r>
              <w:t>PPE - Gloves</w:t>
            </w:r>
          </w:p>
        </w:tc>
        <w:tc>
          <w:tcPr>
            <w:tcW w:w="1985" w:type="dxa"/>
          </w:tcPr>
          <w:p w14:paraId="006CDA55" w14:textId="1C46C19C" w:rsidR="00AE60B2" w:rsidRDefault="004D5B05">
            <w:pPr>
              <w:cnfStyle w:val="000000000000" w:firstRow="0" w:lastRow="0" w:firstColumn="0" w:lastColumn="0" w:oddVBand="0" w:evenVBand="0" w:oddHBand="0" w:evenHBand="0" w:firstRowFirstColumn="0" w:firstRowLastColumn="0" w:lastRowFirstColumn="0" w:lastRowLastColumn="0"/>
            </w:pPr>
            <w:r>
              <w:t>Develop materials with advanced protective and thermal conducting properties</w:t>
            </w:r>
          </w:p>
        </w:tc>
        <w:tc>
          <w:tcPr>
            <w:tcW w:w="567" w:type="dxa"/>
          </w:tcPr>
          <w:p w14:paraId="6B00B05E" w14:textId="6723EF4C" w:rsidR="00AE60B2" w:rsidRDefault="004D5B05">
            <w:pPr>
              <w:cnfStyle w:val="000000000000" w:firstRow="0" w:lastRow="0" w:firstColumn="0" w:lastColumn="0" w:oddVBand="0" w:evenVBand="0" w:oddHBand="0" w:evenHBand="0" w:firstRowFirstColumn="0" w:firstRowLastColumn="0" w:lastRowFirstColumn="0" w:lastRowLastColumn="0"/>
            </w:pPr>
            <w:r>
              <w:t>1</w:t>
            </w:r>
          </w:p>
        </w:tc>
        <w:tc>
          <w:tcPr>
            <w:tcW w:w="567" w:type="dxa"/>
          </w:tcPr>
          <w:p w14:paraId="147AED8C" w14:textId="68A034DD" w:rsidR="00AE60B2" w:rsidRDefault="004D5B05">
            <w:pPr>
              <w:cnfStyle w:val="000000000000" w:firstRow="0" w:lastRow="0" w:firstColumn="0" w:lastColumn="0" w:oddVBand="0" w:evenVBand="0" w:oddHBand="0" w:evenHBand="0" w:firstRowFirstColumn="0" w:firstRowLastColumn="0" w:lastRowFirstColumn="0" w:lastRowLastColumn="0"/>
            </w:pPr>
            <w:r>
              <w:t>2</w:t>
            </w:r>
          </w:p>
        </w:tc>
        <w:tc>
          <w:tcPr>
            <w:tcW w:w="567" w:type="dxa"/>
            <w:shd w:val="clear" w:color="auto" w:fill="00B050"/>
          </w:tcPr>
          <w:p w14:paraId="4AF7CDC7" w14:textId="6518DE98" w:rsidR="00AE60B2" w:rsidRDefault="004D5B05">
            <w:pPr>
              <w:cnfStyle w:val="000000000000" w:firstRow="0" w:lastRow="0" w:firstColumn="0" w:lastColumn="0" w:oddVBand="0" w:evenVBand="0" w:oddHBand="0" w:evenHBand="0" w:firstRowFirstColumn="0" w:firstRowLastColumn="0" w:lastRowFirstColumn="0" w:lastRowLastColumn="0"/>
            </w:pPr>
            <w:r>
              <w:t>D</w:t>
            </w:r>
          </w:p>
        </w:tc>
        <w:tc>
          <w:tcPr>
            <w:tcW w:w="1620" w:type="dxa"/>
          </w:tcPr>
          <w:p w14:paraId="135C1FFF" w14:textId="72F9E377" w:rsidR="00AE60B2" w:rsidRDefault="004D5B05" w:rsidP="004D5B05">
            <w:pPr>
              <w:cnfStyle w:val="000000000000" w:firstRow="0" w:lastRow="0" w:firstColumn="0" w:lastColumn="0" w:oddVBand="0" w:evenVBand="0" w:oddHBand="0" w:evenHBand="0" w:firstRowFirstColumn="0" w:firstRowLastColumn="0" w:lastRowFirstColumn="0" w:lastRowLastColumn="0"/>
            </w:pPr>
            <w:r>
              <w:t>First degree burns or Freezing Cold Injury below 0</w:t>
            </w:r>
            <w:r>
              <w:rPr>
                <w:rFonts w:cstheme="minorHAnsi"/>
              </w:rPr>
              <w:t>°</w:t>
            </w:r>
            <w:r>
              <w:t>C</w:t>
            </w:r>
          </w:p>
        </w:tc>
      </w:tr>
      <w:tr w:rsidR="004D5B05" w14:paraId="1B5C77DE" w14:textId="77777777" w:rsidTr="004D5B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028FB5EC" w14:textId="7EF2A224" w:rsidR="00AE60B2" w:rsidRDefault="00AE60B2">
            <w:r>
              <w:lastRenderedPageBreak/>
              <w:t>5</w:t>
            </w:r>
          </w:p>
        </w:tc>
        <w:tc>
          <w:tcPr>
            <w:tcW w:w="1560" w:type="dxa"/>
          </w:tcPr>
          <w:p w14:paraId="7560C96E" w14:textId="77777777" w:rsidR="00AE60B2" w:rsidRDefault="00AE60B2">
            <w:pPr>
              <w:cnfStyle w:val="000000100000" w:firstRow="0" w:lastRow="0" w:firstColumn="0" w:lastColumn="0" w:oddVBand="0" w:evenVBand="0" w:oddHBand="1" w:evenHBand="0" w:firstRowFirstColumn="0" w:firstRowLastColumn="0" w:lastRowFirstColumn="0" w:lastRowLastColumn="0"/>
            </w:pPr>
            <w:r>
              <w:t>Fire</w:t>
            </w:r>
          </w:p>
          <w:p w14:paraId="67F32CD4" w14:textId="77777777" w:rsidR="00AE60B2" w:rsidRDefault="00AE60B2">
            <w:pPr>
              <w:cnfStyle w:val="000000100000" w:firstRow="0" w:lastRow="0" w:firstColumn="0" w:lastColumn="0" w:oddVBand="0" w:evenVBand="0" w:oddHBand="1" w:evenHBand="0" w:firstRowFirstColumn="0" w:firstRowLastColumn="0" w:lastRowFirstColumn="0" w:lastRowLastColumn="0"/>
            </w:pPr>
          </w:p>
          <w:p w14:paraId="5E42C34C" w14:textId="7485FA34" w:rsidR="00AE60B2" w:rsidRDefault="00AE60B2">
            <w:pPr>
              <w:cnfStyle w:val="000000100000" w:firstRow="0" w:lastRow="0" w:firstColumn="0" w:lastColumn="0" w:oddVBand="0" w:evenVBand="0" w:oddHBand="1" w:evenHBand="0" w:firstRowFirstColumn="0" w:firstRowLastColumn="0" w:lastRowFirstColumn="0" w:lastRowLastColumn="0"/>
            </w:pPr>
          </w:p>
        </w:tc>
        <w:tc>
          <w:tcPr>
            <w:tcW w:w="1417" w:type="dxa"/>
          </w:tcPr>
          <w:p w14:paraId="424B2D07" w14:textId="2814481C" w:rsidR="00AE60B2" w:rsidRDefault="004D5B05">
            <w:pPr>
              <w:cnfStyle w:val="000000100000" w:firstRow="0" w:lastRow="0" w:firstColumn="0" w:lastColumn="0" w:oddVBand="0" w:evenVBand="0" w:oddHBand="1" w:evenHBand="0" w:firstRowFirstColumn="0" w:firstRowLastColumn="0" w:lastRowFirstColumn="0" w:lastRowLastColumn="0"/>
            </w:pPr>
            <w:r>
              <w:t>Fire spread from main section of the vehicle or ignition of surface material on the turret</w:t>
            </w:r>
          </w:p>
        </w:tc>
        <w:tc>
          <w:tcPr>
            <w:tcW w:w="1559" w:type="dxa"/>
          </w:tcPr>
          <w:p w14:paraId="590B3E08" w14:textId="2A5A4BD0" w:rsidR="00AE60B2" w:rsidRDefault="00731245">
            <w:pPr>
              <w:cnfStyle w:val="000000100000" w:firstRow="0" w:lastRow="0" w:firstColumn="0" w:lastColumn="0" w:oddVBand="0" w:evenVBand="0" w:oddHBand="1" w:evenHBand="0" w:firstRowFirstColumn="0" w:firstRowLastColumn="0" w:lastRowFirstColumn="0" w:lastRowLastColumn="0"/>
            </w:pPr>
            <w:r>
              <w:t>Death</w:t>
            </w:r>
          </w:p>
        </w:tc>
        <w:tc>
          <w:tcPr>
            <w:tcW w:w="520" w:type="dxa"/>
          </w:tcPr>
          <w:p w14:paraId="1BDE7ACC" w14:textId="1D1E787F" w:rsidR="00AE60B2" w:rsidRDefault="004D5B05">
            <w:pPr>
              <w:cnfStyle w:val="000000100000" w:firstRow="0" w:lastRow="0" w:firstColumn="0" w:lastColumn="0" w:oddVBand="0" w:evenVBand="0" w:oddHBand="1" w:evenHBand="0" w:firstRowFirstColumn="0" w:firstRowLastColumn="0" w:lastRowFirstColumn="0" w:lastRowLastColumn="0"/>
            </w:pPr>
            <w:r>
              <w:t>3</w:t>
            </w:r>
          </w:p>
        </w:tc>
        <w:tc>
          <w:tcPr>
            <w:tcW w:w="520" w:type="dxa"/>
          </w:tcPr>
          <w:p w14:paraId="71089F07" w14:textId="3501587C" w:rsidR="00AE60B2" w:rsidRDefault="004D5B05">
            <w:pPr>
              <w:cnfStyle w:val="000000100000" w:firstRow="0" w:lastRow="0" w:firstColumn="0" w:lastColumn="0" w:oddVBand="0" w:evenVBand="0" w:oddHBand="1" w:evenHBand="0" w:firstRowFirstColumn="0" w:firstRowLastColumn="0" w:lastRowFirstColumn="0" w:lastRowLastColumn="0"/>
            </w:pPr>
            <w:r>
              <w:t>2</w:t>
            </w:r>
          </w:p>
        </w:tc>
        <w:tc>
          <w:tcPr>
            <w:tcW w:w="520" w:type="dxa"/>
            <w:shd w:val="clear" w:color="auto" w:fill="92D050"/>
          </w:tcPr>
          <w:p w14:paraId="4D0D81C2" w14:textId="0FAC574E" w:rsidR="00AE60B2" w:rsidRDefault="004D5B05">
            <w:pPr>
              <w:cnfStyle w:val="000000100000" w:firstRow="0" w:lastRow="0" w:firstColumn="0" w:lastColumn="0" w:oddVBand="0" w:evenVBand="0" w:oddHBand="1" w:evenHBand="0" w:firstRowFirstColumn="0" w:firstRowLastColumn="0" w:lastRowFirstColumn="0" w:lastRowLastColumn="0"/>
            </w:pPr>
            <w:r>
              <w:t>C</w:t>
            </w:r>
          </w:p>
        </w:tc>
        <w:tc>
          <w:tcPr>
            <w:tcW w:w="1417" w:type="dxa"/>
          </w:tcPr>
          <w:p w14:paraId="1F57A69B" w14:textId="3C4B066E" w:rsidR="00AE60B2" w:rsidRDefault="004D5B05">
            <w:pPr>
              <w:cnfStyle w:val="000000100000" w:firstRow="0" w:lastRow="0" w:firstColumn="0" w:lastColumn="0" w:oddVBand="0" w:evenVBand="0" w:oddHBand="1" w:evenHBand="0" w:firstRowFirstColumn="0" w:firstRowLastColumn="0" w:lastRowFirstColumn="0" w:lastRowLastColumn="0"/>
            </w:pPr>
            <w:r>
              <w:t>Ensure flammable materials are kept clear of the system.</w:t>
            </w:r>
          </w:p>
        </w:tc>
        <w:tc>
          <w:tcPr>
            <w:tcW w:w="1985" w:type="dxa"/>
          </w:tcPr>
          <w:p w14:paraId="009F38CB" w14:textId="77777777" w:rsidR="00AE60B2" w:rsidRDefault="00AE60B2">
            <w:pPr>
              <w:cnfStyle w:val="000000100000" w:firstRow="0" w:lastRow="0" w:firstColumn="0" w:lastColumn="0" w:oddVBand="0" w:evenVBand="0" w:oddHBand="1" w:evenHBand="0" w:firstRowFirstColumn="0" w:firstRowLastColumn="0" w:lastRowFirstColumn="0" w:lastRowLastColumn="0"/>
            </w:pPr>
          </w:p>
        </w:tc>
        <w:tc>
          <w:tcPr>
            <w:tcW w:w="567" w:type="dxa"/>
          </w:tcPr>
          <w:p w14:paraId="775264DD" w14:textId="7B41DC34" w:rsidR="00AE60B2" w:rsidRDefault="004D5B05">
            <w:pPr>
              <w:cnfStyle w:val="000000100000" w:firstRow="0" w:lastRow="0" w:firstColumn="0" w:lastColumn="0" w:oddVBand="0" w:evenVBand="0" w:oddHBand="1" w:evenHBand="0" w:firstRowFirstColumn="0" w:firstRowLastColumn="0" w:lastRowFirstColumn="0" w:lastRowLastColumn="0"/>
            </w:pPr>
            <w:r>
              <w:t>3</w:t>
            </w:r>
          </w:p>
        </w:tc>
        <w:tc>
          <w:tcPr>
            <w:tcW w:w="567" w:type="dxa"/>
          </w:tcPr>
          <w:p w14:paraId="2EF45711" w14:textId="28A9B034" w:rsidR="00AE60B2" w:rsidRDefault="004D5B05">
            <w:pPr>
              <w:cnfStyle w:val="000000100000" w:firstRow="0" w:lastRow="0" w:firstColumn="0" w:lastColumn="0" w:oddVBand="0" w:evenVBand="0" w:oddHBand="1" w:evenHBand="0" w:firstRowFirstColumn="0" w:firstRowLastColumn="0" w:lastRowFirstColumn="0" w:lastRowLastColumn="0"/>
            </w:pPr>
            <w:r>
              <w:t>2</w:t>
            </w:r>
          </w:p>
        </w:tc>
        <w:tc>
          <w:tcPr>
            <w:tcW w:w="567" w:type="dxa"/>
            <w:shd w:val="clear" w:color="auto" w:fill="92D050"/>
          </w:tcPr>
          <w:p w14:paraId="6EBCF207" w14:textId="10D9715E" w:rsidR="00AE60B2" w:rsidRDefault="004D5B05">
            <w:pPr>
              <w:cnfStyle w:val="000000100000" w:firstRow="0" w:lastRow="0" w:firstColumn="0" w:lastColumn="0" w:oddVBand="0" w:evenVBand="0" w:oddHBand="1" w:evenHBand="0" w:firstRowFirstColumn="0" w:firstRowLastColumn="0" w:lastRowFirstColumn="0" w:lastRowLastColumn="0"/>
            </w:pPr>
            <w:r>
              <w:t>C</w:t>
            </w:r>
          </w:p>
        </w:tc>
        <w:tc>
          <w:tcPr>
            <w:tcW w:w="1620" w:type="dxa"/>
          </w:tcPr>
          <w:p w14:paraId="00F39309" w14:textId="3A2D69D5" w:rsidR="00AE60B2" w:rsidRDefault="004D5B05">
            <w:pPr>
              <w:cnfStyle w:val="000000100000" w:firstRow="0" w:lastRow="0" w:firstColumn="0" w:lastColumn="0" w:oddVBand="0" w:evenVBand="0" w:oddHBand="1" w:evenHBand="0" w:firstRowFirstColumn="0" w:firstRowLastColumn="0" w:lastRowFirstColumn="0" w:lastRowLastColumn="0"/>
            </w:pPr>
            <w:r>
              <w:t xml:space="preserve">The turret and cannon </w:t>
            </w:r>
            <w:proofErr w:type="gramStart"/>
            <w:r>
              <w:t>is</w:t>
            </w:r>
            <w:proofErr w:type="gramEnd"/>
            <w:r>
              <w:t xml:space="preserve"> made of </w:t>
            </w:r>
            <w:proofErr w:type="gramStart"/>
            <w:r>
              <w:t>an</w:t>
            </w:r>
            <w:proofErr w:type="gramEnd"/>
            <w:r>
              <w:t xml:space="preserve"> non-flammable material so the likelihood of ignition is low</w:t>
            </w:r>
          </w:p>
        </w:tc>
      </w:tr>
    </w:tbl>
    <w:p w14:paraId="42785453" w14:textId="77777777" w:rsidR="002C78FB" w:rsidRDefault="002C78FB"/>
    <w:p w14:paraId="74D9B1D7" w14:textId="64D48ABF" w:rsidR="0018625C" w:rsidRDefault="0018625C" w:rsidP="0018625C">
      <w:pPr>
        <w:pStyle w:val="Heading2"/>
        <w:numPr>
          <w:ilvl w:val="1"/>
          <w:numId w:val="1"/>
        </w:numPr>
      </w:pPr>
      <w:bookmarkStart w:id="2" w:name="_Toc203739753"/>
      <w:r>
        <w:t>Risk Classification Matrix</w:t>
      </w:r>
      <w:bookmarkEnd w:id="2"/>
    </w:p>
    <w:p w14:paraId="78097EAC" w14:textId="4AAAB13A" w:rsidR="00CC198A" w:rsidRPr="00CC198A" w:rsidRDefault="00CC198A" w:rsidP="00CC198A">
      <w:r>
        <w:t>The risk classification matrix i</w:t>
      </w:r>
      <w:r w:rsidR="00B304CD">
        <w:t>s used by the industry to calculate the risk levels of a hazard by weighing the severity of the hazard against the likelihood of occurrence. The matrix show</w:t>
      </w:r>
      <w:r w:rsidR="00174153">
        <w:t>n</w:t>
      </w:r>
      <w:r w:rsidR="00B304CD">
        <w:t xml:space="preserve"> in </w:t>
      </w:r>
      <w:r w:rsidR="00B304CD">
        <w:fldChar w:fldCharType="begin"/>
      </w:r>
      <w:r w:rsidR="00B304CD">
        <w:instrText xml:space="preserve"> REF _Ref203730946 \h </w:instrText>
      </w:r>
      <w:r w:rsidR="00B304CD">
        <w:fldChar w:fldCharType="separate"/>
      </w:r>
      <w:r w:rsidR="00B304CD">
        <w:t xml:space="preserve">Table </w:t>
      </w:r>
      <w:r w:rsidR="00B304CD">
        <w:rPr>
          <w:noProof/>
        </w:rPr>
        <w:t>1</w:t>
      </w:r>
      <w:r w:rsidR="00B304CD">
        <w:fldChar w:fldCharType="end"/>
      </w:r>
      <w:r w:rsidR="00B304CD">
        <w:t xml:space="preserve"> was applied to the HAZOP study above.</w:t>
      </w:r>
    </w:p>
    <w:tbl>
      <w:tblPr>
        <w:tblStyle w:val="TableGrid"/>
        <w:tblW w:w="0" w:type="auto"/>
        <w:tblLook w:val="04A0" w:firstRow="1" w:lastRow="0" w:firstColumn="1" w:lastColumn="0" w:noHBand="0" w:noVBand="1"/>
      </w:tblPr>
      <w:tblGrid>
        <w:gridCol w:w="2423"/>
        <w:gridCol w:w="2130"/>
        <w:gridCol w:w="2418"/>
        <w:gridCol w:w="2288"/>
        <w:gridCol w:w="2333"/>
        <w:gridCol w:w="2356"/>
      </w:tblGrid>
      <w:tr w:rsidR="00B11997" w14:paraId="2098F75C" w14:textId="77777777" w:rsidTr="00B11997">
        <w:tc>
          <w:tcPr>
            <w:tcW w:w="2423" w:type="dxa"/>
            <w:shd w:val="clear" w:color="auto" w:fill="F2F2F2" w:themeFill="background1" w:themeFillShade="F2"/>
          </w:tcPr>
          <w:p w14:paraId="533E9012" w14:textId="406102F0" w:rsidR="00B11997" w:rsidRDefault="00B11997">
            <w:r>
              <w:t>Qualitative Definition</w:t>
            </w:r>
          </w:p>
        </w:tc>
        <w:tc>
          <w:tcPr>
            <w:tcW w:w="2130" w:type="dxa"/>
            <w:shd w:val="clear" w:color="auto" w:fill="F2F2F2" w:themeFill="background1" w:themeFillShade="F2"/>
          </w:tcPr>
          <w:p w14:paraId="4EB5CE7F" w14:textId="2B8D58E2" w:rsidR="00B11997" w:rsidRDefault="00B11997">
            <w:r>
              <w:t>Frequency Range</w:t>
            </w:r>
          </w:p>
        </w:tc>
        <w:tc>
          <w:tcPr>
            <w:tcW w:w="2418" w:type="dxa"/>
            <w:shd w:val="clear" w:color="auto" w:fill="F2F2F2" w:themeFill="background1" w:themeFillShade="F2"/>
          </w:tcPr>
          <w:p w14:paraId="2229D4F6" w14:textId="3F89E44C" w:rsidR="00B11997" w:rsidRDefault="00A16E70">
            <w:r>
              <w:t xml:space="preserve">4 - </w:t>
            </w:r>
            <w:r w:rsidR="00B11997">
              <w:t>Catastrophic</w:t>
            </w:r>
          </w:p>
        </w:tc>
        <w:tc>
          <w:tcPr>
            <w:tcW w:w="2288" w:type="dxa"/>
            <w:shd w:val="clear" w:color="auto" w:fill="F2F2F2" w:themeFill="background1" w:themeFillShade="F2"/>
          </w:tcPr>
          <w:p w14:paraId="39DBB3B7" w14:textId="161532CE" w:rsidR="00B11997" w:rsidRDefault="00A16E70">
            <w:r>
              <w:t xml:space="preserve">3 - </w:t>
            </w:r>
            <w:r w:rsidR="00B11997">
              <w:t>Critical</w:t>
            </w:r>
          </w:p>
        </w:tc>
        <w:tc>
          <w:tcPr>
            <w:tcW w:w="2333" w:type="dxa"/>
            <w:shd w:val="clear" w:color="auto" w:fill="F2F2F2" w:themeFill="background1" w:themeFillShade="F2"/>
          </w:tcPr>
          <w:p w14:paraId="3C8A3EDC" w14:textId="28B6EC5A" w:rsidR="00B11997" w:rsidRDefault="00A16E70">
            <w:r>
              <w:t xml:space="preserve">2 - </w:t>
            </w:r>
            <w:r w:rsidR="00B11997">
              <w:t>Marginal</w:t>
            </w:r>
          </w:p>
        </w:tc>
        <w:tc>
          <w:tcPr>
            <w:tcW w:w="2356" w:type="dxa"/>
            <w:shd w:val="clear" w:color="auto" w:fill="F2F2F2" w:themeFill="background1" w:themeFillShade="F2"/>
          </w:tcPr>
          <w:p w14:paraId="1E9A4D6C" w14:textId="542B3A32" w:rsidR="00B11997" w:rsidRDefault="00A16E70">
            <w:r>
              <w:t xml:space="preserve">1 - </w:t>
            </w:r>
            <w:r w:rsidR="00B11997">
              <w:t>Negligible</w:t>
            </w:r>
          </w:p>
        </w:tc>
      </w:tr>
      <w:tr w:rsidR="00B11997" w14:paraId="68AD3F0E" w14:textId="77777777" w:rsidTr="00B11997">
        <w:tc>
          <w:tcPr>
            <w:tcW w:w="2423" w:type="dxa"/>
            <w:shd w:val="clear" w:color="auto" w:fill="F2F2F2" w:themeFill="background1" w:themeFillShade="F2"/>
          </w:tcPr>
          <w:p w14:paraId="2E642EBD" w14:textId="57A0C550" w:rsidR="00B11997" w:rsidRDefault="00B11997">
            <w:r>
              <w:t xml:space="preserve">6 </w:t>
            </w:r>
            <w:r w:rsidR="00A16E70">
              <w:t xml:space="preserve">- </w:t>
            </w:r>
            <w:r>
              <w:t>Frequent</w:t>
            </w:r>
          </w:p>
        </w:tc>
        <w:tc>
          <w:tcPr>
            <w:tcW w:w="2130" w:type="dxa"/>
            <w:shd w:val="clear" w:color="auto" w:fill="auto"/>
          </w:tcPr>
          <w:p w14:paraId="675576C2" w14:textId="24E99635" w:rsidR="00B11997" w:rsidRPr="00B11997" w:rsidRDefault="00B11997" w:rsidP="00B11997">
            <w:pPr>
              <w:rPr>
                <w:vertAlign w:val="superscript"/>
              </w:rPr>
            </w:pPr>
            <w:r>
              <w:t>&gt;1x10</w:t>
            </w:r>
            <w:r>
              <w:rPr>
                <w:vertAlign w:val="superscript"/>
              </w:rPr>
              <w:t>-3</w:t>
            </w:r>
          </w:p>
        </w:tc>
        <w:tc>
          <w:tcPr>
            <w:tcW w:w="2418" w:type="dxa"/>
            <w:shd w:val="clear" w:color="auto" w:fill="EE0000"/>
          </w:tcPr>
          <w:p w14:paraId="5461DE01" w14:textId="2FBFACD0" w:rsidR="00B11997" w:rsidRDefault="00B11997">
            <w:r>
              <w:t>A</w:t>
            </w:r>
          </w:p>
        </w:tc>
        <w:tc>
          <w:tcPr>
            <w:tcW w:w="2288" w:type="dxa"/>
            <w:shd w:val="clear" w:color="auto" w:fill="EE0000"/>
          </w:tcPr>
          <w:p w14:paraId="498EA1EE" w14:textId="685EA6F1" w:rsidR="00B11997" w:rsidRDefault="00B11997">
            <w:r>
              <w:t>A</w:t>
            </w:r>
          </w:p>
        </w:tc>
        <w:tc>
          <w:tcPr>
            <w:tcW w:w="2333" w:type="dxa"/>
            <w:shd w:val="clear" w:color="auto" w:fill="EE0000"/>
          </w:tcPr>
          <w:p w14:paraId="7FE711EE" w14:textId="25C92BFA" w:rsidR="00B11997" w:rsidRDefault="00B11997">
            <w:r>
              <w:t>A</w:t>
            </w:r>
          </w:p>
        </w:tc>
        <w:tc>
          <w:tcPr>
            <w:tcW w:w="2356" w:type="dxa"/>
            <w:shd w:val="clear" w:color="auto" w:fill="FFFF00"/>
          </w:tcPr>
          <w:p w14:paraId="5EA7DBEF" w14:textId="31A8D06A" w:rsidR="00B11997" w:rsidRDefault="00B11997">
            <w:r>
              <w:t>B</w:t>
            </w:r>
          </w:p>
        </w:tc>
      </w:tr>
      <w:tr w:rsidR="00B11997" w14:paraId="23BB5604" w14:textId="77777777" w:rsidTr="00B11997">
        <w:tc>
          <w:tcPr>
            <w:tcW w:w="2423" w:type="dxa"/>
            <w:shd w:val="clear" w:color="auto" w:fill="F2F2F2" w:themeFill="background1" w:themeFillShade="F2"/>
          </w:tcPr>
          <w:p w14:paraId="27565712" w14:textId="1CB619D1" w:rsidR="00B11997" w:rsidRDefault="00B11997">
            <w:r>
              <w:t xml:space="preserve">5 </w:t>
            </w:r>
            <w:r w:rsidR="00A16E70">
              <w:t xml:space="preserve">- </w:t>
            </w:r>
            <w:r>
              <w:t>Probable</w:t>
            </w:r>
          </w:p>
        </w:tc>
        <w:tc>
          <w:tcPr>
            <w:tcW w:w="2130" w:type="dxa"/>
            <w:shd w:val="clear" w:color="auto" w:fill="auto"/>
          </w:tcPr>
          <w:p w14:paraId="7C4A7544" w14:textId="709491CC" w:rsidR="00B11997" w:rsidRPr="00B11997" w:rsidRDefault="00B11997">
            <w:r>
              <w:t>1x10</w:t>
            </w:r>
            <w:r>
              <w:rPr>
                <w:vertAlign w:val="superscript"/>
              </w:rPr>
              <w:t>-3</w:t>
            </w:r>
            <w:r>
              <w:t xml:space="preserve"> to 1x10</w:t>
            </w:r>
            <w:r>
              <w:rPr>
                <w:vertAlign w:val="superscript"/>
              </w:rPr>
              <w:t>-4</w:t>
            </w:r>
          </w:p>
        </w:tc>
        <w:tc>
          <w:tcPr>
            <w:tcW w:w="2418" w:type="dxa"/>
            <w:shd w:val="clear" w:color="auto" w:fill="EE0000"/>
          </w:tcPr>
          <w:p w14:paraId="36570E6E" w14:textId="54B9F074" w:rsidR="00B11997" w:rsidRDefault="00B11997">
            <w:r>
              <w:t>A</w:t>
            </w:r>
          </w:p>
        </w:tc>
        <w:tc>
          <w:tcPr>
            <w:tcW w:w="2288" w:type="dxa"/>
            <w:shd w:val="clear" w:color="auto" w:fill="EE0000"/>
          </w:tcPr>
          <w:p w14:paraId="44D150FA" w14:textId="12374EE9" w:rsidR="00B11997" w:rsidRDefault="00B11997">
            <w:r>
              <w:t>A</w:t>
            </w:r>
          </w:p>
        </w:tc>
        <w:tc>
          <w:tcPr>
            <w:tcW w:w="2333" w:type="dxa"/>
            <w:shd w:val="clear" w:color="auto" w:fill="FFFF00"/>
          </w:tcPr>
          <w:p w14:paraId="2D1C5772" w14:textId="146FF2FA" w:rsidR="00B11997" w:rsidRDefault="00B11997">
            <w:r>
              <w:t>B</w:t>
            </w:r>
          </w:p>
        </w:tc>
        <w:tc>
          <w:tcPr>
            <w:tcW w:w="2356" w:type="dxa"/>
            <w:shd w:val="clear" w:color="auto" w:fill="92D050"/>
          </w:tcPr>
          <w:p w14:paraId="335374F9" w14:textId="34504DFF" w:rsidR="00B11997" w:rsidRDefault="00B11997">
            <w:r>
              <w:t>C</w:t>
            </w:r>
          </w:p>
        </w:tc>
      </w:tr>
      <w:tr w:rsidR="00B11997" w14:paraId="09D72779" w14:textId="77777777" w:rsidTr="00B11997">
        <w:tc>
          <w:tcPr>
            <w:tcW w:w="2423" w:type="dxa"/>
            <w:shd w:val="clear" w:color="auto" w:fill="F2F2F2" w:themeFill="background1" w:themeFillShade="F2"/>
          </w:tcPr>
          <w:p w14:paraId="64DF9DF5" w14:textId="27409C55" w:rsidR="00B11997" w:rsidRDefault="00B11997">
            <w:r>
              <w:t xml:space="preserve">4 </w:t>
            </w:r>
            <w:r w:rsidR="00A16E70">
              <w:t xml:space="preserve">- </w:t>
            </w:r>
            <w:r>
              <w:t>Occasional</w:t>
            </w:r>
          </w:p>
        </w:tc>
        <w:tc>
          <w:tcPr>
            <w:tcW w:w="2130" w:type="dxa"/>
            <w:shd w:val="clear" w:color="auto" w:fill="auto"/>
          </w:tcPr>
          <w:p w14:paraId="3F5BEE8A" w14:textId="329DC43A" w:rsidR="00B11997" w:rsidRPr="00B11997" w:rsidRDefault="00B11997">
            <w:r>
              <w:t>1x10</w:t>
            </w:r>
            <w:r>
              <w:rPr>
                <w:vertAlign w:val="superscript"/>
              </w:rPr>
              <w:t>-4</w:t>
            </w:r>
            <w:r>
              <w:t xml:space="preserve"> to 1x10</w:t>
            </w:r>
            <w:r>
              <w:rPr>
                <w:vertAlign w:val="superscript"/>
              </w:rPr>
              <w:t>-5</w:t>
            </w:r>
          </w:p>
        </w:tc>
        <w:tc>
          <w:tcPr>
            <w:tcW w:w="2418" w:type="dxa"/>
            <w:shd w:val="clear" w:color="auto" w:fill="EE0000"/>
          </w:tcPr>
          <w:p w14:paraId="71BBBD48" w14:textId="4F81BDD2" w:rsidR="00B11997" w:rsidRDefault="00B11997">
            <w:r>
              <w:t>A</w:t>
            </w:r>
          </w:p>
        </w:tc>
        <w:tc>
          <w:tcPr>
            <w:tcW w:w="2288" w:type="dxa"/>
            <w:shd w:val="clear" w:color="auto" w:fill="FFFF00"/>
          </w:tcPr>
          <w:p w14:paraId="4A5967F8" w14:textId="6EDAEE93" w:rsidR="00B11997" w:rsidRDefault="00B11997">
            <w:r>
              <w:t>B</w:t>
            </w:r>
          </w:p>
        </w:tc>
        <w:tc>
          <w:tcPr>
            <w:tcW w:w="2333" w:type="dxa"/>
            <w:shd w:val="clear" w:color="auto" w:fill="92D050"/>
          </w:tcPr>
          <w:p w14:paraId="62F675D3" w14:textId="6FB88269" w:rsidR="00B11997" w:rsidRDefault="00B11997">
            <w:r>
              <w:t>C</w:t>
            </w:r>
          </w:p>
        </w:tc>
        <w:tc>
          <w:tcPr>
            <w:tcW w:w="2356" w:type="dxa"/>
            <w:shd w:val="clear" w:color="auto" w:fill="92D050"/>
          </w:tcPr>
          <w:p w14:paraId="24130C9A" w14:textId="07CD012A" w:rsidR="00B11997" w:rsidRDefault="00B11997">
            <w:r>
              <w:t>C</w:t>
            </w:r>
          </w:p>
        </w:tc>
      </w:tr>
      <w:tr w:rsidR="00B11997" w14:paraId="5C19C622" w14:textId="77777777" w:rsidTr="00B11997">
        <w:tc>
          <w:tcPr>
            <w:tcW w:w="2423" w:type="dxa"/>
            <w:shd w:val="clear" w:color="auto" w:fill="F2F2F2" w:themeFill="background1" w:themeFillShade="F2"/>
          </w:tcPr>
          <w:p w14:paraId="1E11F0ED" w14:textId="23575B4D" w:rsidR="00B11997" w:rsidRDefault="00B11997">
            <w:r>
              <w:t xml:space="preserve">3 </w:t>
            </w:r>
            <w:r w:rsidR="00A16E70">
              <w:t xml:space="preserve">- </w:t>
            </w:r>
            <w:r>
              <w:t>Remote</w:t>
            </w:r>
          </w:p>
        </w:tc>
        <w:tc>
          <w:tcPr>
            <w:tcW w:w="2130" w:type="dxa"/>
            <w:shd w:val="clear" w:color="auto" w:fill="auto"/>
          </w:tcPr>
          <w:p w14:paraId="21DD9928" w14:textId="33D7D6E1" w:rsidR="00B11997" w:rsidRPr="00B11997" w:rsidRDefault="00B11997">
            <w:r>
              <w:t>1x10</w:t>
            </w:r>
            <w:r>
              <w:rPr>
                <w:vertAlign w:val="superscript"/>
              </w:rPr>
              <w:t>-5</w:t>
            </w:r>
            <w:r>
              <w:t xml:space="preserve"> to 1x10</w:t>
            </w:r>
            <w:r>
              <w:rPr>
                <w:vertAlign w:val="superscript"/>
              </w:rPr>
              <w:t>-6</w:t>
            </w:r>
          </w:p>
        </w:tc>
        <w:tc>
          <w:tcPr>
            <w:tcW w:w="2418" w:type="dxa"/>
            <w:shd w:val="clear" w:color="auto" w:fill="FFFF00"/>
          </w:tcPr>
          <w:p w14:paraId="31546EC5" w14:textId="44DB0863" w:rsidR="00B11997" w:rsidRDefault="00B11997">
            <w:r>
              <w:t>B</w:t>
            </w:r>
          </w:p>
        </w:tc>
        <w:tc>
          <w:tcPr>
            <w:tcW w:w="2288" w:type="dxa"/>
            <w:shd w:val="clear" w:color="auto" w:fill="92D050"/>
          </w:tcPr>
          <w:p w14:paraId="0F2A37AA" w14:textId="5FFF6481" w:rsidR="00B11997" w:rsidRDefault="00B11997">
            <w:r>
              <w:t>C</w:t>
            </w:r>
          </w:p>
        </w:tc>
        <w:tc>
          <w:tcPr>
            <w:tcW w:w="2333" w:type="dxa"/>
            <w:shd w:val="clear" w:color="auto" w:fill="92D050"/>
          </w:tcPr>
          <w:p w14:paraId="61A61BCB" w14:textId="557E776D" w:rsidR="00B11997" w:rsidRDefault="00B11997">
            <w:r>
              <w:t>C</w:t>
            </w:r>
          </w:p>
        </w:tc>
        <w:tc>
          <w:tcPr>
            <w:tcW w:w="2356" w:type="dxa"/>
            <w:shd w:val="clear" w:color="auto" w:fill="00B050"/>
          </w:tcPr>
          <w:p w14:paraId="3C852CF0" w14:textId="5733C8A3" w:rsidR="00B11997" w:rsidRDefault="00B11997">
            <w:r>
              <w:t>D</w:t>
            </w:r>
          </w:p>
        </w:tc>
      </w:tr>
      <w:tr w:rsidR="00B11997" w14:paraId="7E1E8F96" w14:textId="77777777" w:rsidTr="00B11997">
        <w:tc>
          <w:tcPr>
            <w:tcW w:w="2423" w:type="dxa"/>
            <w:shd w:val="clear" w:color="auto" w:fill="F2F2F2" w:themeFill="background1" w:themeFillShade="F2"/>
          </w:tcPr>
          <w:p w14:paraId="63D2E31C" w14:textId="317D09E5" w:rsidR="00B11997" w:rsidRDefault="00B11997">
            <w:r>
              <w:t xml:space="preserve">2 </w:t>
            </w:r>
            <w:r w:rsidR="00A16E70">
              <w:t xml:space="preserve">- </w:t>
            </w:r>
            <w:r>
              <w:t>Improbable</w:t>
            </w:r>
          </w:p>
        </w:tc>
        <w:tc>
          <w:tcPr>
            <w:tcW w:w="2130" w:type="dxa"/>
            <w:shd w:val="clear" w:color="auto" w:fill="auto"/>
          </w:tcPr>
          <w:p w14:paraId="0F8945A7" w14:textId="76DDAD1E" w:rsidR="00B11997" w:rsidRPr="00B11997" w:rsidRDefault="00B11997">
            <w:r>
              <w:t>1x10</w:t>
            </w:r>
            <w:r>
              <w:rPr>
                <w:vertAlign w:val="superscript"/>
              </w:rPr>
              <w:t>-6</w:t>
            </w:r>
            <w:r>
              <w:t xml:space="preserve"> to 1x10</w:t>
            </w:r>
            <w:r>
              <w:rPr>
                <w:vertAlign w:val="superscript"/>
              </w:rPr>
              <w:t>-7</w:t>
            </w:r>
          </w:p>
        </w:tc>
        <w:tc>
          <w:tcPr>
            <w:tcW w:w="2418" w:type="dxa"/>
            <w:shd w:val="clear" w:color="auto" w:fill="92D050"/>
          </w:tcPr>
          <w:p w14:paraId="2C5FA46E" w14:textId="4D49492E" w:rsidR="00B11997" w:rsidRDefault="00B11997">
            <w:r>
              <w:t>C</w:t>
            </w:r>
          </w:p>
        </w:tc>
        <w:tc>
          <w:tcPr>
            <w:tcW w:w="2288" w:type="dxa"/>
            <w:shd w:val="clear" w:color="auto" w:fill="92D050"/>
          </w:tcPr>
          <w:p w14:paraId="6C33E214" w14:textId="63BF804E" w:rsidR="00B11997" w:rsidRDefault="00B11997">
            <w:r>
              <w:t>C</w:t>
            </w:r>
          </w:p>
        </w:tc>
        <w:tc>
          <w:tcPr>
            <w:tcW w:w="2333" w:type="dxa"/>
            <w:shd w:val="clear" w:color="auto" w:fill="00B050"/>
          </w:tcPr>
          <w:p w14:paraId="1D751C78" w14:textId="70BB1E18" w:rsidR="00B11997" w:rsidRDefault="00B11997">
            <w:r>
              <w:t>D</w:t>
            </w:r>
          </w:p>
        </w:tc>
        <w:tc>
          <w:tcPr>
            <w:tcW w:w="2356" w:type="dxa"/>
            <w:shd w:val="clear" w:color="auto" w:fill="00B050"/>
          </w:tcPr>
          <w:p w14:paraId="30D1DD2B" w14:textId="6E05D4A1" w:rsidR="00B11997" w:rsidRDefault="00B11997">
            <w:r>
              <w:t>D</w:t>
            </w:r>
          </w:p>
        </w:tc>
      </w:tr>
      <w:tr w:rsidR="00B11997" w14:paraId="4A1D9184" w14:textId="77777777" w:rsidTr="00B11997">
        <w:tc>
          <w:tcPr>
            <w:tcW w:w="2423" w:type="dxa"/>
            <w:shd w:val="clear" w:color="auto" w:fill="F2F2F2" w:themeFill="background1" w:themeFillShade="F2"/>
          </w:tcPr>
          <w:p w14:paraId="75776CF1" w14:textId="5C1C0352" w:rsidR="00B11997" w:rsidRDefault="00B11997">
            <w:r>
              <w:t xml:space="preserve">1 </w:t>
            </w:r>
            <w:r w:rsidR="00A16E70">
              <w:t xml:space="preserve">- </w:t>
            </w:r>
            <w:r>
              <w:t>Incredible</w:t>
            </w:r>
          </w:p>
        </w:tc>
        <w:tc>
          <w:tcPr>
            <w:tcW w:w="2130" w:type="dxa"/>
            <w:shd w:val="clear" w:color="auto" w:fill="auto"/>
          </w:tcPr>
          <w:p w14:paraId="16604486" w14:textId="03703C4E" w:rsidR="00B11997" w:rsidRPr="00B11997" w:rsidRDefault="00B11997">
            <w:r>
              <w:t>&lt;1x10</w:t>
            </w:r>
            <w:r>
              <w:rPr>
                <w:vertAlign w:val="superscript"/>
              </w:rPr>
              <w:t>-7</w:t>
            </w:r>
          </w:p>
        </w:tc>
        <w:tc>
          <w:tcPr>
            <w:tcW w:w="2418" w:type="dxa"/>
            <w:shd w:val="clear" w:color="auto" w:fill="92D050"/>
          </w:tcPr>
          <w:p w14:paraId="019B58B5" w14:textId="2041C647" w:rsidR="00B11997" w:rsidRDefault="00B11997">
            <w:r>
              <w:t>C</w:t>
            </w:r>
          </w:p>
        </w:tc>
        <w:tc>
          <w:tcPr>
            <w:tcW w:w="2288" w:type="dxa"/>
            <w:shd w:val="clear" w:color="auto" w:fill="00B050"/>
          </w:tcPr>
          <w:p w14:paraId="3FA6D4AC" w14:textId="44AA0933" w:rsidR="00B11997" w:rsidRDefault="00B11997">
            <w:r>
              <w:t>D</w:t>
            </w:r>
          </w:p>
        </w:tc>
        <w:tc>
          <w:tcPr>
            <w:tcW w:w="2333" w:type="dxa"/>
            <w:shd w:val="clear" w:color="auto" w:fill="00B050"/>
          </w:tcPr>
          <w:p w14:paraId="7E3997CF" w14:textId="4A2FD3B3" w:rsidR="00B11997" w:rsidRDefault="00B11997">
            <w:r>
              <w:t>D</w:t>
            </w:r>
          </w:p>
        </w:tc>
        <w:tc>
          <w:tcPr>
            <w:tcW w:w="2356" w:type="dxa"/>
            <w:shd w:val="clear" w:color="auto" w:fill="00B050"/>
          </w:tcPr>
          <w:p w14:paraId="0281D6E4" w14:textId="27D962A1" w:rsidR="00B11997" w:rsidRDefault="00B11997" w:rsidP="004D6350">
            <w:pPr>
              <w:keepNext/>
            </w:pPr>
            <w:r>
              <w:t>D</w:t>
            </w:r>
          </w:p>
        </w:tc>
      </w:tr>
    </w:tbl>
    <w:p w14:paraId="0ED72762" w14:textId="242A3EA8" w:rsidR="004D6350" w:rsidRDefault="004D6350" w:rsidP="004D6350">
      <w:pPr>
        <w:pStyle w:val="Caption"/>
      </w:pPr>
      <w:bookmarkStart w:id="3" w:name="_Ref203730946"/>
      <w:r>
        <w:t xml:space="preserve">Table </w:t>
      </w:r>
      <w:r>
        <w:fldChar w:fldCharType="begin"/>
      </w:r>
      <w:r>
        <w:instrText xml:space="preserve"> SEQ Table \* ARABIC </w:instrText>
      </w:r>
      <w:r>
        <w:fldChar w:fldCharType="separate"/>
      </w:r>
      <w:r>
        <w:rPr>
          <w:noProof/>
        </w:rPr>
        <w:t>1</w:t>
      </w:r>
      <w:r>
        <w:fldChar w:fldCharType="end"/>
      </w:r>
      <w:bookmarkEnd w:id="3"/>
      <w:r>
        <w:t>- Accident Risk Classification Table</w:t>
      </w:r>
      <w:sdt>
        <w:sdtPr>
          <w:id w:val="57680711"/>
          <w:citation/>
        </w:sdtPr>
        <w:sdtContent>
          <w:r>
            <w:fldChar w:fldCharType="begin"/>
          </w:r>
          <w:r>
            <w:instrText xml:space="preserve">CITATION MIn96 \l 2057 </w:instrText>
          </w:r>
          <w:r>
            <w:fldChar w:fldCharType="separate"/>
          </w:r>
          <w:r w:rsidR="004D5B05">
            <w:rPr>
              <w:noProof/>
            </w:rPr>
            <w:t xml:space="preserve"> </w:t>
          </w:r>
          <w:r w:rsidR="004D5B05" w:rsidRPr="004D5B05">
            <w:rPr>
              <w:noProof/>
            </w:rPr>
            <w:t>[3]</w:t>
          </w:r>
          <w:r>
            <w:fldChar w:fldCharType="end"/>
          </w:r>
        </w:sdtContent>
      </w:sdt>
    </w:p>
    <w:p w14:paraId="52008897" w14:textId="77777777" w:rsidR="004D6350" w:rsidRDefault="004D6350">
      <w:r>
        <w:br w:type="page"/>
      </w:r>
    </w:p>
    <w:p w14:paraId="1B08F6FA" w14:textId="300BF83E" w:rsidR="004D6350" w:rsidRDefault="004D6350" w:rsidP="004D6350">
      <w:pPr>
        <w:pStyle w:val="Heading1"/>
        <w:numPr>
          <w:ilvl w:val="0"/>
          <w:numId w:val="1"/>
        </w:numPr>
      </w:pPr>
      <w:bookmarkStart w:id="4" w:name="_Toc203739754"/>
      <w:r>
        <w:lastRenderedPageBreak/>
        <w:t>ALARP Justification</w:t>
      </w:r>
      <w:bookmarkEnd w:id="4"/>
    </w:p>
    <w:p w14:paraId="603D0F00" w14:textId="3D305D6A" w:rsidR="0018625C" w:rsidRPr="0018625C" w:rsidRDefault="0018625C" w:rsidP="00174153">
      <w:r>
        <w:t xml:space="preserve">ALARP, meaning As Low </w:t>
      </w:r>
      <w:proofErr w:type="gramStart"/>
      <w:r>
        <w:t>As</w:t>
      </w:r>
      <w:proofErr w:type="gramEnd"/>
      <w:r>
        <w:t xml:space="preserve"> Reasonably Practicable, </w:t>
      </w:r>
      <w:r w:rsidR="00A239BB">
        <w:t xml:space="preserve">is the concept of weighing a risk against the </w:t>
      </w:r>
      <w:r w:rsidR="005C66F3">
        <w:t>difficulty of, time to, and the cost of implementing a control against it. As such, ALARP describes the</w:t>
      </w:r>
      <w:r w:rsidR="00477AAB">
        <w:t xml:space="preserve"> realistically achievable outcomes when it comes to risks, hazards, and safety given the circumstances.</w:t>
      </w:r>
    </w:p>
    <w:p w14:paraId="65BCF5F9" w14:textId="77777777" w:rsidR="0018625C" w:rsidRDefault="0018625C" w:rsidP="0018625C">
      <w:pPr>
        <w:pStyle w:val="Heading2"/>
        <w:numPr>
          <w:ilvl w:val="1"/>
          <w:numId w:val="1"/>
        </w:numPr>
      </w:pPr>
      <w:bookmarkStart w:id="5" w:name="_Toc203739755"/>
      <w:r>
        <w:t>Hazard Description</w:t>
      </w:r>
      <w:bookmarkEnd w:id="5"/>
    </w:p>
    <w:p w14:paraId="51097E8A" w14:textId="302CBF61" w:rsidR="0018625C" w:rsidRDefault="0018625C" w:rsidP="00B304CD">
      <w:r>
        <w:t>The focus of this ALARP justification is</w:t>
      </w:r>
      <w:r w:rsidR="00AE60B2">
        <w:t xml:space="preserve"> on the first hazard identified in the above HAZOP, </w:t>
      </w:r>
      <w:proofErr w:type="spellStart"/>
      <w:r w:rsidR="00477AAB">
        <w:t>uncommanded</w:t>
      </w:r>
      <w:proofErr w:type="spellEnd"/>
      <w:r w:rsidR="00477AAB">
        <w:t xml:space="preserve"> or unexpected movement of the turret system, be that in the 360</w:t>
      </w:r>
      <w:r w:rsidR="00477AAB">
        <w:rPr>
          <w:rFonts w:cstheme="minorHAnsi"/>
        </w:rPr>
        <w:t>°</w:t>
      </w:r>
      <w:r w:rsidR="00477AAB">
        <w:t xml:space="preserve"> rotation of the base system or the pitching</w:t>
      </w:r>
      <w:r w:rsidR="00AE60B2">
        <w:t xml:space="preserve"> </w:t>
      </w:r>
      <w:r w:rsidR="00477AAB">
        <w:t>the 40mm cannon.</w:t>
      </w:r>
    </w:p>
    <w:p w14:paraId="5C1C40A8" w14:textId="6256F4A9" w:rsidR="00AB1A1A" w:rsidRDefault="00AB1A1A" w:rsidP="00B304CD">
      <w:r>
        <w:t>As the height of the AJAX is 2.78m</w:t>
      </w:r>
      <w:sdt>
        <w:sdtPr>
          <w:id w:val="-1734145805"/>
          <w:citation/>
        </w:sdtPr>
        <w:sdtContent>
          <w:r>
            <w:fldChar w:fldCharType="begin"/>
          </w:r>
          <w:r>
            <w:instrText xml:space="preserve"> CITATION Gen21 \l 2057 </w:instrText>
          </w:r>
          <w:r>
            <w:fldChar w:fldCharType="separate"/>
          </w:r>
          <w:r w:rsidR="004D5B05">
            <w:rPr>
              <w:noProof/>
            </w:rPr>
            <w:t xml:space="preserve"> </w:t>
          </w:r>
          <w:r w:rsidR="004D5B05" w:rsidRPr="004D5B05">
            <w:rPr>
              <w:noProof/>
            </w:rPr>
            <w:t>[4]</w:t>
          </w:r>
          <w:r>
            <w:fldChar w:fldCharType="end"/>
          </w:r>
        </w:sdtContent>
      </w:sdt>
      <w:r w:rsidR="00D0210C">
        <w:t xml:space="preserve">, the collision hazard to operating personnel from </w:t>
      </w:r>
      <w:proofErr w:type="spellStart"/>
      <w:r w:rsidR="00D0210C">
        <w:t>uncommanded</w:t>
      </w:r>
      <w:proofErr w:type="spellEnd"/>
      <w:r w:rsidR="00D0210C">
        <w:t xml:space="preserve"> or unexpected rotation of the turret is greatly diminished;  during standard operating procedures, both system and bystander are on level footing, the rotation of the turret will be clear of the heads of the vast majority of people.</w:t>
      </w:r>
    </w:p>
    <w:p w14:paraId="5F6CDADF" w14:textId="72601326" w:rsidR="00477AAB" w:rsidRPr="0018625C" w:rsidRDefault="00477AAB" w:rsidP="00B304CD">
      <w:r>
        <w:t xml:space="preserve">The focus of this assessment </w:t>
      </w:r>
      <w:r w:rsidR="00AB2007">
        <w:t>has subsequently</w:t>
      </w:r>
      <w:r>
        <w:t xml:space="preserve"> been narrowed to considerations for mitigating controls to accidents and incidents resulting from the </w:t>
      </w:r>
      <w:proofErr w:type="spellStart"/>
      <w:r>
        <w:t>uncommanded</w:t>
      </w:r>
      <w:proofErr w:type="spellEnd"/>
      <w:r>
        <w:t xml:space="preserve"> or unexpected pitching of the 40mm cannon.</w:t>
      </w:r>
    </w:p>
    <w:p w14:paraId="211252E6" w14:textId="77777777" w:rsidR="00AE60B2" w:rsidRDefault="0018625C" w:rsidP="00AE60B2">
      <w:pPr>
        <w:pStyle w:val="Heading2"/>
        <w:numPr>
          <w:ilvl w:val="1"/>
          <w:numId w:val="1"/>
        </w:numPr>
      </w:pPr>
      <w:bookmarkStart w:id="6" w:name="_Toc203739756"/>
      <w:r>
        <w:t>Controls</w:t>
      </w:r>
      <w:bookmarkEnd w:id="6"/>
    </w:p>
    <w:p w14:paraId="0562177E" w14:textId="3C66296E" w:rsidR="00536A8A" w:rsidRPr="00536A8A" w:rsidRDefault="00536A8A" w:rsidP="00536A8A">
      <w:r>
        <w:t xml:space="preserve">In the HAZOP, a risk assessment is carried out prior to any mitigation controls being implemented. The results of this pre-control risk assessment can be compared with that of the post-control risk assessment, the risk assessment carried out after implementing mitigating </w:t>
      </w:r>
      <w:proofErr w:type="gramStart"/>
      <w:r>
        <w:t xml:space="preserve">controls, </w:t>
      </w:r>
      <w:r w:rsidR="00A239BB">
        <w:t>and</w:t>
      </w:r>
      <w:proofErr w:type="gramEnd"/>
      <w:r w:rsidR="00A239BB">
        <w:t xml:space="preserve"> used to determine the effectiveness of the control. If the control is not efficient enough in mitigation it is not suitable for purpose.</w:t>
      </w:r>
    </w:p>
    <w:p w14:paraId="3B22831F" w14:textId="0573B6A9" w:rsidR="00CC198A" w:rsidRDefault="00CC198A" w:rsidP="00AE60B2">
      <w:pPr>
        <w:pStyle w:val="Heading3"/>
        <w:numPr>
          <w:ilvl w:val="2"/>
          <w:numId w:val="1"/>
        </w:numPr>
      </w:pPr>
      <w:bookmarkStart w:id="7" w:name="_Toc203739757"/>
      <w:r>
        <w:t>Personal Protective Equipment</w:t>
      </w:r>
      <w:bookmarkEnd w:id="7"/>
      <w:r>
        <w:t xml:space="preserve"> </w:t>
      </w:r>
    </w:p>
    <w:p w14:paraId="12221A5D" w14:textId="77777777" w:rsidR="008769A7" w:rsidRDefault="00CC198A" w:rsidP="00B304CD">
      <w:r>
        <w:t xml:space="preserve">The primary control to is to equip all operating personnel with Personal Protective Equipment (PPE). This would </w:t>
      </w:r>
      <w:r w:rsidR="00AB1A1A">
        <w:t>greatly reduce the severity of any incidents that occur</w:t>
      </w:r>
      <w:r w:rsidR="00AB2007">
        <w:t xml:space="preserve">, reducing many major injuries to minor injuries. </w:t>
      </w:r>
      <w:r w:rsidR="008769A7">
        <w:t xml:space="preserve">Equipping operators with reinforced and padded helmets would eliminate the likelihood of skull fractures and greatly reduce the likelihood and severity of internal head injuries such as concussion. </w:t>
      </w:r>
    </w:p>
    <w:p w14:paraId="40D141FC" w14:textId="38A83654" w:rsidR="008769A7" w:rsidRDefault="008769A7" w:rsidP="00B304CD">
      <w:r>
        <w:t xml:space="preserve">A helmet is deemed a suitable control for all but the most extreme outlier of cases; looking up at the cannon as it pitches down at the correct distance could cause the cannon to directly collide with the victim’s face, avoiding the protected areas of the head given by the helmet. Such a situation is incredible in its </w:t>
      </w:r>
      <w:proofErr w:type="gramStart"/>
      <w:r>
        <w:t>likelihood, and</w:t>
      </w:r>
      <w:proofErr w:type="gramEnd"/>
      <w:r>
        <w:t xml:space="preserve"> could easily be mitigated by simple training</w:t>
      </w:r>
      <w:r w:rsidR="004C7648">
        <w:t>.</w:t>
      </w:r>
      <w:r>
        <w:t xml:space="preserve"> The cost of this additional PPE to mitigate against such niche cases would not be considered ALARP.</w:t>
      </w:r>
    </w:p>
    <w:p w14:paraId="40D234AD" w14:textId="3BD2C928" w:rsidR="00CC198A" w:rsidRDefault="008769A7" w:rsidP="00B304CD">
      <w:r>
        <w:t xml:space="preserve">The likelihood of non-head injuries as a is deemed negligible.  </w:t>
      </w:r>
      <w:r w:rsidR="00AB2007">
        <w:t xml:space="preserve"> </w:t>
      </w:r>
    </w:p>
    <w:p w14:paraId="3C6CFF75" w14:textId="58F17FE9" w:rsidR="00CC198A" w:rsidRPr="00D0210C" w:rsidRDefault="00CC198A" w:rsidP="00B304CD">
      <w:r>
        <w:lastRenderedPageBreak/>
        <w:t>Th</w:t>
      </w:r>
      <w:r w:rsidR="004C7648">
        <w:t>e issuing of PPE</w:t>
      </w:r>
      <w:r>
        <w:t xml:space="preserve"> is in line with the </w:t>
      </w:r>
      <w:r>
        <w:rPr>
          <w:i/>
          <w:iCs/>
        </w:rPr>
        <w:t>Health and Safety at Work etc Act 1974</w:t>
      </w:r>
      <w:sdt>
        <w:sdtPr>
          <w:rPr>
            <w:i/>
            <w:iCs/>
          </w:rPr>
          <w:id w:val="-566185864"/>
          <w:citation/>
        </w:sdtPr>
        <w:sdtContent>
          <w:r>
            <w:rPr>
              <w:i/>
              <w:iCs/>
            </w:rPr>
            <w:fldChar w:fldCharType="begin"/>
          </w:r>
          <w:r>
            <w:rPr>
              <w:i/>
              <w:iCs/>
            </w:rPr>
            <w:instrText xml:space="preserve"> CITATION Par74 \l 2057 </w:instrText>
          </w:r>
          <w:r>
            <w:rPr>
              <w:i/>
              <w:iCs/>
            </w:rPr>
            <w:fldChar w:fldCharType="separate"/>
          </w:r>
          <w:r w:rsidR="004D5B05">
            <w:rPr>
              <w:i/>
              <w:iCs/>
              <w:noProof/>
            </w:rPr>
            <w:t xml:space="preserve"> </w:t>
          </w:r>
          <w:r w:rsidR="004D5B05" w:rsidRPr="004D5B05">
            <w:rPr>
              <w:noProof/>
            </w:rPr>
            <w:t>[5]</w:t>
          </w:r>
          <w:r>
            <w:rPr>
              <w:i/>
              <w:iCs/>
            </w:rPr>
            <w:fldChar w:fldCharType="end"/>
          </w:r>
        </w:sdtContent>
      </w:sdt>
      <w:r w:rsidR="00D0210C">
        <w:t>, as the regulations mandate that employers provide suitable PPE to employees where the hazard they are exposed to cannot be removed, replaced, or isolated. The cannon of the Infantry Fighting Vehicle cannot be removed, replaced, or isolated from the workers.</w:t>
      </w:r>
    </w:p>
    <w:p w14:paraId="2B773EB5" w14:textId="77777777" w:rsidR="00CC198A" w:rsidRDefault="00CC198A" w:rsidP="00AE60B2">
      <w:pPr>
        <w:pStyle w:val="Heading3"/>
        <w:numPr>
          <w:ilvl w:val="2"/>
          <w:numId w:val="1"/>
        </w:numPr>
      </w:pPr>
      <w:bookmarkStart w:id="8" w:name="_Toc203739758"/>
      <w:r>
        <w:t>Training</w:t>
      </w:r>
      <w:bookmarkEnd w:id="8"/>
    </w:p>
    <w:p w14:paraId="66FD9A2F" w14:textId="2B8D5D75" w:rsidR="004C7648" w:rsidRDefault="00B304CD" w:rsidP="00B304CD">
      <w:r>
        <w:t>‘Lack of Knowledge’ is defined as one of the ‘Dirty Dozen’</w:t>
      </w:r>
      <w:sdt>
        <w:sdtPr>
          <w:id w:val="706304577"/>
          <w:citation/>
        </w:sdtPr>
        <w:sdtContent>
          <w:r>
            <w:fldChar w:fldCharType="begin"/>
          </w:r>
          <w:r>
            <w:instrText xml:space="preserve"> CITATION Int17 \l 2057 </w:instrText>
          </w:r>
          <w:r>
            <w:fldChar w:fldCharType="separate"/>
          </w:r>
          <w:r w:rsidR="004D5B05">
            <w:rPr>
              <w:noProof/>
            </w:rPr>
            <w:t xml:space="preserve"> </w:t>
          </w:r>
          <w:r w:rsidR="004D5B05" w:rsidRPr="004D5B05">
            <w:rPr>
              <w:noProof/>
            </w:rPr>
            <w:t>[6]</w:t>
          </w:r>
          <w:r>
            <w:fldChar w:fldCharType="end"/>
          </w:r>
        </w:sdtContent>
      </w:sdt>
      <w:r>
        <w:t>, a list of twelve common human errors that comprise the human factor into a risk equation.</w:t>
      </w:r>
      <w:r w:rsidR="00536A8A">
        <w:t xml:space="preserve"> </w:t>
      </w:r>
      <w:r w:rsidR="005C66F3">
        <w:t>There are two approaches to implementing training as a control, both equally valid and not exclusionary of each other and should be considered in tandem.</w:t>
      </w:r>
      <w:r w:rsidR="004C7648">
        <w:t xml:space="preserve"> </w:t>
      </w:r>
    </w:p>
    <w:p w14:paraId="49712924" w14:textId="49928210" w:rsidR="005C66F3" w:rsidRDefault="005C66F3" w:rsidP="00B304CD">
      <w:r>
        <w:t>First, improved training of the primary operators. The AJAX Infantry Fighting Vehicle is a complex system</w:t>
      </w:r>
      <w:r w:rsidR="004C7648">
        <w:t>,</w:t>
      </w:r>
      <w:r>
        <w:t xml:space="preserve"> a rigours training programme should be laid out and assessed to ensure minimalization, </w:t>
      </w:r>
      <w:r w:rsidR="004C7648">
        <w:t xml:space="preserve">and </w:t>
      </w:r>
      <w:r>
        <w:t>approaching extermination, of</w:t>
      </w:r>
      <w:r w:rsidR="004C7648">
        <w:t xml:space="preserve"> </w:t>
      </w:r>
      <w:r>
        <w:t>‘Lack of Knowledge’ errors.</w:t>
      </w:r>
    </w:p>
    <w:p w14:paraId="4EC47507" w14:textId="6D130F68" w:rsidR="005C66F3" w:rsidRDefault="005C66F3" w:rsidP="00B304CD">
      <w:r>
        <w:t>Second, improved training of secondary support personnel. As an Infantry Fighting Vehicle, the primary operating role of the AJAX is alongside dismounted infantry. These secondary personnel</w:t>
      </w:r>
      <w:r w:rsidR="004C7648">
        <w:t xml:space="preserve">, that are not crew, need to be sufficiently trained in the doctrine of operating side-by-side with the vehicle. This would include, but not be limited to, not being positioned directly in front of the turret or underneath the </w:t>
      </w:r>
      <w:proofErr w:type="gramStart"/>
      <w:r w:rsidR="004C7648">
        <w:t>cannon, and</w:t>
      </w:r>
      <w:proofErr w:type="gramEnd"/>
      <w:r w:rsidR="004C7648">
        <w:t xml:space="preserve"> not climbing to an elevated position in proximity to the vehicle.</w:t>
      </w:r>
    </w:p>
    <w:p w14:paraId="196DA50B" w14:textId="198F0005" w:rsidR="005C66F3" w:rsidRPr="00B304CD" w:rsidRDefault="005C66F3" w:rsidP="00B304CD">
      <w:r>
        <w:t xml:space="preserve">Staff working in </w:t>
      </w:r>
      <w:r w:rsidR="00174153">
        <w:t>auxiliary</w:t>
      </w:r>
      <w:r>
        <w:t xml:space="preserve"> support roles, such as repairs, transport and storage are out of scope for this in-service during operations assessment.</w:t>
      </w:r>
    </w:p>
    <w:p w14:paraId="54122B2F" w14:textId="77777777" w:rsidR="00CC198A" w:rsidRDefault="00CC198A" w:rsidP="00AE60B2">
      <w:pPr>
        <w:pStyle w:val="Heading3"/>
        <w:numPr>
          <w:ilvl w:val="2"/>
          <w:numId w:val="1"/>
        </w:numPr>
      </w:pPr>
      <w:bookmarkStart w:id="9" w:name="_Toc203739759"/>
      <w:r>
        <w:t>Increase Visibility of the Hazard</w:t>
      </w:r>
      <w:bookmarkEnd w:id="9"/>
    </w:p>
    <w:p w14:paraId="0A9AA15A" w14:textId="19F85B50" w:rsidR="00174153" w:rsidRDefault="00174153" w:rsidP="00174153">
      <w:r>
        <w:t xml:space="preserve">Ensuring personnel are aware of their surroundings and changes in their environment with result in less accidents and injuries. Low hanging ceilings in buildings already have a legal requirement, as defined in the </w:t>
      </w:r>
      <w:r>
        <w:rPr>
          <w:i/>
          <w:iCs/>
        </w:rPr>
        <w:t>Housing Act 2004</w:t>
      </w:r>
      <w:r>
        <w:t xml:space="preserve"> </w:t>
      </w:r>
      <w:sdt>
        <w:sdtPr>
          <w:id w:val="-796906795"/>
          <w:citation/>
        </w:sdtPr>
        <w:sdtContent>
          <w:r>
            <w:fldChar w:fldCharType="begin"/>
          </w:r>
          <w:r>
            <w:instrText xml:space="preserve"> CITATION Par04 \l 2057 </w:instrText>
          </w:r>
          <w:r>
            <w:fldChar w:fldCharType="separate"/>
          </w:r>
          <w:r w:rsidR="004D5B05" w:rsidRPr="004D5B05">
            <w:rPr>
              <w:noProof/>
            </w:rPr>
            <w:t>[7]</w:t>
          </w:r>
          <w:r>
            <w:fldChar w:fldCharType="end"/>
          </w:r>
        </w:sdtContent>
      </w:sdt>
      <w:r>
        <w:t xml:space="preserve"> to be clearly labelled either through </w:t>
      </w:r>
      <w:r w:rsidR="00105903">
        <w:t xml:space="preserve">warning </w:t>
      </w:r>
      <w:r>
        <w:t>signage or with hazard tape.</w:t>
      </w:r>
    </w:p>
    <w:p w14:paraId="0B5E1CAE" w14:textId="6742FCF0" w:rsidR="00105903" w:rsidRDefault="00105903" w:rsidP="00174153">
      <w:r>
        <w:t>Anecdotally, the private collection at the Defence Academy in Shrivenham have the cannons of their armoured vehicles pointed up far from pedestrians or, more applicably for this risk assessment, the one cannon that remains at head height is wrapped in striped black and yellow warning tape.</w:t>
      </w:r>
    </w:p>
    <w:p w14:paraId="00A3DC2F" w14:textId="68836178" w:rsidR="00105903" w:rsidRDefault="00105903" w:rsidP="00174153">
      <w:r>
        <w:t>Due to these examples a</w:t>
      </w:r>
      <w:r w:rsidR="00174153">
        <w:t>pplication of hazard tape to gun barrels hanging at head height</w:t>
      </w:r>
      <w:r>
        <w:t xml:space="preserve"> should be considered</w:t>
      </w:r>
      <w:r w:rsidR="00174153">
        <w:t>.</w:t>
      </w:r>
      <w:r w:rsidR="00731245">
        <w:t xml:space="preserve"> In addition, civilian work vehicles such as forklifts or transport trucks require the use of flashing lights during operation and movement to clearly convey the hazard to the surrounding area.</w:t>
      </w:r>
      <w:r>
        <w:t xml:space="preserve"> Whilst an efficient control in a storage and transport scenario</w:t>
      </w:r>
      <w:r w:rsidR="00731245">
        <w:t xml:space="preserve"> for the AJAX</w:t>
      </w:r>
      <w:r>
        <w:t xml:space="preserve">, increased </w:t>
      </w:r>
      <w:r w:rsidR="00731245">
        <w:t>visibility in a combat scenario may not be desirable.</w:t>
      </w:r>
    </w:p>
    <w:p w14:paraId="0DD46EE0" w14:textId="77777777" w:rsidR="00536A8A" w:rsidRDefault="00CC198A" w:rsidP="00AE60B2">
      <w:pPr>
        <w:pStyle w:val="Heading3"/>
        <w:numPr>
          <w:ilvl w:val="2"/>
          <w:numId w:val="1"/>
        </w:numPr>
      </w:pPr>
      <w:bookmarkStart w:id="10" w:name="_Toc203739760"/>
      <w:r>
        <w:t>Lessening the severity of the Hazard</w:t>
      </w:r>
      <w:bookmarkEnd w:id="10"/>
    </w:p>
    <w:p w14:paraId="1AC3230E" w14:textId="316619C6" w:rsidR="00AB1A1A" w:rsidRDefault="00536A8A" w:rsidP="00536A8A">
      <w:r>
        <w:t>It is important to consider both what is a practicable mitigation solution to a hazard, and those that we’re deemed unsuitable when declaring something as ALARP. On this basis, it is worth consider</w:t>
      </w:r>
      <w:r w:rsidR="00043B11">
        <w:t xml:space="preserve">ing controls even if they are ultimately deemed unfeasible. To that end, </w:t>
      </w:r>
      <w:proofErr w:type="gramStart"/>
      <w:r w:rsidR="00043B11">
        <w:t>in an attempt to</w:t>
      </w:r>
      <w:proofErr w:type="gramEnd"/>
      <w:r w:rsidR="00043B11">
        <w:t xml:space="preserve"> decrease the severity of collision between the cannon and any other objects or persons, attempts to make the cannon itself less hazardous should be considered.</w:t>
      </w:r>
    </w:p>
    <w:p w14:paraId="17BA631B" w14:textId="7DED73B4" w:rsidR="00043B11" w:rsidRDefault="00043B11" w:rsidP="00536A8A">
      <w:r>
        <w:lastRenderedPageBreak/>
        <w:t xml:space="preserve">Padding can be attached to the cannon’s arm to reduce the blunt force inflicted upon a collision. The effectiveness of this solution varies with the material </w:t>
      </w:r>
      <w:r w:rsidR="004D5B05">
        <w:t xml:space="preserve">used </w:t>
      </w:r>
      <w:r>
        <w:t xml:space="preserve">and </w:t>
      </w:r>
      <w:r w:rsidR="004D5B05">
        <w:t xml:space="preserve">the cushioning power provided. Added insulation to the cannon </w:t>
      </w:r>
      <w:r w:rsidR="00915C2E">
        <w:t>severely reduces its ability to vent heat generated when firing, this will greatly age the barrel, sabotaging the primary role of the Infantry Fighting Vehicle, and as such is deemed unsuitable as a control.</w:t>
      </w:r>
    </w:p>
    <w:p w14:paraId="4609DDD5" w14:textId="1E88A2A4" w:rsidR="00043B11" w:rsidRDefault="00043B11" w:rsidP="00536A8A">
      <w:r>
        <w:t xml:space="preserve">Shortening of the gun barrel so it does not extend past the AJAX’s chassis would </w:t>
      </w:r>
      <w:proofErr w:type="gramStart"/>
      <w:r>
        <w:t>entirely eliminate</w:t>
      </w:r>
      <w:proofErr w:type="gramEnd"/>
      <w:r>
        <w:t xml:space="preserve"> the </w:t>
      </w:r>
      <w:r w:rsidR="004D5B05">
        <w:t>risk, at the cost of massively decreased performance of the cannon and as such is in no way considerable as a mitigating control in this ALARP assessment.</w:t>
      </w:r>
    </w:p>
    <w:p w14:paraId="50B2048A" w14:textId="77777777" w:rsidR="00AB1A1A" w:rsidRDefault="00AB1A1A" w:rsidP="00AB1A1A">
      <w:pPr>
        <w:pStyle w:val="Heading2"/>
        <w:numPr>
          <w:ilvl w:val="1"/>
          <w:numId w:val="1"/>
        </w:numPr>
      </w:pPr>
      <w:bookmarkStart w:id="11" w:name="_Toc203739761"/>
      <w:r>
        <w:t>Conclusion</w:t>
      </w:r>
      <w:bookmarkEnd w:id="11"/>
    </w:p>
    <w:p w14:paraId="52AB1114" w14:textId="23E1FAB8" w:rsidR="004D6350" w:rsidRDefault="00AB1A1A" w:rsidP="00AB1A1A">
      <w:r>
        <w:t>In conclusion, it can be declared that with the above considered mitigating controls in place</w:t>
      </w:r>
      <w:r w:rsidR="00915C2E">
        <w:t>,</w:t>
      </w:r>
      <w:r>
        <w:t xml:space="preserve"> </w:t>
      </w:r>
      <w:r w:rsidR="00915C2E">
        <w:t>t</w:t>
      </w:r>
      <w:r>
        <w:t xml:space="preserve">he hazard from </w:t>
      </w:r>
      <w:proofErr w:type="spellStart"/>
      <w:r>
        <w:t>uncommanded</w:t>
      </w:r>
      <w:proofErr w:type="spellEnd"/>
      <w:r>
        <w:t xml:space="preserve"> or unexpected rotation of the turret system or pitching of the 40mm cannon</w:t>
      </w:r>
      <w:r w:rsidR="00174153">
        <w:t xml:space="preserve"> is ALARP.</w:t>
      </w:r>
      <w:r w:rsidR="00D0210C">
        <w:t xml:space="preserve"> The considered </w:t>
      </w:r>
      <w:r w:rsidR="00915C2E">
        <w:t xml:space="preserve">and accepted </w:t>
      </w:r>
      <w:r w:rsidR="00D0210C">
        <w:t xml:space="preserve">mitigating controls work </w:t>
      </w:r>
      <w:proofErr w:type="gramStart"/>
      <w:r w:rsidR="00477AAB">
        <w:t>off of</w:t>
      </w:r>
      <w:proofErr w:type="gramEnd"/>
      <w:r w:rsidR="00477AAB">
        <w:t xml:space="preserve"> each other and overlap to ensure a safe working environment for</w:t>
      </w:r>
      <w:r w:rsidR="00915C2E">
        <w:t xml:space="preserve"> operators and</w:t>
      </w:r>
      <w:r w:rsidR="00477AAB">
        <w:t xml:space="preserve"> infantry.</w:t>
      </w:r>
      <w:r w:rsidR="00915C2E">
        <w:t xml:space="preserve"> Both controls for reducing the severity of a hazard and reducing the likelihood of the incident occurring have been evaluated.</w:t>
      </w:r>
      <w:r w:rsidR="004D6350">
        <w:br w:type="page"/>
      </w:r>
    </w:p>
    <w:bookmarkStart w:id="12" w:name="_Toc203739762" w:displacedByCustomXml="next"/>
    <w:sdt>
      <w:sdtPr>
        <w:id w:val="573014248"/>
        <w:docPartObj>
          <w:docPartGallery w:val="Bibliographies"/>
          <w:docPartUnique/>
        </w:docPartObj>
      </w:sdtPr>
      <w:sdtEndPr>
        <w:rPr>
          <w:rFonts w:asciiTheme="minorHAnsi" w:eastAsiaTheme="minorHAnsi" w:hAnsiTheme="minorHAnsi" w:cstheme="minorBidi"/>
          <w:color w:val="auto"/>
          <w:sz w:val="22"/>
          <w:szCs w:val="22"/>
        </w:rPr>
      </w:sdtEndPr>
      <w:sdtContent>
        <w:p w14:paraId="2BC7289C" w14:textId="78F00DB5" w:rsidR="004D6350" w:rsidRDefault="004D6350" w:rsidP="004D6350">
          <w:pPr>
            <w:pStyle w:val="Heading1"/>
            <w:numPr>
              <w:ilvl w:val="0"/>
              <w:numId w:val="1"/>
            </w:numPr>
          </w:pPr>
          <w:r>
            <w:t>References</w:t>
          </w:r>
          <w:bookmarkEnd w:id="12"/>
        </w:p>
        <w:sdt>
          <w:sdtPr>
            <w:id w:val="-573587230"/>
            <w:bibliography/>
          </w:sdtPr>
          <w:sdtContent>
            <w:p w14:paraId="658908D1" w14:textId="77777777" w:rsidR="004D5B05" w:rsidRDefault="004D63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3636"/>
              </w:tblGrid>
              <w:tr w:rsidR="004D5B05" w14:paraId="6805B235" w14:textId="77777777">
                <w:trPr>
                  <w:divId w:val="1058698946"/>
                  <w:tblCellSpacing w:w="15" w:type="dxa"/>
                </w:trPr>
                <w:tc>
                  <w:tcPr>
                    <w:tcW w:w="50" w:type="pct"/>
                    <w:hideMark/>
                  </w:tcPr>
                  <w:p w14:paraId="0C3752F4" w14:textId="1593E370" w:rsidR="004D5B05" w:rsidRDefault="004D5B05">
                    <w:pPr>
                      <w:pStyle w:val="Bibliography"/>
                      <w:rPr>
                        <w:noProof/>
                        <w:sz w:val="24"/>
                        <w:szCs w:val="24"/>
                      </w:rPr>
                    </w:pPr>
                    <w:r>
                      <w:rPr>
                        <w:noProof/>
                      </w:rPr>
                      <w:t xml:space="preserve">[1] </w:t>
                    </w:r>
                  </w:p>
                </w:tc>
                <w:tc>
                  <w:tcPr>
                    <w:tcW w:w="0" w:type="auto"/>
                    <w:hideMark/>
                  </w:tcPr>
                  <w:p w14:paraId="41760760" w14:textId="77777777" w:rsidR="004D5B05" w:rsidRDefault="004D5B05">
                    <w:pPr>
                      <w:pStyle w:val="Bibliography"/>
                      <w:rPr>
                        <w:noProof/>
                      </w:rPr>
                    </w:pPr>
                    <w:r>
                      <w:rPr>
                        <w:noProof/>
                      </w:rPr>
                      <w:t>C. S. KC, “Report of the Armoured Cavalry Programme (Ajax) Lessons Learned Review,” MInistry of Defence, London, 2023.</w:t>
                    </w:r>
                  </w:p>
                </w:tc>
              </w:tr>
              <w:tr w:rsidR="004D5B05" w14:paraId="5F982FFB" w14:textId="77777777">
                <w:trPr>
                  <w:divId w:val="1058698946"/>
                  <w:tblCellSpacing w:w="15" w:type="dxa"/>
                </w:trPr>
                <w:tc>
                  <w:tcPr>
                    <w:tcW w:w="50" w:type="pct"/>
                    <w:hideMark/>
                  </w:tcPr>
                  <w:p w14:paraId="3D928E45" w14:textId="77777777" w:rsidR="004D5B05" w:rsidRDefault="004D5B05">
                    <w:pPr>
                      <w:pStyle w:val="Bibliography"/>
                      <w:rPr>
                        <w:noProof/>
                      </w:rPr>
                    </w:pPr>
                    <w:r>
                      <w:rPr>
                        <w:noProof/>
                      </w:rPr>
                      <w:t xml:space="preserve">[2] </w:t>
                    </w:r>
                  </w:p>
                </w:tc>
                <w:tc>
                  <w:tcPr>
                    <w:tcW w:w="0" w:type="auto"/>
                    <w:hideMark/>
                  </w:tcPr>
                  <w:p w14:paraId="3A68BFF0" w14:textId="77777777" w:rsidR="004D5B05" w:rsidRDefault="004D5B05">
                    <w:pPr>
                      <w:pStyle w:val="Bibliography"/>
                      <w:rPr>
                        <w:noProof/>
                      </w:rPr>
                    </w:pPr>
                    <w:r>
                      <w:rPr>
                        <w:noProof/>
                      </w:rPr>
                      <w:t xml:space="preserve">Ministry of Defence, </w:t>
                    </w:r>
                    <w:r>
                      <w:rPr>
                        <w:i/>
                        <w:iCs/>
                        <w:noProof/>
                      </w:rPr>
                      <w:t xml:space="preserve">Defence Standard 00-035 Issue 5 Environmental Handbook for Defence Materiel Part 4 - Natural Environments, </w:t>
                    </w:r>
                    <w:r>
                      <w:rPr>
                        <w:noProof/>
                      </w:rPr>
                      <w:t xml:space="preserve">London: Ministry of Defence, 2018. </w:t>
                    </w:r>
                  </w:p>
                </w:tc>
              </w:tr>
              <w:tr w:rsidR="004D5B05" w14:paraId="2077CCDD" w14:textId="77777777">
                <w:trPr>
                  <w:divId w:val="1058698946"/>
                  <w:tblCellSpacing w:w="15" w:type="dxa"/>
                </w:trPr>
                <w:tc>
                  <w:tcPr>
                    <w:tcW w:w="50" w:type="pct"/>
                    <w:hideMark/>
                  </w:tcPr>
                  <w:p w14:paraId="6C758932" w14:textId="77777777" w:rsidR="004D5B05" w:rsidRDefault="004D5B05">
                    <w:pPr>
                      <w:pStyle w:val="Bibliography"/>
                      <w:rPr>
                        <w:noProof/>
                      </w:rPr>
                    </w:pPr>
                    <w:r>
                      <w:rPr>
                        <w:noProof/>
                      </w:rPr>
                      <w:t xml:space="preserve">[3] </w:t>
                    </w:r>
                  </w:p>
                </w:tc>
                <w:tc>
                  <w:tcPr>
                    <w:tcW w:w="0" w:type="auto"/>
                    <w:hideMark/>
                  </w:tcPr>
                  <w:p w14:paraId="741D3B45" w14:textId="77777777" w:rsidR="004D5B05" w:rsidRDefault="004D5B05">
                    <w:pPr>
                      <w:pStyle w:val="Bibliography"/>
                      <w:rPr>
                        <w:noProof/>
                      </w:rPr>
                    </w:pPr>
                    <w:r>
                      <w:rPr>
                        <w:noProof/>
                      </w:rPr>
                      <w:t xml:space="preserve">Ministry of Defence, </w:t>
                    </w:r>
                    <w:r>
                      <w:rPr>
                        <w:i/>
                        <w:iCs/>
                        <w:noProof/>
                      </w:rPr>
                      <w:t xml:space="preserve">Defence Standard 00-56 Issue 2, </w:t>
                    </w:r>
                    <w:r>
                      <w:rPr>
                        <w:noProof/>
                      </w:rPr>
                      <w:t xml:space="preserve">London: Ministry of Defence, 1996. </w:t>
                    </w:r>
                  </w:p>
                </w:tc>
              </w:tr>
              <w:tr w:rsidR="004D5B05" w14:paraId="42CAFEAF" w14:textId="77777777">
                <w:trPr>
                  <w:divId w:val="1058698946"/>
                  <w:tblCellSpacing w:w="15" w:type="dxa"/>
                </w:trPr>
                <w:tc>
                  <w:tcPr>
                    <w:tcW w:w="50" w:type="pct"/>
                    <w:hideMark/>
                  </w:tcPr>
                  <w:p w14:paraId="2EFB0B6F" w14:textId="77777777" w:rsidR="004D5B05" w:rsidRDefault="004D5B05">
                    <w:pPr>
                      <w:pStyle w:val="Bibliography"/>
                      <w:rPr>
                        <w:noProof/>
                      </w:rPr>
                    </w:pPr>
                    <w:r>
                      <w:rPr>
                        <w:noProof/>
                      </w:rPr>
                      <w:t xml:space="preserve">[4] </w:t>
                    </w:r>
                  </w:p>
                </w:tc>
                <w:tc>
                  <w:tcPr>
                    <w:tcW w:w="0" w:type="auto"/>
                    <w:hideMark/>
                  </w:tcPr>
                  <w:p w14:paraId="6FF2704C" w14:textId="77777777" w:rsidR="004D5B05" w:rsidRDefault="004D5B05">
                    <w:pPr>
                      <w:pStyle w:val="Bibliography"/>
                      <w:rPr>
                        <w:noProof/>
                      </w:rPr>
                    </w:pPr>
                    <w:r>
                      <w:rPr>
                        <w:noProof/>
                      </w:rPr>
                      <w:t xml:space="preserve">General Dynamics, </w:t>
                    </w:r>
                    <w:r>
                      <w:rPr>
                        <w:i/>
                        <w:iCs/>
                        <w:noProof/>
                      </w:rPr>
                      <w:t xml:space="preserve">AJAX Variant Datasheet, </w:t>
                    </w:r>
                    <w:r>
                      <w:rPr>
                        <w:noProof/>
                      </w:rPr>
                      <w:t xml:space="preserve">London: General Dynamics Land Systems–UK (GDLS–UK), 2021. </w:t>
                    </w:r>
                  </w:p>
                </w:tc>
              </w:tr>
              <w:tr w:rsidR="004D5B05" w14:paraId="2C452F60" w14:textId="77777777">
                <w:trPr>
                  <w:divId w:val="1058698946"/>
                  <w:tblCellSpacing w:w="15" w:type="dxa"/>
                </w:trPr>
                <w:tc>
                  <w:tcPr>
                    <w:tcW w:w="50" w:type="pct"/>
                    <w:hideMark/>
                  </w:tcPr>
                  <w:p w14:paraId="009948C9" w14:textId="77777777" w:rsidR="004D5B05" w:rsidRDefault="004D5B05">
                    <w:pPr>
                      <w:pStyle w:val="Bibliography"/>
                      <w:rPr>
                        <w:noProof/>
                      </w:rPr>
                    </w:pPr>
                    <w:r>
                      <w:rPr>
                        <w:noProof/>
                      </w:rPr>
                      <w:t xml:space="preserve">[5] </w:t>
                    </w:r>
                  </w:p>
                </w:tc>
                <w:tc>
                  <w:tcPr>
                    <w:tcW w:w="0" w:type="auto"/>
                    <w:hideMark/>
                  </w:tcPr>
                  <w:p w14:paraId="1389E5E5" w14:textId="77777777" w:rsidR="004D5B05" w:rsidRDefault="004D5B05">
                    <w:pPr>
                      <w:pStyle w:val="Bibliography"/>
                      <w:rPr>
                        <w:noProof/>
                      </w:rPr>
                    </w:pPr>
                    <w:r>
                      <w:rPr>
                        <w:noProof/>
                      </w:rPr>
                      <w:t xml:space="preserve">Parliment of the United Kingdom, </w:t>
                    </w:r>
                    <w:r>
                      <w:rPr>
                        <w:i/>
                        <w:iCs/>
                        <w:noProof/>
                      </w:rPr>
                      <w:t xml:space="preserve">Health and Safety at Work etc. Act 1974, </w:t>
                    </w:r>
                    <w:r>
                      <w:rPr>
                        <w:noProof/>
                      </w:rPr>
                      <w:t xml:space="preserve">London: Parliment of the United Kingdom, 1974. </w:t>
                    </w:r>
                  </w:p>
                </w:tc>
              </w:tr>
              <w:tr w:rsidR="004D5B05" w14:paraId="0F940D3D" w14:textId="77777777">
                <w:trPr>
                  <w:divId w:val="1058698946"/>
                  <w:tblCellSpacing w:w="15" w:type="dxa"/>
                </w:trPr>
                <w:tc>
                  <w:tcPr>
                    <w:tcW w:w="50" w:type="pct"/>
                    <w:hideMark/>
                  </w:tcPr>
                  <w:p w14:paraId="75374928" w14:textId="77777777" w:rsidR="004D5B05" w:rsidRDefault="004D5B05">
                    <w:pPr>
                      <w:pStyle w:val="Bibliography"/>
                      <w:rPr>
                        <w:noProof/>
                      </w:rPr>
                    </w:pPr>
                    <w:r>
                      <w:rPr>
                        <w:noProof/>
                      </w:rPr>
                      <w:t xml:space="preserve">[6] </w:t>
                    </w:r>
                  </w:p>
                </w:tc>
                <w:tc>
                  <w:tcPr>
                    <w:tcW w:w="0" w:type="auto"/>
                    <w:hideMark/>
                  </w:tcPr>
                  <w:p w14:paraId="64FE6C77" w14:textId="77777777" w:rsidR="004D5B05" w:rsidRDefault="004D5B05">
                    <w:pPr>
                      <w:pStyle w:val="Bibliography"/>
                      <w:rPr>
                        <w:noProof/>
                      </w:rPr>
                    </w:pPr>
                    <w:r>
                      <w:rPr>
                        <w:noProof/>
                      </w:rPr>
                      <w:t>Integrated Human Factors, “The Dirty Dozen,” IHF Limited, 6 March 2017. [Online]. Available: https://www.ihf.co.uk/the-dirty-dozen/. [Accessed 15 7 2025].</w:t>
                    </w:r>
                  </w:p>
                </w:tc>
              </w:tr>
              <w:tr w:rsidR="004D5B05" w14:paraId="2B7BBF6A" w14:textId="77777777">
                <w:trPr>
                  <w:divId w:val="1058698946"/>
                  <w:tblCellSpacing w:w="15" w:type="dxa"/>
                </w:trPr>
                <w:tc>
                  <w:tcPr>
                    <w:tcW w:w="50" w:type="pct"/>
                    <w:hideMark/>
                  </w:tcPr>
                  <w:p w14:paraId="3DCCA83D" w14:textId="77777777" w:rsidR="004D5B05" w:rsidRDefault="004D5B05">
                    <w:pPr>
                      <w:pStyle w:val="Bibliography"/>
                      <w:rPr>
                        <w:noProof/>
                      </w:rPr>
                    </w:pPr>
                    <w:r>
                      <w:rPr>
                        <w:noProof/>
                      </w:rPr>
                      <w:t xml:space="preserve">[7] </w:t>
                    </w:r>
                  </w:p>
                </w:tc>
                <w:tc>
                  <w:tcPr>
                    <w:tcW w:w="0" w:type="auto"/>
                    <w:hideMark/>
                  </w:tcPr>
                  <w:p w14:paraId="6F5F0625" w14:textId="77777777" w:rsidR="004D5B05" w:rsidRDefault="004D5B05">
                    <w:pPr>
                      <w:pStyle w:val="Bibliography"/>
                      <w:rPr>
                        <w:noProof/>
                      </w:rPr>
                    </w:pPr>
                    <w:r>
                      <w:rPr>
                        <w:noProof/>
                      </w:rPr>
                      <w:t xml:space="preserve">Parliament of the United Kingdom, </w:t>
                    </w:r>
                    <w:r>
                      <w:rPr>
                        <w:i/>
                        <w:iCs/>
                        <w:noProof/>
                      </w:rPr>
                      <w:t xml:space="preserve">Housing Act 2004, </w:t>
                    </w:r>
                    <w:r>
                      <w:rPr>
                        <w:noProof/>
                      </w:rPr>
                      <w:t xml:space="preserve">London: Parliament of the United Kingdom, 2004. </w:t>
                    </w:r>
                  </w:p>
                </w:tc>
              </w:tr>
            </w:tbl>
            <w:p w14:paraId="456B16A8" w14:textId="77777777" w:rsidR="004D5B05" w:rsidRDefault="004D5B05">
              <w:pPr>
                <w:divId w:val="1058698946"/>
                <w:rPr>
                  <w:rFonts w:eastAsia="Times New Roman"/>
                  <w:noProof/>
                </w:rPr>
              </w:pPr>
            </w:p>
            <w:p w14:paraId="126DB0E8" w14:textId="0934AA06" w:rsidR="004D6350" w:rsidRDefault="004D6350">
              <w:r>
                <w:rPr>
                  <w:b/>
                  <w:bCs/>
                  <w:noProof/>
                </w:rPr>
                <w:fldChar w:fldCharType="end"/>
              </w:r>
            </w:p>
          </w:sdtContent>
        </w:sdt>
      </w:sdtContent>
    </w:sdt>
    <w:p w14:paraId="2CE04BBE" w14:textId="77777777" w:rsidR="004D6350" w:rsidRPr="004D6350" w:rsidRDefault="004D6350" w:rsidP="004D6350"/>
    <w:sectPr w:rsidR="004D6350" w:rsidRPr="004D6350" w:rsidSect="00174153">
      <w:pgSz w:w="16838" w:h="11906" w:orient="landscape"/>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6DD7"/>
    <w:multiLevelType w:val="hybridMultilevel"/>
    <w:tmpl w:val="1DF8358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673071DB"/>
    <w:multiLevelType w:val="hybridMultilevel"/>
    <w:tmpl w:val="254E7BC4"/>
    <w:lvl w:ilvl="0" w:tplc="84B20FC4">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B17FA1"/>
    <w:multiLevelType w:val="hybridMultilevel"/>
    <w:tmpl w:val="E1F64E4E"/>
    <w:lvl w:ilvl="0" w:tplc="8B2A6CF2">
      <w:start w:val="3"/>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1EA6487"/>
    <w:multiLevelType w:val="multilevel"/>
    <w:tmpl w:val="50F428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90540174">
    <w:abstractNumId w:val="3"/>
  </w:num>
  <w:num w:numId="2" w16cid:durableId="2084520095">
    <w:abstractNumId w:val="1"/>
  </w:num>
  <w:num w:numId="3" w16cid:durableId="619842788">
    <w:abstractNumId w:val="2"/>
  </w:num>
  <w:num w:numId="4" w16cid:durableId="1879583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3AD"/>
    <w:rsid w:val="00043B11"/>
    <w:rsid w:val="00063DE9"/>
    <w:rsid w:val="000862EF"/>
    <w:rsid w:val="000F7C1C"/>
    <w:rsid w:val="00105903"/>
    <w:rsid w:val="00174153"/>
    <w:rsid w:val="0018625C"/>
    <w:rsid w:val="00233102"/>
    <w:rsid w:val="002B43CD"/>
    <w:rsid w:val="002C78FB"/>
    <w:rsid w:val="002D5376"/>
    <w:rsid w:val="00310005"/>
    <w:rsid w:val="004763AD"/>
    <w:rsid w:val="00477AAB"/>
    <w:rsid w:val="004C7648"/>
    <w:rsid w:val="004D5B05"/>
    <w:rsid w:val="004D6350"/>
    <w:rsid w:val="00536A8A"/>
    <w:rsid w:val="00560F7F"/>
    <w:rsid w:val="005756F7"/>
    <w:rsid w:val="005C66F3"/>
    <w:rsid w:val="006D75E8"/>
    <w:rsid w:val="00731245"/>
    <w:rsid w:val="00862470"/>
    <w:rsid w:val="0087375F"/>
    <w:rsid w:val="008769A7"/>
    <w:rsid w:val="008A1BA7"/>
    <w:rsid w:val="00906792"/>
    <w:rsid w:val="00915C2E"/>
    <w:rsid w:val="009547B9"/>
    <w:rsid w:val="009A57CF"/>
    <w:rsid w:val="00A16E70"/>
    <w:rsid w:val="00A239BB"/>
    <w:rsid w:val="00A4773D"/>
    <w:rsid w:val="00AB1A1A"/>
    <w:rsid w:val="00AB2007"/>
    <w:rsid w:val="00AE60B2"/>
    <w:rsid w:val="00B11997"/>
    <w:rsid w:val="00B304CD"/>
    <w:rsid w:val="00C94CDA"/>
    <w:rsid w:val="00CC198A"/>
    <w:rsid w:val="00D0210C"/>
    <w:rsid w:val="00D14DB8"/>
    <w:rsid w:val="00DB358F"/>
    <w:rsid w:val="00DC66FB"/>
    <w:rsid w:val="00E274B6"/>
    <w:rsid w:val="00E448F2"/>
    <w:rsid w:val="00EB3506"/>
    <w:rsid w:val="00EE57AE"/>
    <w:rsid w:val="00EF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4ADE0"/>
  <w15:chartTrackingRefBased/>
  <w15:docId w15:val="{EC8B3D66-3480-4769-987C-9E9144A9A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3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62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60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737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94CD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906792"/>
    <w:rPr>
      <w:sz w:val="16"/>
      <w:szCs w:val="16"/>
    </w:rPr>
  </w:style>
  <w:style w:type="paragraph" w:styleId="CommentText">
    <w:name w:val="annotation text"/>
    <w:basedOn w:val="Normal"/>
    <w:link w:val="CommentTextChar"/>
    <w:uiPriority w:val="99"/>
    <w:unhideWhenUsed/>
    <w:rsid w:val="00906792"/>
    <w:pPr>
      <w:spacing w:line="240" w:lineRule="auto"/>
    </w:pPr>
    <w:rPr>
      <w:sz w:val="20"/>
      <w:szCs w:val="20"/>
    </w:rPr>
  </w:style>
  <w:style w:type="character" w:customStyle="1" w:styleId="CommentTextChar">
    <w:name w:val="Comment Text Char"/>
    <w:basedOn w:val="DefaultParagraphFont"/>
    <w:link w:val="CommentText"/>
    <w:uiPriority w:val="99"/>
    <w:rsid w:val="00906792"/>
    <w:rPr>
      <w:sz w:val="20"/>
      <w:szCs w:val="20"/>
    </w:rPr>
  </w:style>
  <w:style w:type="paragraph" w:styleId="CommentSubject">
    <w:name w:val="annotation subject"/>
    <w:basedOn w:val="CommentText"/>
    <w:next w:val="CommentText"/>
    <w:link w:val="CommentSubjectChar"/>
    <w:uiPriority w:val="99"/>
    <w:semiHidden/>
    <w:unhideWhenUsed/>
    <w:rsid w:val="00906792"/>
    <w:rPr>
      <w:b/>
      <w:bCs/>
    </w:rPr>
  </w:style>
  <w:style w:type="character" w:customStyle="1" w:styleId="CommentSubjectChar">
    <w:name w:val="Comment Subject Char"/>
    <w:basedOn w:val="CommentTextChar"/>
    <w:link w:val="CommentSubject"/>
    <w:uiPriority w:val="99"/>
    <w:semiHidden/>
    <w:rsid w:val="00906792"/>
    <w:rPr>
      <w:b/>
      <w:bCs/>
      <w:sz w:val="20"/>
      <w:szCs w:val="20"/>
    </w:rPr>
  </w:style>
  <w:style w:type="paragraph" w:styleId="NoSpacing">
    <w:name w:val="No Spacing"/>
    <w:link w:val="NoSpacingChar"/>
    <w:uiPriority w:val="1"/>
    <w:qFormat/>
    <w:rsid w:val="004D63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6350"/>
    <w:rPr>
      <w:rFonts w:eastAsiaTheme="minorEastAsia"/>
      <w:lang w:val="en-US"/>
    </w:rPr>
  </w:style>
  <w:style w:type="character" w:customStyle="1" w:styleId="Heading1Char">
    <w:name w:val="Heading 1 Char"/>
    <w:basedOn w:val="DefaultParagraphFont"/>
    <w:link w:val="Heading1"/>
    <w:uiPriority w:val="9"/>
    <w:rsid w:val="004D63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6350"/>
    <w:pPr>
      <w:outlineLvl w:val="9"/>
    </w:pPr>
    <w:rPr>
      <w:lang w:val="en-US"/>
    </w:rPr>
  </w:style>
  <w:style w:type="paragraph" w:styleId="TOC1">
    <w:name w:val="toc 1"/>
    <w:basedOn w:val="Normal"/>
    <w:next w:val="Normal"/>
    <w:autoRedefine/>
    <w:uiPriority w:val="39"/>
    <w:unhideWhenUsed/>
    <w:rsid w:val="004D6350"/>
    <w:pPr>
      <w:spacing w:after="100"/>
    </w:pPr>
  </w:style>
  <w:style w:type="character" w:styleId="Hyperlink">
    <w:name w:val="Hyperlink"/>
    <w:basedOn w:val="DefaultParagraphFont"/>
    <w:uiPriority w:val="99"/>
    <w:unhideWhenUsed/>
    <w:rsid w:val="004D6350"/>
    <w:rPr>
      <w:color w:val="0563C1" w:themeColor="hyperlink"/>
      <w:u w:val="single"/>
    </w:rPr>
  </w:style>
  <w:style w:type="paragraph" w:styleId="Caption">
    <w:name w:val="caption"/>
    <w:basedOn w:val="Normal"/>
    <w:next w:val="Normal"/>
    <w:uiPriority w:val="35"/>
    <w:unhideWhenUsed/>
    <w:qFormat/>
    <w:rsid w:val="004D635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D6350"/>
  </w:style>
  <w:style w:type="paragraph" w:styleId="ListParagraph">
    <w:name w:val="List Paragraph"/>
    <w:basedOn w:val="Normal"/>
    <w:uiPriority w:val="34"/>
    <w:qFormat/>
    <w:rsid w:val="00B11997"/>
    <w:pPr>
      <w:ind w:left="720"/>
      <w:contextualSpacing/>
    </w:pPr>
  </w:style>
  <w:style w:type="character" w:customStyle="1" w:styleId="Heading2Char">
    <w:name w:val="Heading 2 Char"/>
    <w:basedOn w:val="DefaultParagraphFont"/>
    <w:link w:val="Heading2"/>
    <w:uiPriority w:val="9"/>
    <w:rsid w:val="0018625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8625C"/>
    <w:pPr>
      <w:spacing w:after="100"/>
      <w:ind w:left="220"/>
    </w:pPr>
  </w:style>
  <w:style w:type="character" w:customStyle="1" w:styleId="Heading3Char">
    <w:name w:val="Heading 3 Char"/>
    <w:basedOn w:val="DefaultParagraphFont"/>
    <w:link w:val="Heading3"/>
    <w:uiPriority w:val="9"/>
    <w:rsid w:val="00AE60B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C19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88365">
      <w:bodyDiv w:val="1"/>
      <w:marLeft w:val="0"/>
      <w:marRight w:val="0"/>
      <w:marTop w:val="0"/>
      <w:marBottom w:val="0"/>
      <w:divBdr>
        <w:top w:val="none" w:sz="0" w:space="0" w:color="auto"/>
        <w:left w:val="none" w:sz="0" w:space="0" w:color="auto"/>
        <w:bottom w:val="none" w:sz="0" w:space="0" w:color="auto"/>
        <w:right w:val="none" w:sz="0" w:space="0" w:color="auto"/>
      </w:divBdr>
    </w:div>
    <w:div w:id="33162673">
      <w:bodyDiv w:val="1"/>
      <w:marLeft w:val="0"/>
      <w:marRight w:val="0"/>
      <w:marTop w:val="0"/>
      <w:marBottom w:val="0"/>
      <w:divBdr>
        <w:top w:val="none" w:sz="0" w:space="0" w:color="auto"/>
        <w:left w:val="none" w:sz="0" w:space="0" w:color="auto"/>
        <w:bottom w:val="none" w:sz="0" w:space="0" w:color="auto"/>
        <w:right w:val="none" w:sz="0" w:space="0" w:color="auto"/>
      </w:divBdr>
    </w:div>
    <w:div w:id="84692523">
      <w:bodyDiv w:val="1"/>
      <w:marLeft w:val="0"/>
      <w:marRight w:val="0"/>
      <w:marTop w:val="0"/>
      <w:marBottom w:val="0"/>
      <w:divBdr>
        <w:top w:val="none" w:sz="0" w:space="0" w:color="auto"/>
        <w:left w:val="none" w:sz="0" w:space="0" w:color="auto"/>
        <w:bottom w:val="none" w:sz="0" w:space="0" w:color="auto"/>
        <w:right w:val="none" w:sz="0" w:space="0" w:color="auto"/>
      </w:divBdr>
    </w:div>
    <w:div w:id="118574435">
      <w:bodyDiv w:val="1"/>
      <w:marLeft w:val="0"/>
      <w:marRight w:val="0"/>
      <w:marTop w:val="0"/>
      <w:marBottom w:val="0"/>
      <w:divBdr>
        <w:top w:val="none" w:sz="0" w:space="0" w:color="auto"/>
        <w:left w:val="none" w:sz="0" w:space="0" w:color="auto"/>
        <w:bottom w:val="none" w:sz="0" w:space="0" w:color="auto"/>
        <w:right w:val="none" w:sz="0" w:space="0" w:color="auto"/>
      </w:divBdr>
    </w:div>
    <w:div w:id="180245099">
      <w:bodyDiv w:val="1"/>
      <w:marLeft w:val="0"/>
      <w:marRight w:val="0"/>
      <w:marTop w:val="0"/>
      <w:marBottom w:val="0"/>
      <w:divBdr>
        <w:top w:val="none" w:sz="0" w:space="0" w:color="auto"/>
        <w:left w:val="none" w:sz="0" w:space="0" w:color="auto"/>
        <w:bottom w:val="none" w:sz="0" w:space="0" w:color="auto"/>
        <w:right w:val="none" w:sz="0" w:space="0" w:color="auto"/>
      </w:divBdr>
    </w:div>
    <w:div w:id="187372539">
      <w:bodyDiv w:val="1"/>
      <w:marLeft w:val="0"/>
      <w:marRight w:val="0"/>
      <w:marTop w:val="0"/>
      <w:marBottom w:val="0"/>
      <w:divBdr>
        <w:top w:val="none" w:sz="0" w:space="0" w:color="auto"/>
        <w:left w:val="none" w:sz="0" w:space="0" w:color="auto"/>
        <w:bottom w:val="none" w:sz="0" w:space="0" w:color="auto"/>
        <w:right w:val="none" w:sz="0" w:space="0" w:color="auto"/>
      </w:divBdr>
    </w:div>
    <w:div w:id="201209089">
      <w:bodyDiv w:val="1"/>
      <w:marLeft w:val="0"/>
      <w:marRight w:val="0"/>
      <w:marTop w:val="0"/>
      <w:marBottom w:val="0"/>
      <w:divBdr>
        <w:top w:val="none" w:sz="0" w:space="0" w:color="auto"/>
        <w:left w:val="none" w:sz="0" w:space="0" w:color="auto"/>
        <w:bottom w:val="none" w:sz="0" w:space="0" w:color="auto"/>
        <w:right w:val="none" w:sz="0" w:space="0" w:color="auto"/>
      </w:divBdr>
    </w:div>
    <w:div w:id="221329839">
      <w:bodyDiv w:val="1"/>
      <w:marLeft w:val="0"/>
      <w:marRight w:val="0"/>
      <w:marTop w:val="0"/>
      <w:marBottom w:val="0"/>
      <w:divBdr>
        <w:top w:val="none" w:sz="0" w:space="0" w:color="auto"/>
        <w:left w:val="none" w:sz="0" w:space="0" w:color="auto"/>
        <w:bottom w:val="none" w:sz="0" w:space="0" w:color="auto"/>
        <w:right w:val="none" w:sz="0" w:space="0" w:color="auto"/>
      </w:divBdr>
    </w:div>
    <w:div w:id="222450918">
      <w:bodyDiv w:val="1"/>
      <w:marLeft w:val="0"/>
      <w:marRight w:val="0"/>
      <w:marTop w:val="0"/>
      <w:marBottom w:val="0"/>
      <w:divBdr>
        <w:top w:val="none" w:sz="0" w:space="0" w:color="auto"/>
        <w:left w:val="none" w:sz="0" w:space="0" w:color="auto"/>
        <w:bottom w:val="none" w:sz="0" w:space="0" w:color="auto"/>
        <w:right w:val="none" w:sz="0" w:space="0" w:color="auto"/>
      </w:divBdr>
    </w:div>
    <w:div w:id="229197654">
      <w:bodyDiv w:val="1"/>
      <w:marLeft w:val="0"/>
      <w:marRight w:val="0"/>
      <w:marTop w:val="0"/>
      <w:marBottom w:val="0"/>
      <w:divBdr>
        <w:top w:val="none" w:sz="0" w:space="0" w:color="auto"/>
        <w:left w:val="none" w:sz="0" w:space="0" w:color="auto"/>
        <w:bottom w:val="none" w:sz="0" w:space="0" w:color="auto"/>
        <w:right w:val="none" w:sz="0" w:space="0" w:color="auto"/>
      </w:divBdr>
    </w:div>
    <w:div w:id="249200307">
      <w:bodyDiv w:val="1"/>
      <w:marLeft w:val="0"/>
      <w:marRight w:val="0"/>
      <w:marTop w:val="0"/>
      <w:marBottom w:val="0"/>
      <w:divBdr>
        <w:top w:val="none" w:sz="0" w:space="0" w:color="auto"/>
        <w:left w:val="none" w:sz="0" w:space="0" w:color="auto"/>
        <w:bottom w:val="none" w:sz="0" w:space="0" w:color="auto"/>
        <w:right w:val="none" w:sz="0" w:space="0" w:color="auto"/>
      </w:divBdr>
    </w:div>
    <w:div w:id="286356970">
      <w:bodyDiv w:val="1"/>
      <w:marLeft w:val="0"/>
      <w:marRight w:val="0"/>
      <w:marTop w:val="0"/>
      <w:marBottom w:val="0"/>
      <w:divBdr>
        <w:top w:val="none" w:sz="0" w:space="0" w:color="auto"/>
        <w:left w:val="none" w:sz="0" w:space="0" w:color="auto"/>
        <w:bottom w:val="none" w:sz="0" w:space="0" w:color="auto"/>
        <w:right w:val="none" w:sz="0" w:space="0" w:color="auto"/>
      </w:divBdr>
    </w:div>
    <w:div w:id="314576351">
      <w:bodyDiv w:val="1"/>
      <w:marLeft w:val="0"/>
      <w:marRight w:val="0"/>
      <w:marTop w:val="0"/>
      <w:marBottom w:val="0"/>
      <w:divBdr>
        <w:top w:val="none" w:sz="0" w:space="0" w:color="auto"/>
        <w:left w:val="none" w:sz="0" w:space="0" w:color="auto"/>
        <w:bottom w:val="none" w:sz="0" w:space="0" w:color="auto"/>
        <w:right w:val="none" w:sz="0" w:space="0" w:color="auto"/>
      </w:divBdr>
    </w:div>
    <w:div w:id="367529634">
      <w:bodyDiv w:val="1"/>
      <w:marLeft w:val="0"/>
      <w:marRight w:val="0"/>
      <w:marTop w:val="0"/>
      <w:marBottom w:val="0"/>
      <w:divBdr>
        <w:top w:val="none" w:sz="0" w:space="0" w:color="auto"/>
        <w:left w:val="none" w:sz="0" w:space="0" w:color="auto"/>
        <w:bottom w:val="none" w:sz="0" w:space="0" w:color="auto"/>
        <w:right w:val="none" w:sz="0" w:space="0" w:color="auto"/>
      </w:divBdr>
    </w:div>
    <w:div w:id="417673489">
      <w:bodyDiv w:val="1"/>
      <w:marLeft w:val="0"/>
      <w:marRight w:val="0"/>
      <w:marTop w:val="0"/>
      <w:marBottom w:val="0"/>
      <w:divBdr>
        <w:top w:val="none" w:sz="0" w:space="0" w:color="auto"/>
        <w:left w:val="none" w:sz="0" w:space="0" w:color="auto"/>
        <w:bottom w:val="none" w:sz="0" w:space="0" w:color="auto"/>
        <w:right w:val="none" w:sz="0" w:space="0" w:color="auto"/>
      </w:divBdr>
    </w:div>
    <w:div w:id="438842337">
      <w:bodyDiv w:val="1"/>
      <w:marLeft w:val="0"/>
      <w:marRight w:val="0"/>
      <w:marTop w:val="0"/>
      <w:marBottom w:val="0"/>
      <w:divBdr>
        <w:top w:val="none" w:sz="0" w:space="0" w:color="auto"/>
        <w:left w:val="none" w:sz="0" w:space="0" w:color="auto"/>
        <w:bottom w:val="none" w:sz="0" w:space="0" w:color="auto"/>
        <w:right w:val="none" w:sz="0" w:space="0" w:color="auto"/>
      </w:divBdr>
    </w:div>
    <w:div w:id="479617745">
      <w:bodyDiv w:val="1"/>
      <w:marLeft w:val="0"/>
      <w:marRight w:val="0"/>
      <w:marTop w:val="0"/>
      <w:marBottom w:val="0"/>
      <w:divBdr>
        <w:top w:val="none" w:sz="0" w:space="0" w:color="auto"/>
        <w:left w:val="none" w:sz="0" w:space="0" w:color="auto"/>
        <w:bottom w:val="none" w:sz="0" w:space="0" w:color="auto"/>
        <w:right w:val="none" w:sz="0" w:space="0" w:color="auto"/>
      </w:divBdr>
    </w:div>
    <w:div w:id="486484179">
      <w:bodyDiv w:val="1"/>
      <w:marLeft w:val="0"/>
      <w:marRight w:val="0"/>
      <w:marTop w:val="0"/>
      <w:marBottom w:val="0"/>
      <w:divBdr>
        <w:top w:val="none" w:sz="0" w:space="0" w:color="auto"/>
        <w:left w:val="none" w:sz="0" w:space="0" w:color="auto"/>
        <w:bottom w:val="none" w:sz="0" w:space="0" w:color="auto"/>
        <w:right w:val="none" w:sz="0" w:space="0" w:color="auto"/>
      </w:divBdr>
    </w:div>
    <w:div w:id="488719291">
      <w:bodyDiv w:val="1"/>
      <w:marLeft w:val="0"/>
      <w:marRight w:val="0"/>
      <w:marTop w:val="0"/>
      <w:marBottom w:val="0"/>
      <w:divBdr>
        <w:top w:val="none" w:sz="0" w:space="0" w:color="auto"/>
        <w:left w:val="none" w:sz="0" w:space="0" w:color="auto"/>
        <w:bottom w:val="none" w:sz="0" w:space="0" w:color="auto"/>
        <w:right w:val="none" w:sz="0" w:space="0" w:color="auto"/>
      </w:divBdr>
    </w:div>
    <w:div w:id="535045442">
      <w:bodyDiv w:val="1"/>
      <w:marLeft w:val="0"/>
      <w:marRight w:val="0"/>
      <w:marTop w:val="0"/>
      <w:marBottom w:val="0"/>
      <w:divBdr>
        <w:top w:val="none" w:sz="0" w:space="0" w:color="auto"/>
        <w:left w:val="none" w:sz="0" w:space="0" w:color="auto"/>
        <w:bottom w:val="none" w:sz="0" w:space="0" w:color="auto"/>
        <w:right w:val="none" w:sz="0" w:space="0" w:color="auto"/>
      </w:divBdr>
    </w:div>
    <w:div w:id="605238857">
      <w:bodyDiv w:val="1"/>
      <w:marLeft w:val="0"/>
      <w:marRight w:val="0"/>
      <w:marTop w:val="0"/>
      <w:marBottom w:val="0"/>
      <w:divBdr>
        <w:top w:val="none" w:sz="0" w:space="0" w:color="auto"/>
        <w:left w:val="none" w:sz="0" w:space="0" w:color="auto"/>
        <w:bottom w:val="none" w:sz="0" w:space="0" w:color="auto"/>
        <w:right w:val="none" w:sz="0" w:space="0" w:color="auto"/>
      </w:divBdr>
    </w:div>
    <w:div w:id="619647968">
      <w:bodyDiv w:val="1"/>
      <w:marLeft w:val="0"/>
      <w:marRight w:val="0"/>
      <w:marTop w:val="0"/>
      <w:marBottom w:val="0"/>
      <w:divBdr>
        <w:top w:val="none" w:sz="0" w:space="0" w:color="auto"/>
        <w:left w:val="none" w:sz="0" w:space="0" w:color="auto"/>
        <w:bottom w:val="none" w:sz="0" w:space="0" w:color="auto"/>
        <w:right w:val="none" w:sz="0" w:space="0" w:color="auto"/>
      </w:divBdr>
    </w:div>
    <w:div w:id="645278293">
      <w:bodyDiv w:val="1"/>
      <w:marLeft w:val="0"/>
      <w:marRight w:val="0"/>
      <w:marTop w:val="0"/>
      <w:marBottom w:val="0"/>
      <w:divBdr>
        <w:top w:val="none" w:sz="0" w:space="0" w:color="auto"/>
        <w:left w:val="none" w:sz="0" w:space="0" w:color="auto"/>
        <w:bottom w:val="none" w:sz="0" w:space="0" w:color="auto"/>
        <w:right w:val="none" w:sz="0" w:space="0" w:color="auto"/>
      </w:divBdr>
    </w:div>
    <w:div w:id="676881026">
      <w:bodyDiv w:val="1"/>
      <w:marLeft w:val="0"/>
      <w:marRight w:val="0"/>
      <w:marTop w:val="0"/>
      <w:marBottom w:val="0"/>
      <w:divBdr>
        <w:top w:val="none" w:sz="0" w:space="0" w:color="auto"/>
        <w:left w:val="none" w:sz="0" w:space="0" w:color="auto"/>
        <w:bottom w:val="none" w:sz="0" w:space="0" w:color="auto"/>
        <w:right w:val="none" w:sz="0" w:space="0" w:color="auto"/>
      </w:divBdr>
    </w:div>
    <w:div w:id="678043154">
      <w:bodyDiv w:val="1"/>
      <w:marLeft w:val="0"/>
      <w:marRight w:val="0"/>
      <w:marTop w:val="0"/>
      <w:marBottom w:val="0"/>
      <w:divBdr>
        <w:top w:val="none" w:sz="0" w:space="0" w:color="auto"/>
        <w:left w:val="none" w:sz="0" w:space="0" w:color="auto"/>
        <w:bottom w:val="none" w:sz="0" w:space="0" w:color="auto"/>
        <w:right w:val="none" w:sz="0" w:space="0" w:color="auto"/>
      </w:divBdr>
    </w:div>
    <w:div w:id="689720668">
      <w:bodyDiv w:val="1"/>
      <w:marLeft w:val="0"/>
      <w:marRight w:val="0"/>
      <w:marTop w:val="0"/>
      <w:marBottom w:val="0"/>
      <w:divBdr>
        <w:top w:val="none" w:sz="0" w:space="0" w:color="auto"/>
        <w:left w:val="none" w:sz="0" w:space="0" w:color="auto"/>
        <w:bottom w:val="none" w:sz="0" w:space="0" w:color="auto"/>
        <w:right w:val="none" w:sz="0" w:space="0" w:color="auto"/>
      </w:divBdr>
    </w:div>
    <w:div w:id="774131513">
      <w:bodyDiv w:val="1"/>
      <w:marLeft w:val="0"/>
      <w:marRight w:val="0"/>
      <w:marTop w:val="0"/>
      <w:marBottom w:val="0"/>
      <w:divBdr>
        <w:top w:val="none" w:sz="0" w:space="0" w:color="auto"/>
        <w:left w:val="none" w:sz="0" w:space="0" w:color="auto"/>
        <w:bottom w:val="none" w:sz="0" w:space="0" w:color="auto"/>
        <w:right w:val="none" w:sz="0" w:space="0" w:color="auto"/>
      </w:divBdr>
    </w:div>
    <w:div w:id="804202933">
      <w:bodyDiv w:val="1"/>
      <w:marLeft w:val="0"/>
      <w:marRight w:val="0"/>
      <w:marTop w:val="0"/>
      <w:marBottom w:val="0"/>
      <w:divBdr>
        <w:top w:val="none" w:sz="0" w:space="0" w:color="auto"/>
        <w:left w:val="none" w:sz="0" w:space="0" w:color="auto"/>
        <w:bottom w:val="none" w:sz="0" w:space="0" w:color="auto"/>
        <w:right w:val="none" w:sz="0" w:space="0" w:color="auto"/>
      </w:divBdr>
    </w:div>
    <w:div w:id="814949702">
      <w:bodyDiv w:val="1"/>
      <w:marLeft w:val="0"/>
      <w:marRight w:val="0"/>
      <w:marTop w:val="0"/>
      <w:marBottom w:val="0"/>
      <w:divBdr>
        <w:top w:val="none" w:sz="0" w:space="0" w:color="auto"/>
        <w:left w:val="none" w:sz="0" w:space="0" w:color="auto"/>
        <w:bottom w:val="none" w:sz="0" w:space="0" w:color="auto"/>
        <w:right w:val="none" w:sz="0" w:space="0" w:color="auto"/>
      </w:divBdr>
    </w:div>
    <w:div w:id="952519656">
      <w:bodyDiv w:val="1"/>
      <w:marLeft w:val="0"/>
      <w:marRight w:val="0"/>
      <w:marTop w:val="0"/>
      <w:marBottom w:val="0"/>
      <w:divBdr>
        <w:top w:val="none" w:sz="0" w:space="0" w:color="auto"/>
        <w:left w:val="none" w:sz="0" w:space="0" w:color="auto"/>
        <w:bottom w:val="none" w:sz="0" w:space="0" w:color="auto"/>
        <w:right w:val="none" w:sz="0" w:space="0" w:color="auto"/>
      </w:divBdr>
    </w:div>
    <w:div w:id="970204814">
      <w:bodyDiv w:val="1"/>
      <w:marLeft w:val="0"/>
      <w:marRight w:val="0"/>
      <w:marTop w:val="0"/>
      <w:marBottom w:val="0"/>
      <w:divBdr>
        <w:top w:val="none" w:sz="0" w:space="0" w:color="auto"/>
        <w:left w:val="none" w:sz="0" w:space="0" w:color="auto"/>
        <w:bottom w:val="none" w:sz="0" w:space="0" w:color="auto"/>
        <w:right w:val="none" w:sz="0" w:space="0" w:color="auto"/>
      </w:divBdr>
    </w:div>
    <w:div w:id="974675037">
      <w:bodyDiv w:val="1"/>
      <w:marLeft w:val="0"/>
      <w:marRight w:val="0"/>
      <w:marTop w:val="0"/>
      <w:marBottom w:val="0"/>
      <w:divBdr>
        <w:top w:val="none" w:sz="0" w:space="0" w:color="auto"/>
        <w:left w:val="none" w:sz="0" w:space="0" w:color="auto"/>
        <w:bottom w:val="none" w:sz="0" w:space="0" w:color="auto"/>
        <w:right w:val="none" w:sz="0" w:space="0" w:color="auto"/>
      </w:divBdr>
    </w:div>
    <w:div w:id="975069081">
      <w:bodyDiv w:val="1"/>
      <w:marLeft w:val="0"/>
      <w:marRight w:val="0"/>
      <w:marTop w:val="0"/>
      <w:marBottom w:val="0"/>
      <w:divBdr>
        <w:top w:val="none" w:sz="0" w:space="0" w:color="auto"/>
        <w:left w:val="none" w:sz="0" w:space="0" w:color="auto"/>
        <w:bottom w:val="none" w:sz="0" w:space="0" w:color="auto"/>
        <w:right w:val="none" w:sz="0" w:space="0" w:color="auto"/>
      </w:divBdr>
    </w:div>
    <w:div w:id="1058698946">
      <w:bodyDiv w:val="1"/>
      <w:marLeft w:val="0"/>
      <w:marRight w:val="0"/>
      <w:marTop w:val="0"/>
      <w:marBottom w:val="0"/>
      <w:divBdr>
        <w:top w:val="none" w:sz="0" w:space="0" w:color="auto"/>
        <w:left w:val="none" w:sz="0" w:space="0" w:color="auto"/>
        <w:bottom w:val="none" w:sz="0" w:space="0" w:color="auto"/>
        <w:right w:val="none" w:sz="0" w:space="0" w:color="auto"/>
      </w:divBdr>
    </w:div>
    <w:div w:id="1089078490">
      <w:bodyDiv w:val="1"/>
      <w:marLeft w:val="0"/>
      <w:marRight w:val="0"/>
      <w:marTop w:val="0"/>
      <w:marBottom w:val="0"/>
      <w:divBdr>
        <w:top w:val="none" w:sz="0" w:space="0" w:color="auto"/>
        <w:left w:val="none" w:sz="0" w:space="0" w:color="auto"/>
        <w:bottom w:val="none" w:sz="0" w:space="0" w:color="auto"/>
        <w:right w:val="none" w:sz="0" w:space="0" w:color="auto"/>
      </w:divBdr>
    </w:div>
    <w:div w:id="1106927297">
      <w:bodyDiv w:val="1"/>
      <w:marLeft w:val="0"/>
      <w:marRight w:val="0"/>
      <w:marTop w:val="0"/>
      <w:marBottom w:val="0"/>
      <w:divBdr>
        <w:top w:val="none" w:sz="0" w:space="0" w:color="auto"/>
        <w:left w:val="none" w:sz="0" w:space="0" w:color="auto"/>
        <w:bottom w:val="none" w:sz="0" w:space="0" w:color="auto"/>
        <w:right w:val="none" w:sz="0" w:space="0" w:color="auto"/>
      </w:divBdr>
    </w:div>
    <w:div w:id="1111628457">
      <w:bodyDiv w:val="1"/>
      <w:marLeft w:val="0"/>
      <w:marRight w:val="0"/>
      <w:marTop w:val="0"/>
      <w:marBottom w:val="0"/>
      <w:divBdr>
        <w:top w:val="none" w:sz="0" w:space="0" w:color="auto"/>
        <w:left w:val="none" w:sz="0" w:space="0" w:color="auto"/>
        <w:bottom w:val="none" w:sz="0" w:space="0" w:color="auto"/>
        <w:right w:val="none" w:sz="0" w:space="0" w:color="auto"/>
      </w:divBdr>
    </w:div>
    <w:div w:id="1135564871">
      <w:bodyDiv w:val="1"/>
      <w:marLeft w:val="0"/>
      <w:marRight w:val="0"/>
      <w:marTop w:val="0"/>
      <w:marBottom w:val="0"/>
      <w:divBdr>
        <w:top w:val="none" w:sz="0" w:space="0" w:color="auto"/>
        <w:left w:val="none" w:sz="0" w:space="0" w:color="auto"/>
        <w:bottom w:val="none" w:sz="0" w:space="0" w:color="auto"/>
        <w:right w:val="none" w:sz="0" w:space="0" w:color="auto"/>
      </w:divBdr>
    </w:div>
    <w:div w:id="1175534359">
      <w:bodyDiv w:val="1"/>
      <w:marLeft w:val="0"/>
      <w:marRight w:val="0"/>
      <w:marTop w:val="0"/>
      <w:marBottom w:val="0"/>
      <w:divBdr>
        <w:top w:val="none" w:sz="0" w:space="0" w:color="auto"/>
        <w:left w:val="none" w:sz="0" w:space="0" w:color="auto"/>
        <w:bottom w:val="none" w:sz="0" w:space="0" w:color="auto"/>
        <w:right w:val="none" w:sz="0" w:space="0" w:color="auto"/>
      </w:divBdr>
    </w:div>
    <w:div w:id="1236889916">
      <w:bodyDiv w:val="1"/>
      <w:marLeft w:val="0"/>
      <w:marRight w:val="0"/>
      <w:marTop w:val="0"/>
      <w:marBottom w:val="0"/>
      <w:divBdr>
        <w:top w:val="none" w:sz="0" w:space="0" w:color="auto"/>
        <w:left w:val="none" w:sz="0" w:space="0" w:color="auto"/>
        <w:bottom w:val="none" w:sz="0" w:space="0" w:color="auto"/>
        <w:right w:val="none" w:sz="0" w:space="0" w:color="auto"/>
      </w:divBdr>
    </w:div>
    <w:div w:id="1244922577">
      <w:bodyDiv w:val="1"/>
      <w:marLeft w:val="0"/>
      <w:marRight w:val="0"/>
      <w:marTop w:val="0"/>
      <w:marBottom w:val="0"/>
      <w:divBdr>
        <w:top w:val="none" w:sz="0" w:space="0" w:color="auto"/>
        <w:left w:val="none" w:sz="0" w:space="0" w:color="auto"/>
        <w:bottom w:val="none" w:sz="0" w:space="0" w:color="auto"/>
        <w:right w:val="none" w:sz="0" w:space="0" w:color="auto"/>
      </w:divBdr>
    </w:div>
    <w:div w:id="1254049443">
      <w:bodyDiv w:val="1"/>
      <w:marLeft w:val="0"/>
      <w:marRight w:val="0"/>
      <w:marTop w:val="0"/>
      <w:marBottom w:val="0"/>
      <w:divBdr>
        <w:top w:val="none" w:sz="0" w:space="0" w:color="auto"/>
        <w:left w:val="none" w:sz="0" w:space="0" w:color="auto"/>
        <w:bottom w:val="none" w:sz="0" w:space="0" w:color="auto"/>
        <w:right w:val="none" w:sz="0" w:space="0" w:color="auto"/>
      </w:divBdr>
    </w:div>
    <w:div w:id="1258103700">
      <w:bodyDiv w:val="1"/>
      <w:marLeft w:val="0"/>
      <w:marRight w:val="0"/>
      <w:marTop w:val="0"/>
      <w:marBottom w:val="0"/>
      <w:divBdr>
        <w:top w:val="none" w:sz="0" w:space="0" w:color="auto"/>
        <w:left w:val="none" w:sz="0" w:space="0" w:color="auto"/>
        <w:bottom w:val="none" w:sz="0" w:space="0" w:color="auto"/>
        <w:right w:val="none" w:sz="0" w:space="0" w:color="auto"/>
      </w:divBdr>
    </w:div>
    <w:div w:id="1262684064">
      <w:bodyDiv w:val="1"/>
      <w:marLeft w:val="0"/>
      <w:marRight w:val="0"/>
      <w:marTop w:val="0"/>
      <w:marBottom w:val="0"/>
      <w:divBdr>
        <w:top w:val="none" w:sz="0" w:space="0" w:color="auto"/>
        <w:left w:val="none" w:sz="0" w:space="0" w:color="auto"/>
        <w:bottom w:val="none" w:sz="0" w:space="0" w:color="auto"/>
        <w:right w:val="none" w:sz="0" w:space="0" w:color="auto"/>
      </w:divBdr>
    </w:div>
    <w:div w:id="1267811107">
      <w:bodyDiv w:val="1"/>
      <w:marLeft w:val="0"/>
      <w:marRight w:val="0"/>
      <w:marTop w:val="0"/>
      <w:marBottom w:val="0"/>
      <w:divBdr>
        <w:top w:val="none" w:sz="0" w:space="0" w:color="auto"/>
        <w:left w:val="none" w:sz="0" w:space="0" w:color="auto"/>
        <w:bottom w:val="none" w:sz="0" w:space="0" w:color="auto"/>
        <w:right w:val="none" w:sz="0" w:space="0" w:color="auto"/>
      </w:divBdr>
    </w:div>
    <w:div w:id="1285580940">
      <w:bodyDiv w:val="1"/>
      <w:marLeft w:val="0"/>
      <w:marRight w:val="0"/>
      <w:marTop w:val="0"/>
      <w:marBottom w:val="0"/>
      <w:divBdr>
        <w:top w:val="none" w:sz="0" w:space="0" w:color="auto"/>
        <w:left w:val="none" w:sz="0" w:space="0" w:color="auto"/>
        <w:bottom w:val="none" w:sz="0" w:space="0" w:color="auto"/>
        <w:right w:val="none" w:sz="0" w:space="0" w:color="auto"/>
      </w:divBdr>
    </w:div>
    <w:div w:id="1291014427">
      <w:bodyDiv w:val="1"/>
      <w:marLeft w:val="0"/>
      <w:marRight w:val="0"/>
      <w:marTop w:val="0"/>
      <w:marBottom w:val="0"/>
      <w:divBdr>
        <w:top w:val="none" w:sz="0" w:space="0" w:color="auto"/>
        <w:left w:val="none" w:sz="0" w:space="0" w:color="auto"/>
        <w:bottom w:val="none" w:sz="0" w:space="0" w:color="auto"/>
        <w:right w:val="none" w:sz="0" w:space="0" w:color="auto"/>
      </w:divBdr>
    </w:div>
    <w:div w:id="1312715948">
      <w:bodyDiv w:val="1"/>
      <w:marLeft w:val="0"/>
      <w:marRight w:val="0"/>
      <w:marTop w:val="0"/>
      <w:marBottom w:val="0"/>
      <w:divBdr>
        <w:top w:val="none" w:sz="0" w:space="0" w:color="auto"/>
        <w:left w:val="none" w:sz="0" w:space="0" w:color="auto"/>
        <w:bottom w:val="none" w:sz="0" w:space="0" w:color="auto"/>
        <w:right w:val="none" w:sz="0" w:space="0" w:color="auto"/>
      </w:divBdr>
    </w:div>
    <w:div w:id="1330139036">
      <w:bodyDiv w:val="1"/>
      <w:marLeft w:val="0"/>
      <w:marRight w:val="0"/>
      <w:marTop w:val="0"/>
      <w:marBottom w:val="0"/>
      <w:divBdr>
        <w:top w:val="none" w:sz="0" w:space="0" w:color="auto"/>
        <w:left w:val="none" w:sz="0" w:space="0" w:color="auto"/>
        <w:bottom w:val="none" w:sz="0" w:space="0" w:color="auto"/>
        <w:right w:val="none" w:sz="0" w:space="0" w:color="auto"/>
      </w:divBdr>
    </w:div>
    <w:div w:id="1395153579">
      <w:bodyDiv w:val="1"/>
      <w:marLeft w:val="0"/>
      <w:marRight w:val="0"/>
      <w:marTop w:val="0"/>
      <w:marBottom w:val="0"/>
      <w:divBdr>
        <w:top w:val="none" w:sz="0" w:space="0" w:color="auto"/>
        <w:left w:val="none" w:sz="0" w:space="0" w:color="auto"/>
        <w:bottom w:val="none" w:sz="0" w:space="0" w:color="auto"/>
        <w:right w:val="none" w:sz="0" w:space="0" w:color="auto"/>
      </w:divBdr>
    </w:div>
    <w:div w:id="1409956253">
      <w:bodyDiv w:val="1"/>
      <w:marLeft w:val="0"/>
      <w:marRight w:val="0"/>
      <w:marTop w:val="0"/>
      <w:marBottom w:val="0"/>
      <w:divBdr>
        <w:top w:val="none" w:sz="0" w:space="0" w:color="auto"/>
        <w:left w:val="none" w:sz="0" w:space="0" w:color="auto"/>
        <w:bottom w:val="none" w:sz="0" w:space="0" w:color="auto"/>
        <w:right w:val="none" w:sz="0" w:space="0" w:color="auto"/>
      </w:divBdr>
    </w:div>
    <w:div w:id="1468471304">
      <w:bodyDiv w:val="1"/>
      <w:marLeft w:val="0"/>
      <w:marRight w:val="0"/>
      <w:marTop w:val="0"/>
      <w:marBottom w:val="0"/>
      <w:divBdr>
        <w:top w:val="none" w:sz="0" w:space="0" w:color="auto"/>
        <w:left w:val="none" w:sz="0" w:space="0" w:color="auto"/>
        <w:bottom w:val="none" w:sz="0" w:space="0" w:color="auto"/>
        <w:right w:val="none" w:sz="0" w:space="0" w:color="auto"/>
      </w:divBdr>
    </w:div>
    <w:div w:id="1505898178">
      <w:bodyDiv w:val="1"/>
      <w:marLeft w:val="0"/>
      <w:marRight w:val="0"/>
      <w:marTop w:val="0"/>
      <w:marBottom w:val="0"/>
      <w:divBdr>
        <w:top w:val="none" w:sz="0" w:space="0" w:color="auto"/>
        <w:left w:val="none" w:sz="0" w:space="0" w:color="auto"/>
        <w:bottom w:val="none" w:sz="0" w:space="0" w:color="auto"/>
        <w:right w:val="none" w:sz="0" w:space="0" w:color="auto"/>
      </w:divBdr>
    </w:div>
    <w:div w:id="1582642615">
      <w:bodyDiv w:val="1"/>
      <w:marLeft w:val="0"/>
      <w:marRight w:val="0"/>
      <w:marTop w:val="0"/>
      <w:marBottom w:val="0"/>
      <w:divBdr>
        <w:top w:val="none" w:sz="0" w:space="0" w:color="auto"/>
        <w:left w:val="none" w:sz="0" w:space="0" w:color="auto"/>
        <w:bottom w:val="none" w:sz="0" w:space="0" w:color="auto"/>
        <w:right w:val="none" w:sz="0" w:space="0" w:color="auto"/>
      </w:divBdr>
    </w:div>
    <w:div w:id="1589272414">
      <w:bodyDiv w:val="1"/>
      <w:marLeft w:val="0"/>
      <w:marRight w:val="0"/>
      <w:marTop w:val="0"/>
      <w:marBottom w:val="0"/>
      <w:divBdr>
        <w:top w:val="none" w:sz="0" w:space="0" w:color="auto"/>
        <w:left w:val="none" w:sz="0" w:space="0" w:color="auto"/>
        <w:bottom w:val="none" w:sz="0" w:space="0" w:color="auto"/>
        <w:right w:val="none" w:sz="0" w:space="0" w:color="auto"/>
      </w:divBdr>
    </w:div>
    <w:div w:id="1594702831">
      <w:bodyDiv w:val="1"/>
      <w:marLeft w:val="0"/>
      <w:marRight w:val="0"/>
      <w:marTop w:val="0"/>
      <w:marBottom w:val="0"/>
      <w:divBdr>
        <w:top w:val="none" w:sz="0" w:space="0" w:color="auto"/>
        <w:left w:val="none" w:sz="0" w:space="0" w:color="auto"/>
        <w:bottom w:val="none" w:sz="0" w:space="0" w:color="auto"/>
        <w:right w:val="none" w:sz="0" w:space="0" w:color="auto"/>
      </w:divBdr>
    </w:div>
    <w:div w:id="1623462021">
      <w:bodyDiv w:val="1"/>
      <w:marLeft w:val="0"/>
      <w:marRight w:val="0"/>
      <w:marTop w:val="0"/>
      <w:marBottom w:val="0"/>
      <w:divBdr>
        <w:top w:val="none" w:sz="0" w:space="0" w:color="auto"/>
        <w:left w:val="none" w:sz="0" w:space="0" w:color="auto"/>
        <w:bottom w:val="none" w:sz="0" w:space="0" w:color="auto"/>
        <w:right w:val="none" w:sz="0" w:space="0" w:color="auto"/>
      </w:divBdr>
    </w:div>
    <w:div w:id="1641839161">
      <w:bodyDiv w:val="1"/>
      <w:marLeft w:val="0"/>
      <w:marRight w:val="0"/>
      <w:marTop w:val="0"/>
      <w:marBottom w:val="0"/>
      <w:divBdr>
        <w:top w:val="none" w:sz="0" w:space="0" w:color="auto"/>
        <w:left w:val="none" w:sz="0" w:space="0" w:color="auto"/>
        <w:bottom w:val="none" w:sz="0" w:space="0" w:color="auto"/>
        <w:right w:val="none" w:sz="0" w:space="0" w:color="auto"/>
      </w:divBdr>
    </w:div>
    <w:div w:id="1645961437">
      <w:bodyDiv w:val="1"/>
      <w:marLeft w:val="0"/>
      <w:marRight w:val="0"/>
      <w:marTop w:val="0"/>
      <w:marBottom w:val="0"/>
      <w:divBdr>
        <w:top w:val="none" w:sz="0" w:space="0" w:color="auto"/>
        <w:left w:val="none" w:sz="0" w:space="0" w:color="auto"/>
        <w:bottom w:val="none" w:sz="0" w:space="0" w:color="auto"/>
        <w:right w:val="none" w:sz="0" w:space="0" w:color="auto"/>
      </w:divBdr>
    </w:div>
    <w:div w:id="1723284372">
      <w:bodyDiv w:val="1"/>
      <w:marLeft w:val="0"/>
      <w:marRight w:val="0"/>
      <w:marTop w:val="0"/>
      <w:marBottom w:val="0"/>
      <w:divBdr>
        <w:top w:val="none" w:sz="0" w:space="0" w:color="auto"/>
        <w:left w:val="none" w:sz="0" w:space="0" w:color="auto"/>
        <w:bottom w:val="none" w:sz="0" w:space="0" w:color="auto"/>
        <w:right w:val="none" w:sz="0" w:space="0" w:color="auto"/>
      </w:divBdr>
    </w:div>
    <w:div w:id="1775662855">
      <w:bodyDiv w:val="1"/>
      <w:marLeft w:val="0"/>
      <w:marRight w:val="0"/>
      <w:marTop w:val="0"/>
      <w:marBottom w:val="0"/>
      <w:divBdr>
        <w:top w:val="none" w:sz="0" w:space="0" w:color="auto"/>
        <w:left w:val="none" w:sz="0" w:space="0" w:color="auto"/>
        <w:bottom w:val="none" w:sz="0" w:space="0" w:color="auto"/>
        <w:right w:val="none" w:sz="0" w:space="0" w:color="auto"/>
      </w:divBdr>
    </w:div>
    <w:div w:id="1786777350">
      <w:bodyDiv w:val="1"/>
      <w:marLeft w:val="0"/>
      <w:marRight w:val="0"/>
      <w:marTop w:val="0"/>
      <w:marBottom w:val="0"/>
      <w:divBdr>
        <w:top w:val="none" w:sz="0" w:space="0" w:color="auto"/>
        <w:left w:val="none" w:sz="0" w:space="0" w:color="auto"/>
        <w:bottom w:val="none" w:sz="0" w:space="0" w:color="auto"/>
        <w:right w:val="none" w:sz="0" w:space="0" w:color="auto"/>
      </w:divBdr>
    </w:div>
    <w:div w:id="1819687709">
      <w:bodyDiv w:val="1"/>
      <w:marLeft w:val="0"/>
      <w:marRight w:val="0"/>
      <w:marTop w:val="0"/>
      <w:marBottom w:val="0"/>
      <w:divBdr>
        <w:top w:val="none" w:sz="0" w:space="0" w:color="auto"/>
        <w:left w:val="none" w:sz="0" w:space="0" w:color="auto"/>
        <w:bottom w:val="none" w:sz="0" w:space="0" w:color="auto"/>
        <w:right w:val="none" w:sz="0" w:space="0" w:color="auto"/>
      </w:divBdr>
    </w:div>
    <w:div w:id="1829713974">
      <w:bodyDiv w:val="1"/>
      <w:marLeft w:val="0"/>
      <w:marRight w:val="0"/>
      <w:marTop w:val="0"/>
      <w:marBottom w:val="0"/>
      <w:divBdr>
        <w:top w:val="none" w:sz="0" w:space="0" w:color="auto"/>
        <w:left w:val="none" w:sz="0" w:space="0" w:color="auto"/>
        <w:bottom w:val="none" w:sz="0" w:space="0" w:color="auto"/>
        <w:right w:val="none" w:sz="0" w:space="0" w:color="auto"/>
      </w:divBdr>
    </w:div>
    <w:div w:id="1883398017">
      <w:bodyDiv w:val="1"/>
      <w:marLeft w:val="0"/>
      <w:marRight w:val="0"/>
      <w:marTop w:val="0"/>
      <w:marBottom w:val="0"/>
      <w:divBdr>
        <w:top w:val="none" w:sz="0" w:space="0" w:color="auto"/>
        <w:left w:val="none" w:sz="0" w:space="0" w:color="auto"/>
        <w:bottom w:val="none" w:sz="0" w:space="0" w:color="auto"/>
        <w:right w:val="none" w:sz="0" w:space="0" w:color="auto"/>
      </w:divBdr>
    </w:div>
    <w:div w:id="1883442643">
      <w:bodyDiv w:val="1"/>
      <w:marLeft w:val="0"/>
      <w:marRight w:val="0"/>
      <w:marTop w:val="0"/>
      <w:marBottom w:val="0"/>
      <w:divBdr>
        <w:top w:val="none" w:sz="0" w:space="0" w:color="auto"/>
        <w:left w:val="none" w:sz="0" w:space="0" w:color="auto"/>
        <w:bottom w:val="none" w:sz="0" w:space="0" w:color="auto"/>
        <w:right w:val="none" w:sz="0" w:space="0" w:color="auto"/>
      </w:divBdr>
    </w:div>
    <w:div w:id="1944990206">
      <w:bodyDiv w:val="1"/>
      <w:marLeft w:val="0"/>
      <w:marRight w:val="0"/>
      <w:marTop w:val="0"/>
      <w:marBottom w:val="0"/>
      <w:divBdr>
        <w:top w:val="none" w:sz="0" w:space="0" w:color="auto"/>
        <w:left w:val="none" w:sz="0" w:space="0" w:color="auto"/>
        <w:bottom w:val="none" w:sz="0" w:space="0" w:color="auto"/>
        <w:right w:val="none" w:sz="0" w:space="0" w:color="auto"/>
      </w:divBdr>
    </w:div>
    <w:div w:id="2002197213">
      <w:bodyDiv w:val="1"/>
      <w:marLeft w:val="0"/>
      <w:marRight w:val="0"/>
      <w:marTop w:val="0"/>
      <w:marBottom w:val="0"/>
      <w:divBdr>
        <w:top w:val="none" w:sz="0" w:space="0" w:color="auto"/>
        <w:left w:val="none" w:sz="0" w:space="0" w:color="auto"/>
        <w:bottom w:val="none" w:sz="0" w:space="0" w:color="auto"/>
        <w:right w:val="none" w:sz="0" w:space="0" w:color="auto"/>
      </w:divBdr>
    </w:div>
    <w:div w:id="2010131050">
      <w:bodyDiv w:val="1"/>
      <w:marLeft w:val="0"/>
      <w:marRight w:val="0"/>
      <w:marTop w:val="0"/>
      <w:marBottom w:val="0"/>
      <w:divBdr>
        <w:top w:val="none" w:sz="0" w:space="0" w:color="auto"/>
        <w:left w:val="none" w:sz="0" w:space="0" w:color="auto"/>
        <w:bottom w:val="none" w:sz="0" w:space="0" w:color="auto"/>
        <w:right w:val="none" w:sz="0" w:space="0" w:color="auto"/>
      </w:divBdr>
    </w:div>
    <w:div w:id="2035689407">
      <w:bodyDiv w:val="1"/>
      <w:marLeft w:val="0"/>
      <w:marRight w:val="0"/>
      <w:marTop w:val="0"/>
      <w:marBottom w:val="0"/>
      <w:divBdr>
        <w:top w:val="none" w:sz="0" w:space="0" w:color="auto"/>
        <w:left w:val="none" w:sz="0" w:space="0" w:color="auto"/>
        <w:bottom w:val="none" w:sz="0" w:space="0" w:color="auto"/>
        <w:right w:val="none" w:sz="0" w:space="0" w:color="auto"/>
      </w:divBdr>
    </w:div>
    <w:div w:id="2047027144">
      <w:bodyDiv w:val="1"/>
      <w:marLeft w:val="0"/>
      <w:marRight w:val="0"/>
      <w:marTop w:val="0"/>
      <w:marBottom w:val="0"/>
      <w:divBdr>
        <w:top w:val="none" w:sz="0" w:space="0" w:color="auto"/>
        <w:left w:val="none" w:sz="0" w:space="0" w:color="auto"/>
        <w:bottom w:val="none" w:sz="0" w:space="0" w:color="auto"/>
        <w:right w:val="none" w:sz="0" w:space="0" w:color="auto"/>
      </w:divBdr>
    </w:div>
    <w:div w:id="2069568492">
      <w:bodyDiv w:val="1"/>
      <w:marLeft w:val="0"/>
      <w:marRight w:val="0"/>
      <w:marTop w:val="0"/>
      <w:marBottom w:val="0"/>
      <w:divBdr>
        <w:top w:val="none" w:sz="0" w:space="0" w:color="auto"/>
        <w:left w:val="none" w:sz="0" w:space="0" w:color="auto"/>
        <w:bottom w:val="none" w:sz="0" w:space="0" w:color="auto"/>
        <w:right w:val="none" w:sz="0" w:space="0" w:color="auto"/>
      </w:divBdr>
    </w:div>
    <w:div w:id="2089422355">
      <w:bodyDiv w:val="1"/>
      <w:marLeft w:val="0"/>
      <w:marRight w:val="0"/>
      <w:marTop w:val="0"/>
      <w:marBottom w:val="0"/>
      <w:divBdr>
        <w:top w:val="none" w:sz="0" w:space="0" w:color="auto"/>
        <w:left w:val="none" w:sz="0" w:space="0" w:color="auto"/>
        <w:bottom w:val="none" w:sz="0" w:space="0" w:color="auto"/>
        <w:right w:val="none" w:sz="0" w:space="0" w:color="auto"/>
      </w:divBdr>
    </w:div>
    <w:div w:id="2102138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Abbeywood</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82ed513-2835-4dd1-b542-3d75ae70e63c" xsi:nil="true"/>
    <lcf76f155ced4ddcb4097134ff3c332f xmlns="a1c12be4-f1c9-4933-9c30-f95527b6b797">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CE82F410868FB4EB650ABFA66020C29" ma:contentTypeVersion="12" ma:contentTypeDescription="Create a new document." ma:contentTypeScope="" ma:versionID="9367f2ae28d622be25a27cb89b1c5e28">
  <xsd:schema xmlns:xsd="http://www.w3.org/2001/XMLSchema" xmlns:xs="http://www.w3.org/2001/XMLSchema" xmlns:p="http://schemas.microsoft.com/office/2006/metadata/properties" xmlns:ns2="a1c12be4-f1c9-4933-9c30-f95527b6b797" xmlns:ns3="f82ed513-2835-4dd1-b542-3d75ae70e63c" targetNamespace="http://schemas.microsoft.com/office/2006/metadata/properties" ma:root="true" ma:fieldsID="06d6e65a8aa1260a1706ef8bd508211a" ns2:_="" ns3:_="">
    <xsd:import namespace="a1c12be4-f1c9-4933-9c30-f95527b6b797"/>
    <xsd:import namespace="f82ed513-2835-4dd1-b542-3d75ae70e63c"/>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SearchPropertie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c12be4-f1c9-4933-9c30-f95527b6b7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2d699a3f-fc70-4175-bbda-c57ab3d6b6df" ma:termSetId="09814cd3-568e-fe90-9814-8d621ff8fb84" ma:anchorId="fba54fb3-c3e1-fe81-a776-ca4b69148c4d" ma:open="true" ma:isKeyword="false">
      <xsd:complexType>
        <xsd:sequence>
          <xsd:element ref="pc:Terms" minOccurs="0" maxOccurs="1"/>
        </xsd:sequence>
      </xsd:complex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2ed513-2835-4dd1-b542-3d75ae70e63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6ec6e181-3f16-4fe5-8642-93c05381d4ec}" ma:internalName="TaxCatchAll" ma:showField="CatchAllData" ma:web="f82ed513-2835-4dd1-b542-3d75ae70e63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MIn96</b:Tag>
    <b:SourceType>Misc</b:SourceType>
    <b:Guid>{62E62A36-ED9D-40A2-A5B8-7A749841CA56}</b:Guid>
    <b:Title>Defence Standard 00-56 Issue 2</b:Title>
    <b:Year>1996</b:Year>
    <b:Author>
      <b:Author>
        <b:Corporate>Ministry of Defence</b:Corporate>
      </b:Author>
    </b:Author>
    <b:City>London</b:City>
    <b:Publisher>Ministry of Defence</b:Publisher>
    <b:RefOrder>3</b:RefOrder>
  </b:Source>
  <b:Source>
    <b:Tag>Min18</b:Tag>
    <b:SourceType>Misc</b:SourceType>
    <b:Guid>{C763C0DD-CF90-4203-A20A-E1CE9BE998FD}</b:Guid>
    <b:Title>Defence Standard 00-035 Issue 5 Environmental Handbook for Defence Materiel Part 4 - Natural Environments</b:Title>
    <b:Year>2018</b:Year>
    <b:Author>
      <b:Author>
        <b:Corporate>Ministry of Defence</b:Corporate>
      </b:Author>
    </b:Author>
    <b:City>London</b:City>
    <b:Publisher>Ministry of Defence</b:Publisher>
    <b:RefOrder>2</b:RefOrder>
  </b:Source>
  <b:Source>
    <b:Tag>Cli23</b:Tag>
    <b:SourceType>Report</b:SourceType>
    <b:Guid>{9D94EADA-EA60-4FF7-AC38-ED9EA8D819C3}</b:Guid>
    <b:Title>Report of the Armoured Cavalry Programme (Ajax) Lessons Learned Review</b:Title>
    <b:Year>2023</b:Year>
    <b:City>London</b:City>
    <b:Publisher>MInistry of Defence</b:Publisher>
    <b:Author>
      <b:Author>
        <b:NameList>
          <b:Person>
            <b:Last>KC</b:Last>
            <b:First>Clive</b:First>
            <b:Middle>Sheldon</b:Middle>
          </b:Person>
        </b:NameList>
      </b:Author>
    </b:Author>
    <b:RefOrder>1</b:RefOrder>
  </b:Source>
  <b:Source>
    <b:Tag>Par74</b:Tag>
    <b:SourceType>Misc</b:SourceType>
    <b:Guid>{F7EF8693-F6F3-4D0F-8E23-DDBC219B5A90}</b:Guid>
    <b:Title>Health and Safety at Work etc. Act 1974</b:Title>
    <b:Year>1974</b:Year>
    <b:Publisher>Parliment of the United Kingdom</b:Publisher>
    <b:City>London</b:City>
    <b:Author>
      <b:Author>
        <b:Corporate>Parliment of the United Kingdom</b:Corporate>
      </b:Author>
    </b:Author>
    <b:RefOrder>5</b:RefOrder>
  </b:Source>
  <b:Source>
    <b:Tag>Int17</b:Tag>
    <b:SourceType>InternetSite</b:SourceType>
    <b:Guid>{49236E59-4CAA-4B02-800D-D2D5948FF49E}</b:Guid>
    <b:Title>The Dirty Dozen</b:Title>
    <b:Year>2017</b:Year>
    <b:Author>
      <b:Author>
        <b:Corporate>Integrated Human Factors</b:Corporate>
      </b:Author>
    </b:Author>
    <b:ProductionCompany>IHF Limited</b:ProductionCompany>
    <b:Month>March</b:Month>
    <b:Day>6</b:Day>
    <b:YearAccessed>2025</b:YearAccessed>
    <b:MonthAccessed>7</b:MonthAccessed>
    <b:DayAccessed>15</b:DayAccessed>
    <b:URL>https://www.ihf.co.uk/the-dirty-dozen/</b:URL>
    <b:RefOrder>6</b:RefOrder>
  </b:Source>
  <b:Source>
    <b:Tag>Gen21</b:Tag>
    <b:SourceType>Misc</b:SourceType>
    <b:Guid>{B6A8B079-9E7F-4724-8E18-258976312E63}</b:Guid>
    <b:Title>AJAX Variant Datasheet</b:Title>
    <b:Year>2021</b:Year>
    <b:Publisher> General Dynamics Land Systems–UK (GDLS–UK)</b:Publisher>
    <b:City>London</b:City>
    <b:Author>
      <b:Author>
        <b:Corporate>General Dynamics</b:Corporate>
      </b:Author>
    </b:Author>
    <b:RefOrder>4</b:RefOrder>
  </b:Source>
  <b:Source>
    <b:Tag>Par04</b:Tag>
    <b:SourceType>Misc</b:SourceType>
    <b:Guid>{000BEE52-A853-4554-8DC0-807C6E7BAEF5}</b:Guid>
    <b:Author>
      <b:Author>
        <b:Corporate>Parliament of the United Kingdom</b:Corporate>
      </b:Author>
    </b:Author>
    <b:Title>Housing Act 2004</b:Title>
    <b:Year>2004</b:Year>
    <b:City>London</b:City>
    <b:Publisher>Parliament of the United Kingdom</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3B67B7-ECDB-467D-85AD-B71824B88397}">
  <ds:schemaRefs>
    <ds:schemaRef ds:uri="http://schemas.microsoft.com/sharepoint/v3/contenttype/forms"/>
  </ds:schemaRefs>
</ds:datastoreItem>
</file>

<file path=customXml/itemProps3.xml><?xml version="1.0" encoding="utf-8"?>
<ds:datastoreItem xmlns:ds="http://schemas.openxmlformats.org/officeDocument/2006/customXml" ds:itemID="{569F3940-5075-409F-99FC-626E1D7764BB}">
  <ds:schemaRefs>
    <ds:schemaRef ds:uri="http://schemas.microsoft.com/office/2006/metadata/properties"/>
    <ds:schemaRef ds:uri="http://schemas.microsoft.com/office/infopath/2007/PartnerControls"/>
    <ds:schemaRef ds:uri="f82ed513-2835-4dd1-b542-3d75ae70e63c"/>
    <ds:schemaRef ds:uri="a1c12be4-f1c9-4933-9c30-f95527b6b797"/>
  </ds:schemaRefs>
</ds:datastoreItem>
</file>

<file path=customXml/itemProps4.xml><?xml version="1.0" encoding="utf-8"?>
<ds:datastoreItem xmlns:ds="http://schemas.openxmlformats.org/officeDocument/2006/customXml" ds:itemID="{ADC90834-79EB-44F4-9032-E480FEFC0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c12be4-f1c9-4933-9c30-f95527b6b797"/>
    <ds:schemaRef ds:uri="f82ed513-2835-4dd1-b542-3d75ae70e6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000AA36-3202-4D91-A370-77FB7832E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10</Pages>
  <Words>1991</Words>
  <Characters>11352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ACDA 5013: Risk Assessment &amp; ALARP Justification</vt:lpstr>
    </vt:vector>
  </TitlesOfParts>
  <Company>DNO</Company>
  <LinksUpToDate>false</LinksUpToDate>
  <CharactersWithSpaces>13317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 5013: Risk Assessment &amp; ALARP Justification</dc:title>
  <dc:subject/>
  <dc:creator>Michael Sloan</dc:creator>
  <cp:keywords/>
  <dc:description/>
  <cp:lastModifiedBy>Michael Sloan (2319555)</cp:lastModifiedBy>
  <cp:revision>8</cp:revision>
  <dcterms:created xsi:type="dcterms:W3CDTF">2022-03-09T07:28:00Z</dcterms:created>
  <dcterms:modified xsi:type="dcterms:W3CDTF">2025-07-18T13:02:00Z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0x0101005CE82F410868FB4EB650ABFA66020C29</vt:lpwstr>
  </property>
  <property fmtid="{D5CDD505-2E9C-101B-9397-08002B2CF9AE}" pid="3" name="Order">
    <vt:r8>2400</vt:r8>
  </property>
  <property fmtid="{D5CDD505-2E9C-101B-9397-08002B2CF9AE}" pid="4" name="xd_Signature">
    <vt:bool>false</vt:bool>
  </property>
  <property fmtid="{D5CDD505-2E9C-101B-9397-08002B2CF9AE}" pid="5" name="xd_ProgID">
    <vt:lpwstr/>
  </property>
  <property fmtid="{D5CDD505-2E9C-101B-9397-08002B2CF9AE}" pid="6" name="_ExtendedDescription">
    <vt:lpwstr/>
  </property>
  <property fmtid="{D5CDD505-2E9C-101B-9397-08002B2CF9AE}" pid="7" name="TriggerFlowInfo">
    <vt:lpwstr/>
  </property>
  <property fmtid="{D5CDD505-2E9C-101B-9397-08002B2CF9AE}" pid="8" name="ComplianceAssetId">
    <vt:lpwstr/>
  </property>
  <property fmtid="{D5CDD505-2E9C-101B-9397-08002B2CF9AE}" pid="9" name="TemplateUrl">
    <vt:lpwstr/>
  </property>
</Properties>
</file>