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CCB09" w14:textId="77777777" w:rsidR="009B0D7A" w:rsidRDefault="00A55517" w:rsidP="00DE54DE">
      <w:pPr>
        <w:spacing w:after="2056" w:line="360" w:lineRule="auto"/>
        <w:ind w:left="0" w:firstLine="0"/>
      </w:pPr>
      <w:r>
        <w:rPr>
          <w:noProof/>
        </w:rPr>
        <w:drawing>
          <wp:inline distT="0" distB="0" distL="0" distR="0" wp14:anchorId="0C8AB8BF" wp14:editId="40DE1EA6">
            <wp:extent cx="3347048" cy="1339785"/>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7"/>
                    <a:stretch>
                      <a:fillRect/>
                    </a:stretch>
                  </pic:blipFill>
                  <pic:spPr>
                    <a:xfrm>
                      <a:off x="0" y="0"/>
                      <a:ext cx="3347048" cy="1339785"/>
                    </a:xfrm>
                    <a:prstGeom prst="rect">
                      <a:avLst/>
                    </a:prstGeom>
                  </pic:spPr>
                </pic:pic>
              </a:graphicData>
            </a:graphic>
          </wp:inline>
        </w:drawing>
      </w:r>
    </w:p>
    <w:p w14:paraId="7BA5FCE5" w14:textId="77777777" w:rsidR="009B0D7A" w:rsidRDefault="00A55517" w:rsidP="00DE54DE">
      <w:pPr>
        <w:spacing w:after="2044" w:line="360" w:lineRule="auto"/>
        <w:ind w:left="0" w:firstLine="0"/>
        <w:jc w:val="center"/>
      </w:pPr>
      <w:r>
        <w:rPr>
          <w:b/>
          <w:color w:val="1D2124"/>
          <w:sz w:val="36"/>
        </w:rPr>
        <w:t xml:space="preserve">BMHP6029-Psychopathological Classifications and Provisions </w:t>
      </w:r>
    </w:p>
    <w:p w14:paraId="29E3DB39" w14:textId="77777777" w:rsidR="009B0D7A" w:rsidRDefault="00A55517" w:rsidP="00DE54DE">
      <w:pPr>
        <w:spacing w:after="178" w:line="360" w:lineRule="auto"/>
        <w:ind w:left="0" w:firstLine="0"/>
      </w:pPr>
      <w:r>
        <w:rPr>
          <w:b/>
          <w:sz w:val="32"/>
        </w:rPr>
        <w:t>Component 2: Written Assignment (Report)</w:t>
      </w:r>
      <w:r>
        <w:rPr>
          <w:color w:val="1D2124"/>
          <w:sz w:val="32"/>
        </w:rPr>
        <w:t xml:space="preserve">  </w:t>
      </w:r>
    </w:p>
    <w:p w14:paraId="255DE144" w14:textId="5D51121C" w:rsidR="009B0D7A" w:rsidRDefault="00A55517" w:rsidP="00DE54DE">
      <w:pPr>
        <w:spacing w:after="170" w:line="360" w:lineRule="auto"/>
        <w:ind w:left="-5"/>
      </w:pPr>
      <w:r>
        <w:rPr>
          <w:b/>
          <w:color w:val="1D2124"/>
          <w:sz w:val="32"/>
        </w:rPr>
        <w:t>Student name</w:t>
      </w:r>
      <w:r w:rsidR="00C52100">
        <w:rPr>
          <w:b/>
          <w:color w:val="1D2124"/>
          <w:sz w:val="32"/>
        </w:rPr>
        <w:t xml:space="preserve">: Salma Begum Lipi </w:t>
      </w:r>
      <w:r>
        <w:rPr>
          <w:b/>
          <w:color w:val="1D2124"/>
          <w:sz w:val="32"/>
        </w:rPr>
        <w:t xml:space="preserve"> </w:t>
      </w:r>
    </w:p>
    <w:p w14:paraId="6165BDAB" w14:textId="244DAF9C" w:rsidR="00C52100" w:rsidRDefault="00A55517" w:rsidP="00C52100">
      <w:pPr>
        <w:spacing w:after="5296" w:line="360" w:lineRule="auto"/>
        <w:ind w:left="-5"/>
        <w:rPr>
          <w:b/>
          <w:color w:val="1D2124"/>
          <w:sz w:val="32"/>
        </w:rPr>
      </w:pPr>
      <w:r>
        <w:rPr>
          <w:b/>
          <w:color w:val="1D2124"/>
          <w:sz w:val="32"/>
        </w:rPr>
        <w:t>Student number</w:t>
      </w:r>
      <w:r w:rsidR="00C52100">
        <w:rPr>
          <w:b/>
          <w:color w:val="1D2124"/>
          <w:sz w:val="32"/>
        </w:rPr>
        <w:t xml:space="preserve">:2328718 </w:t>
      </w:r>
    </w:p>
    <w:p w14:paraId="021C17F1" w14:textId="09D89BED" w:rsidR="00C52100" w:rsidRPr="00413FB5" w:rsidRDefault="00413FB5" w:rsidP="00C52100">
      <w:pPr>
        <w:spacing w:after="5296" w:line="360" w:lineRule="auto"/>
        <w:ind w:left="-5"/>
        <w:rPr>
          <w:lang w:val="en-GB"/>
        </w:rPr>
      </w:pPr>
      <w:r>
        <w:rPr>
          <w:lang w:val="en-GB"/>
        </w:rPr>
        <w:lastRenderedPageBreak/>
        <w:t>Acknowledgement</w:t>
      </w:r>
      <w:r w:rsidR="00F81C5B">
        <w:rPr>
          <w:lang w:val="en-GB"/>
        </w:rPr>
        <w:t xml:space="preserve"> of the use of AI tools: I Can Confirm that I have not used any AI tools in the research and creation of this assignment.</w:t>
      </w:r>
    </w:p>
    <w:p w14:paraId="45C53DA7" w14:textId="77777777" w:rsidR="00C52100" w:rsidRDefault="00C52100" w:rsidP="00C52100">
      <w:pPr>
        <w:spacing w:after="5296" w:line="360" w:lineRule="auto"/>
        <w:ind w:left="-5"/>
        <w:rPr>
          <w:b/>
          <w:bCs/>
          <w:lang w:val="en-GB"/>
        </w:rPr>
      </w:pPr>
    </w:p>
    <w:p w14:paraId="5D59F1C6" w14:textId="79AFF944" w:rsidR="00C52100" w:rsidRPr="00C52100" w:rsidRDefault="00C52100" w:rsidP="00C52100">
      <w:pPr>
        <w:spacing w:after="5296" w:line="360" w:lineRule="auto"/>
        <w:ind w:left="-5"/>
        <w:rPr>
          <w:b/>
          <w:bCs/>
          <w:lang w:val="en-GB"/>
        </w:rPr>
      </w:pPr>
    </w:p>
    <w:p w14:paraId="410C05EB" w14:textId="45846309" w:rsidR="00D14329" w:rsidRPr="00D14329" w:rsidRDefault="00C52100" w:rsidP="00C52100">
      <w:pPr>
        <w:spacing w:line="360" w:lineRule="auto"/>
        <w:ind w:left="0" w:firstLine="0"/>
        <w:rPr>
          <w:lang w:val="en-GB"/>
        </w:rPr>
      </w:pPr>
      <w:proofErr w:type="gramStart"/>
      <w:r w:rsidRPr="00C52100">
        <w:rPr>
          <w:b/>
          <w:bCs/>
          <w:lang w:val="en-GB"/>
        </w:rPr>
        <w:lastRenderedPageBreak/>
        <w:t xml:space="preserve">Introduction </w:t>
      </w:r>
      <w:r>
        <w:rPr>
          <w:lang w:val="en-GB"/>
        </w:rPr>
        <w:t>:</w:t>
      </w:r>
      <w:r w:rsidR="00D14329" w:rsidRPr="00D14329">
        <w:rPr>
          <w:lang w:val="en-GB"/>
        </w:rPr>
        <w:t>In</w:t>
      </w:r>
      <w:proofErr w:type="gramEnd"/>
      <w:r w:rsidR="00D14329" w:rsidRPr="00D14329">
        <w:rPr>
          <w:lang w:val="en-GB"/>
        </w:rPr>
        <w:t xml:space="preserve"> ICD-11, the neurodevelopmental disorders grouping includes diseases of development. The paper is dedicated to mild abnormality of intellectual development (6A00.0). The disorder is marked by subaverage intellectual performance and deficits in adaptive behaviour that have their onset in the developmental period, but the degree of impairment varies widely among individuals. The term "learning disability" is also often used in services and research in the UK, which might generate some confusion, as "learning disability" may have a distinct connotation worldwide (</w:t>
      </w:r>
      <w:proofErr w:type="spellStart"/>
      <w:r w:rsidR="00D14329" w:rsidRPr="00D14329">
        <w:rPr>
          <w:lang w:val="en-GB"/>
        </w:rPr>
        <w:t>Totsika</w:t>
      </w:r>
      <w:proofErr w:type="spellEnd"/>
      <w:r w:rsidR="00D14329" w:rsidRPr="00D14329">
        <w:rPr>
          <w:lang w:val="en-GB"/>
        </w:rPr>
        <w:t xml:space="preserve"> et al., 2025). The latest UK study by </w:t>
      </w:r>
      <w:proofErr w:type="spellStart"/>
      <w:r w:rsidR="00D14329" w:rsidRPr="00D14329">
        <w:rPr>
          <w:lang w:val="en-GB"/>
        </w:rPr>
        <w:t>Totsika</w:t>
      </w:r>
      <w:proofErr w:type="spellEnd"/>
      <w:r w:rsidR="00D14329" w:rsidRPr="00D14329">
        <w:rPr>
          <w:lang w:val="en-GB"/>
        </w:rPr>
        <w:t xml:space="preserve"> et al. includes specialist services across the UK and expressly utilizes intellectual disability within the framework of UK learning disability.</w:t>
      </w:r>
    </w:p>
    <w:p w14:paraId="054BD494" w14:textId="77777777" w:rsidR="00D14329" w:rsidRPr="00D14329" w:rsidRDefault="00D14329" w:rsidP="00D14329">
      <w:pPr>
        <w:spacing w:line="360" w:lineRule="auto"/>
        <w:rPr>
          <w:lang w:val="en-GB"/>
        </w:rPr>
      </w:pPr>
    </w:p>
    <w:p w14:paraId="4926DAD3" w14:textId="77777777" w:rsidR="00D14329" w:rsidRPr="00D14329" w:rsidRDefault="00D14329" w:rsidP="00D14329">
      <w:pPr>
        <w:spacing w:line="360" w:lineRule="auto"/>
        <w:rPr>
          <w:lang w:val="en-GB"/>
        </w:rPr>
      </w:pPr>
      <w:r w:rsidRPr="00D14329">
        <w:rPr>
          <w:lang w:val="en-GB"/>
        </w:rPr>
        <w:t>The wording for this category of conditions has also been revised in ICD-11. Cooper and Kogan (2023) state that the old and stigmatizing term "mental retardation" has been replaced by "disorders of intellectual development," and severity can be classified as mild, moderate, severe, profound, or provisional. This study provides a comprehensive review of the categorization and diagnosis of mild intellectual developmental disorder, treatment and rehabilitation, current controversies regarding neurodiversity, and recommendations for practice, policy, and research.</w:t>
      </w:r>
    </w:p>
    <w:p w14:paraId="72A5BF2B" w14:textId="77777777" w:rsidR="00D14329" w:rsidRPr="00D14329" w:rsidRDefault="00D14329" w:rsidP="00D14329">
      <w:pPr>
        <w:spacing w:line="360" w:lineRule="auto"/>
        <w:rPr>
          <w:lang w:val="en-GB"/>
        </w:rPr>
      </w:pPr>
    </w:p>
    <w:p w14:paraId="5BA3D1C0" w14:textId="77777777" w:rsidR="00D14329" w:rsidRPr="00D14329" w:rsidRDefault="00D14329" w:rsidP="00D14329">
      <w:pPr>
        <w:spacing w:line="360" w:lineRule="auto"/>
        <w:rPr>
          <w:lang w:val="en-GB"/>
        </w:rPr>
      </w:pPr>
      <w:r w:rsidRPr="00D14329">
        <w:rPr>
          <w:b/>
          <w:bCs/>
          <w:lang w:val="en-GB"/>
        </w:rPr>
        <w:t>Classification and Diagnosis</w:t>
      </w:r>
    </w:p>
    <w:p w14:paraId="36B299C7" w14:textId="77777777" w:rsidR="00D14329" w:rsidRPr="00D14329" w:rsidRDefault="00D14329" w:rsidP="00D14329">
      <w:pPr>
        <w:spacing w:line="360" w:lineRule="auto"/>
        <w:rPr>
          <w:lang w:val="en-GB"/>
        </w:rPr>
      </w:pPr>
      <w:r w:rsidRPr="00D14329">
        <w:rPr>
          <w:lang w:val="en-GB"/>
        </w:rPr>
        <w:t>In ICD-11, disorders of intellectual development are defined by marked limits in both intellectual functioning and adaptive behaviour with onset in the developmental period (Cooper and Kogan, 2023). Thus, a low IQ score does not easily detect mild dysfunction. Intellectual functioning comprises skills such as reasoning, learning, and problem-solving, while adaptive functioning relates to how well a person copes with conceptual, social, and practical demands in daily life. These are the important features of the ICD-11 classification, as Cooper and Kogan (2023) pointed out.</w:t>
      </w:r>
    </w:p>
    <w:p w14:paraId="7CC237C3" w14:textId="77777777" w:rsidR="00D14329" w:rsidRPr="00D14329" w:rsidRDefault="00D14329" w:rsidP="00D14329">
      <w:pPr>
        <w:spacing w:line="360" w:lineRule="auto"/>
        <w:rPr>
          <w:lang w:val="en-GB"/>
        </w:rPr>
      </w:pPr>
    </w:p>
    <w:p w14:paraId="41E23730" w14:textId="77777777" w:rsidR="00D14329" w:rsidRPr="00D14329" w:rsidRDefault="00D14329" w:rsidP="00D14329">
      <w:pPr>
        <w:spacing w:line="360" w:lineRule="auto"/>
        <w:rPr>
          <w:lang w:val="en-GB"/>
        </w:rPr>
      </w:pPr>
      <w:r w:rsidRPr="00D14329">
        <w:rPr>
          <w:lang w:val="en-GB"/>
        </w:rPr>
        <w:t xml:space="preserve">Courtenay, Lane, and Sawhney (2024) also explore developmental onset and adaptive functioning in the light of intellectual disability. Their new professional guidance clearly acknowledges that classifying severity should not hide a person’s skills and abilities. This is essential because two people with equal scores on </w:t>
      </w:r>
      <w:r w:rsidRPr="00D14329">
        <w:rPr>
          <w:lang w:val="en-GB"/>
        </w:rPr>
        <w:lastRenderedPageBreak/>
        <w:t>cognitive testing may be very different in their level of independence and therefore require different sorts of support.</w:t>
      </w:r>
    </w:p>
    <w:p w14:paraId="1E6C1650" w14:textId="77777777" w:rsidR="00D14329" w:rsidRPr="00D14329" w:rsidRDefault="00D14329" w:rsidP="00D14329">
      <w:pPr>
        <w:spacing w:line="360" w:lineRule="auto"/>
        <w:rPr>
          <w:lang w:val="en-GB"/>
        </w:rPr>
      </w:pPr>
      <w:r w:rsidRPr="00D14329">
        <w:rPr>
          <w:lang w:val="en-GB"/>
        </w:rPr>
        <w:t>This joint approach is particularly useful, as IQ says nothing about how a person copes with ordinary life. Ross, Hocken, and Auty (2020) argue that we should view intellectual functioning and adaptive conduct together. Adaptive functioning may include communication, use of money, social judgment, personal care, and independent living skills. Their UK study of the Adaptive Functioning Assessment Tool further reveals that context is important for assessing adaptive behaviour.</w:t>
      </w:r>
    </w:p>
    <w:p w14:paraId="33A0C7CA" w14:textId="77777777" w:rsidR="00D14329" w:rsidRPr="00D14329" w:rsidRDefault="00D14329" w:rsidP="00D14329">
      <w:pPr>
        <w:spacing w:line="360" w:lineRule="auto"/>
        <w:rPr>
          <w:lang w:val="en-GB"/>
        </w:rPr>
      </w:pPr>
    </w:p>
    <w:p w14:paraId="3A1D6A39" w14:textId="77777777" w:rsidR="00D14329" w:rsidRPr="00D14329" w:rsidRDefault="00D14329" w:rsidP="00D14329">
      <w:pPr>
        <w:spacing w:line="360" w:lineRule="auto"/>
        <w:rPr>
          <w:lang w:val="en-GB"/>
        </w:rPr>
      </w:pPr>
      <w:r w:rsidRPr="00D14329">
        <w:rPr>
          <w:lang w:val="en-GB"/>
        </w:rPr>
        <w:t>However, the study by Ross, Hocken, and Auty (2020) covered 61 adult male inmates, and hence the findings cannot be immediately generalized to children, women, or the community populations. This constraint is useful in that it illustrates the reason why evaluation instruments It should be relevant to the person's circumstances, rather than applied in exactly the same way in every context.</w:t>
      </w:r>
    </w:p>
    <w:p w14:paraId="1580DE62" w14:textId="77777777" w:rsidR="00D14329" w:rsidRPr="00D14329" w:rsidRDefault="00D14329" w:rsidP="00D14329">
      <w:pPr>
        <w:spacing w:line="360" w:lineRule="auto"/>
        <w:rPr>
          <w:lang w:val="en-GB"/>
        </w:rPr>
      </w:pPr>
    </w:p>
    <w:p w14:paraId="0BE008A2" w14:textId="77777777" w:rsidR="00D14329" w:rsidRPr="00D14329" w:rsidRDefault="00D14329" w:rsidP="00D14329">
      <w:pPr>
        <w:spacing w:line="360" w:lineRule="auto"/>
        <w:rPr>
          <w:lang w:val="en-GB"/>
        </w:rPr>
      </w:pPr>
      <w:r w:rsidRPr="00D14329">
        <w:rPr>
          <w:lang w:val="en-GB"/>
        </w:rPr>
        <w:t>Assessment should therefore rely on numerous sources rather than one test outcome. Standardized cognitive testing, indices of adaptive functioning, developmental history, clinical observation, and information from others who know the subject well can all contribute. This is especially true for mild cases, as problems may not be readily apparent in familiar or strongly supported contexts and may emerge more clearly if educational, work, or independent-living needs increase.</w:t>
      </w:r>
    </w:p>
    <w:p w14:paraId="2CB7D6B7" w14:textId="77777777" w:rsidR="00D14329" w:rsidRPr="00D14329" w:rsidRDefault="00D14329" w:rsidP="00D14329">
      <w:pPr>
        <w:spacing w:line="360" w:lineRule="auto"/>
        <w:rPr>
          <w:lang w:val="en-GB"/>
        </w:rPr>
      </w:pPr>
    </w:p>
    <w:p w14:paraId="23B4F63C" w14:textId="77777777" w:rsidR="00D14329" w:rsidRPr="00D14329" w:rsidRDefault="00D14329" w:rsidP="00D14329">
      <w:pPr>
        <w:spacing w:line="360" w:lineRule="auto"/>
        <w:rPr>
          <w:lang w:val="en-GB"/>
        </w:rPr>
      </w:pPr>
      <w:r w:rsidRPr="00D14329">
        <w:rPr>
          <w:lang w:val="en-GB"/>
        </w:rPr>
        <w:t>There is also a risk of both under- and over-identification. Some people may do pretty well but within a known routine and have considerable difficulty when expectations get more complex. Others may do poorly on tests due to language issues, educational inferiority, or nervousness. Hence, severity should not be mechanically deduced from a single numerical value. The inclusion of behavioural markers in the ICD-11 reflects a lack of widespread access to appropriate formal assessment scales (Cooper and Kogan, 2023).</w:t>
      </w:r>
    </w:p>
    <w:p w14:paraId="705727C6" w14:textId="77777777" w:rsidR="00D14329" w:rsidRPr="00D14329" w:rsidRDefault="00D14329" w:rsidP="00D14329">
      <w:pPr>
        <w:spacing w:line="360" w:lineRule="auto"/>
        <w:rPr>
          <w:lang w:val="en-GB"/>
        </w:rPr>
      </w:pPr>
      <w:r w:rsidRPr="00D14329">
        <w:rPr>
          <w:lang w:val="en-GB"/>
        </w:rPr>
        <w:t xml:space="preserve">There is growing evidence that these behavioural indicators are useful. Lemay and colleagues (2024) compared ICD-11 indications to standardized measures in children and adolescents with impairments of intellectual development. Their results yielded very similar severity ratings, although the behavioural measures categorized </w:t>
      </w:r>
      <w:r w:rsidRPr="00D14329">
        <w:rPr>
          <w:lang w:val="en-GB"/>
        </w:rPr>
        <w:lastRenderedPageBreak/>
        <w:t>more people as mild in some comparisons. Therefore, behavioural indicators can enhance assessment when adequate tests are not available, but they should be complementary to, rather than a substitute for, professional judgment.</w:t>
      </w:r>
    </w:p>
    <w:p w14:paraId="5A9DB7D0" w14:textId="77777777" w:rsidR="00D14329" w:rsidRPr="00D14329" w:rsidRDefault="00D14329" w:rsidP="00D14329">
      <w:pPr>
        <w:spacing w:line="360" w:lineRule="auto"/>
        <w:rPr>
          <w:lang w:val="en-GB"/>
        </w:rPr>
      </w:pPr>
    </w:p>
    <w:p w14:paraId="6FA17B27" w14:textId="77777777" w:rsidR="00D14329" w:rsidRPr="00D14329" w:rsidRDefault="00D14329" w:rsidP="00D14329">
      <w:pPr>
        <w:spacing w:line="360" w:lineRule="auto"/>
        <w:rPr>
          <w:lang w:val="en-GB"/>
        </w:rPr>
      </w:pPr>
      <w:r w:rsidRPr="00D14329">
        <w:rPr>
          <w:lang w:val="en-GB"/>
        </w:rPr>
        <w:t xml:space="preserve">Co-occurring neurodevelopmental disorders might complicate diagnosis. Lemay et al. (2024) discovered that having autism at the same time was associated with it in some categories. More recent UK data also highlight the necessity to carefully examine comorbidity. </w:t>
      </w:r>
      <w:proofErr w:type="spellStart"/>
      <w:r w:rsidRPr="00D14329">
        <w:rPr>
          <w:lang w:val="en-GB"/>
        </w:rPr>
        <w:t>Hollingdale</w:t>
      </w:r>
      <w:proofErr w:type="spellEnd"/>
      <w:r w:rsidRPr="00D14329">
        <w:rPr>
          <w:lang w:val="en-GB"/>
        </w:rPr>
        <w:t xml:space="preserve"> et al. (2024) investigated the clinical records of 2,768 young individuals and found that more neurodevelopmental disorders were associated with worse clinician-rated functioning and with more problems across many behavioural and socio-emotional domains. Clinicians should not assume that all problems are related to the intellectual disability itself.</w:t>
      </w:r>
    </w:p>
    <w:p w14:paraId="20FE8A25" w14:textId="77777777" w:rsidR="00D14329" w:rsidRPr="00D14329" w:rsidRDefault="00D14329" w:rsidP="00D14329">
      <w:pPr>
        <w:spacing w:line="360" w:lineRule="auto"/>
        <w:rPr>
          <w:lang w:val="en-GB"/>
        </w:rPr>
      </w:pPr>
      <w:r w:rsidRPr="00D14329">
        <w:rPr>
          <w:lang w:val="en-GB"/>
        </w:rPr>
        <w:t>Equally crucial is the language used in classification. The term "disorder" provides a recognized clinical category and may facilitate access to resources, but it can also foster deficit-based thinking if used without regard to strengths and context. In the UK, the term "learning disability" is still extensively used in health and social care, and "disorder of intellectual development" is used in ICD-11. It is a step forward to move away from the older vocabulary, but classification should be used with caution so that the diagnostic label does not become the person’s identity (Cooper and Kogan, 2023).</w:t>
      </w:r>
    </w:p>
    <w:p w14:paraId="60067466" w14:textId="77777777" w:rsidR="00D14329" w:rsidRPr="00D14329" w:rsidRDefault="00D14329" w:rsidP="00D14329">
      <w:pPr>
        <w:spacing w:line="360" w:lineRule="auto"/>
        <w:rPr>
          <w:lang w:val="en-GB"/>
        </w:rPr>
      </w:pPr>
    </w:p>
    <w:p w14:paraId="72AC476A" w14:textId="77777777" w:rsidR="00D14329" w:rsidRPr="00D14329" w:rsidRDefault="00D14329" w:rsidP="00D14329">
      <w:pPr>
        <w:spacing w:line="360" w:lineRule="auto"/>
        <w:rPr>
          <w:lang w:val="en-GB"/>
        </w:rPr>
      </w:pPr>
      <w:r w:rsidRPr="00D14329">
        <w:rPr>
          <w:b/>
          <w:bCs/>
          <w:lang w:val="en-GB"/>
        </w:rPr>
        <w:t>Treatment and Rehabilitation</w:t>
      </w:r>
    </w:p>
    <w:p w14:paraId="563CAFF5" w14:textId="77777777" w:rsidR="00D14329" w:rsidRPr="00D14329" w:rsidRDefault="00D14329" w:rsidP="00D14329">
      <w:pPr>
        <w:spacing w:line="360" w:lineRule="auto"/>
        <w:rPr>
          <w:lang w:val="en-GB"/>
        </w:rPr>
      </w:pPr>
    </w:p>
    <w:p w14:paraId="71372CFB" w14:textId="77777777" w:rsidR="00D14329" w:rsidRPr="00D14329" w:rsidRDefault="00D14329" w:rsidP="00D14329">
      <w:pPr>
        <w:spacing w:line="360" w:lineRule="auto"/>
        <w:rPr>
          <w:lang w:val="en-GB"/>
        </w:rPr>
      </w:pPr>
      <w:r w:rsidRPr="00D14329">
        <w:rPr>
          <w:lang w:val="en-GB"/>
        </w:rPr>
        <w:t>Mild disturbance of intellectual development is a developmental condition; hence, management is not focused on “curing” the diagnosis. Instead, therapy and rehabilitation should promote functioning, independence, participation, and quality of life, whereas acknowledging and treating co-occurring physical or mental health concerns.</w:t>
      </w:r>
    </w:p>
    <w:p w14:paraId="6CC5975C" w14:textId="77777777" w:rsidR="00D14329" w:rsidRPr="00D14329" w:rsidRDefault="00D14329" w:rsidP="00D14329">
      <w:pPr>
        <w:spacing w:line="360" w:lineRule="auto"/>
        <w:rPr>
          <w:lang w:val="en-GB"/>
        </w:rPr>
      </w:pPr>
      <w:r w:rsidRPr="00D14329">
        <w:rPr>
          <w:lang w:val="en-GB"/>
        </w:rPr>
        <w:t xml:space="preserve">Courtenay, Lane, and Sawhney (2024) note that patients with intellectual disability may require a distinct clinical approach and that treatment should be part of holistic care. Their advice also covers the dangers of complicated pharmaceutical use in this demographic. Medication may therefore be acceptable for an independently </w:t>
      </w:r>
      <w:r w:rsidRPr="00D14329">
        <w:rPr>
          <w:lang w:val="en-GB"/>
        </w:rPr>
        <w:lastRenderedPageBreak/>
        <w:t>diagnosed psychiatric, neurological, or physical disease. However, it should not be considered a treatment for intellectual developmental disability per se.</w:t>
      </w:r>
    </w:p>
    <w:p w14:paraId="734CA020" w14:textId="77777777" w:rsidR="00D14329" w:rsidRPr="00D14329" w:rsidRDefault="00D14329" w:rsidP="00D14329">
      <w:pPr>
        <w:spacing w:line="360" w:lineRule="auto"/>
        <w:rPr>
          <w:lang w:val="en-GB"/>
        </w:rPr>
      </w:pPr>
    </w:p>
    <w:p w14:paraId="5DA7E7A1" w14:textId="77777777" w:rsidR="00D14329" w:rsidRPr="00D14329" w:rsidRDefault="00D14329" w:rsidP="00D14329">
      <w:pPr>
        <w:spacing w:line="360" w:lineRule="auto"/>
        <w:rPr>
          <w:lang w:val="en-GB"/>
        </w:rPr>
      </w:pPr>
      <w:r w:rsidRPr="00D14329">
        <w:rPr>
          <w:lang w:val="en-GB"/>
        </w:rPr>
        <w:t xml:space="preserve">Psychosocial and behavioural therapies can improve certain skills. Windsor et al. (2023) thoroughly </w:t>
      </w:r>
      <w:proofErr w:type="spellStart"/>
      <w:r w:rsidRPr="00D14329">
        <w:rPr>
          <w:lang w:val="en-GB"/>
        </w:rPr>
        <w:t>analyzed</w:t>
      </w:r>
      <w:proofErr w:type="spellEnd"/>
      <w:r w:rsidRPr="00D14329">
        <w:rPr>
          <w:lang w:val="en-GB"/>
        </w:rPr>
        <w:t xml:space="preserve"> RCTs including school-aged children with intellectual impairments. Twenty-seven studies were included. Much of the available evidence was about children with modest intellectual impairments. Targeted areas included literacy, math, attention, memory, communication, and adaptive functioning.</w:t>
      </w:r>
    </w:p>
    <w:p w14:paraId="0D6DFD02" w14:textId="77777777" w:rsidR="00D14329" w:rsidRPr="00D14329" w:rsidRDefault="00D14329" w:rsidP="00D14329">
      <w:pPr>
        <w:spacing w:line="360" w:lineRule="auto"/>
        <w:rPr>
          <w:lang w:val="en-GB"/>
        </w:rPr>
      </w:pPr>
    </w:p>
    <w:p w14:paraId="4F8FF052" w14:textId="77777777" w:rsidR="00D14329" w:rsidRPr="00D14329" w:rsidRDefault="00D14329" w:rsidP="00D14329">
      <w:pPr>
        <w:spacing w:line="360" w:lineRule="auto"/>
        <w:rPr>
          <w:lang w:val="en-GB"/>
        </w:rPr>
      </w:pPr>
      <w:r w:rsidRPr="00D14329">
        <w:rPr>
          <w:lang w:val="en-GB"/>
        </w:rPr>
        <w:t>This research casts doubt on the premise that intellectual and adaptive qualities are entirely fixed. Structured interventions might assist individuals in learning important skills and independence. However, Windsor et al. (2023) reported major discrepancies in the demographics, interventions, and outcome measures of the studies, and therefore a meaningful meta-analysis could not be completed. Treatment should therefore be personalized to the individual’s developmental level, communication capacity, and goals rather than presuming that one program would fit all.</w:t>
      </w:r>
    </w:p>
    <w:p w14:paraId="60035546" w14:textId="77777777" w:rsidR="00D14329" w:rsidRPr="00D14329" w:rsidRDefault="00D14329" w:rsidP="00D14329">
      <w:pPr>
        <w:spacing w:line="360" w:lineRule="auto"/>
        <w:rPr>
          <w:lang w:val="en-GB"/>
        </w:rPr>
      </w:pPr>
    </w:p>
    <w:p w14:paraId="7AEB5650" w14:textId="2A471A4C" w:rsidR="00D14329" w:rsidRPr="00D14329" w:rsidRDefault="00D14329" w:rsidP="00D14329">
      <w:pPr>
        <w:spacing w:line="360" w:lineRule="auto"/>
        <w:rPr>
          <w:lang w:val="en-GB"/>
        </w:rPr>
      </w:pPr>
      <w:r w:rsidRPr="00D14329">
        <w:rPr>
          <w:lang w:val="en-GB"/>
        </w:rPr>
        <w:t xml:space="preserve">Support for mental health is another significant issue. </w:t>
      </w:r>
      <w:proofErr w:type="spellStart"/>
      <w:r w:rsidRPr="00D14329">
        <w:rPr>
          <w:lang w:val="en-GB"/>
        </w:rPr>
        <w:t>Totsika</w:t>
      </w:r>
      <w:proofErr w:type="spellEnd"/>
      <w:r w:rsidRPr="00D14329">
        <w:rPr>
          <w:lang w:val="en-GB"/>
        </w:rPr>
        <w:t xml:space="preserve"> et al. (2025) evaluated 66 specialist UK mental health services assisting children with intellectual disabilities. At referral or waiting-list stages, just a minority received therapeutic input. Psychoeducation applied behavioural methods, and cognitive-behavioural treatment </w:t>
      </w:r>
      <w:proofErr w:type="gramStart"/>
      <w:r w:rsidRPr="00D14329">
        <w:rPr>
          <w:lang w:val="en-GB"/>
        </w:rPr>
        <w:t>were</w:t>
      </w:r>
      <w:proofErr w:type="gramEnd"/>
      <w:r w:rsidRPr="00D14329">
        <w:rPr>
          <w:lang w:val="en-GB"/>
        </w:rPr>
        <w:t xml:space="preserve"> prominent approaches once children were in the active caseload. This scenario illustrates an essential constraint in the current practice: evidence-based treatment may be available, but its value is limited if access is delayed.</w:t>
      </w:r>
    </w:p>
    <w:p w14:paraId="315B2CE1" w14:textId="77777777" w:rsidR="00D14329" w:rsidRPr="00D14329" w:rsidRDefault="00D14329" w:rsidP="00D14329">
      <w:pPr>
        <w:spacing w:line="360" w:lineRule="auto"/>
        <w:rPr>
          <w:lang w:val="en-GB"/>
        </w:rPr>
      </w:pPr>
    </w:p>
    <w:p w14:paraId="11D58A49" w14:textId="77777777" w:rsidR="00D14329" w:rsidRPr="00D14329" w:rsidRDefault="00D14329" w:rsidP="00D14329">
      <w:pPr>
        <w:spacing w:line="360" w:lineRule="auto"/>
        <w:rPr>
          <w:lang w:val="en-GB"/>
        </w:rPr>
      </w:pPr>
      <w:proofErr w:type="gramStart"/>
      <w:r w:rsidRPr="00D14329">
        <w:rPr>
          <w:lang w:val="en-GB"/>
        </w:rPr>
        <w:t>So</w:t>
      </w:r>
      <w:proofErr w:type="gramEnd"/>
      <w:r w:rsidRPr="00D14329">
        <w:rPr>
          <w:lang w:val="en-GB"/>
        </w:rPr>
        <w:t xml:space="preserve"> the difference between therapy and rehabilitation is significant. Treatment may target the specific co-occurring disorders; rehabilitation is intended to increase functioning and participation over time. In practice, rehabilitation may encompass communication, education, job training, money management, travel, relationships, and assisted decision-making.</w:t>
      </w:r>
    </w:p>
    <w:p w14:paraId="4826BE21" w14:textId="77777777" w:rsidR="00D14329" w:rsidRPr="00D14329" w:rsidRDefault="00D14329" w:rsidP="00D14329">
      <w:pPr>
        <w:spacing w:line="360" w:lineRule="auto"/>
        <w:rPr>
          <w:lang w:val="en-GB"/>
        </w:rPr>
      </w:pPr>
      <w:r w:rsidRPr="00D14329">
        <w:rPr>
          <w:lang w:val="en-GB"/>
        </w:rPr>
        <w:t xml:space="preserve">McCausland et al. (2022) discovered that person-centred planning can encourage community involvement for individuals with intellectual disabilities, including goals </w:t>
      </w:r>
      <w:r w:rsidRPr="00D14329">
        <w:rPr>
          <w:lang w:val="en-GB"/>
        </w:rPr>
        <w:lastRenderedPageBreak/>
        <w:t>related to work, personal development, and relationships. But these aims depended on practical resources such as familiar staff, family participation, and transport. A documented person-centred strategy is therefore of little use if services cannot provide the resources needed to implement it.</w:t>
      </w:r>
    </w:p>
    <w:p w14:paraId="1158C6E4" w14:textId="77777777" w:rsidR="00D14329" w:rsidRPr="00D14329" w:rsidRDefault="00D14329" w:rsidP="00D14329">
      <w:pPr>
        <w:spacing w:line="360" w:lineRule="auto"/>
        <w:rPr>
          <w:lang w:val="en-GB"/>
        </w:rPr>
      </w:pPr>
      <w:r w:rsidRPr="00D14329">
        <w:rPr>
          <w:lang w:val="en-GB"/>
        </w:rPr>
        <w:t>The UK's current policy heavily represents this issue. The Department of Health and Social Care (2022) suggests that more community assistance is needed, that reliance on specialist mental health inpatient care should be reduced, and that there should be improved coordination across health, social care, housing, education, and employment. This is a good path, but its success depends on the availability of adequate community services, trained workers, and appropriate housing situations.</w:t>
      </w:r>
    </w:p>
    <w:p w14:paraId="15D2D692" w14:textId="77777777" w:rsidR="00D14329" w:rsidRPr="00D14329" w:rsidRDefault="00D14329" w:rsidP="00D14329">
      <w:pPr>
        <w:spacing w:line="360" w:lineRule="auto"/>
        <w:rPr>
          <w:lang w:val="en-GB"/>
        </w:rPr>
      </w:pPr>
    </w:p>
    <w:p w14:paraId="547E6C4A" w14:textId="77777777" w:rsidR="00D14329" w:rsidRPr="00D14329" w:rsidRDefault="00D14329" w:rsidP="00D14329">
      <w:pPr>
        <w:spacing w:line="360" w:lineRule="auto"/>
        <w:rPr>
          <w:lang w:val="en-GB"/>
        </w:rPr>
      </w:pPr>
      <w:r w:rsidRPr="00D14329">
        <w:rPr>
          <w:b/>
          <w:bCs/>
          <w:lang w:val="en-GB"/>
        </w:rPr>
        <w:t>Current Debates and Emerging Issues</w:t>
      </w:r>
    </w:p>
    <w:p w14:paraId="110D3724" w14:textId="77777777" w:rsidR="00D14329" w:rsidRPr="00D14329" w:rsidRDefault="00D14329" w:rsidP="00D14329">
      <w:pPr>
        <w:spacing w:line="360" w:lineRule="auto"/>
        <w:rPr>
          <w:lang w:val="en-GB"/>
        </w:rPr>
      </w:pPr>
      <w:r w:rsidRPr="00D14329">
        <w:rPr>
          <w:lang w:val="en-GB"/>
        </w:rPr>
        <w:t>One ongoing dispute is where to draw the threshold of mild intellectual developmental impairment. Standardized testing is better at ensuring consistency, but measurement error, education, language, and social context can still affect scores. Ross, Hocken, and Auty (2020) explain why people at conventional intellectual boundaries may nevertheless face significant adaptive challenges. Where access to services is too rigorously based on categorical thresholds, some individuals may fall between programs, regardless of whether they have legitimate assistance requirements.</w:t>
      </w:r>
    </w:p>
    <w:p w14:paraId="430914E7" w14:textId="77777777" w:rsidR="00D14329" w:rsidRPr="00D14329" w:rsidRDefault="00D14329" w:rsidP="00D14329">
      <w:pPr>
        <w:spacing w:line="360" w:lineRule="auto"/>
        <w:rPr>
          <w:lang w:val="en-GB"/>
        </w:rPr>
      </w:pPr>
    </w:p>
    <w:p w14:paraId="4E73BDEE" w14:textId="20C653A0" w:rsidR="00D14329" w:rsidRPr="00D14329" w:rsidRDefault="00D14329" w:rsidP="00D14329">
      <w:pPr>
        <w:spacing w:line="360" w:lineRule="auto"/>
        <w:rPr>
          <w:lang w:val="en-GB"/>
        </w:rPr>
      </w:pPr>
      <w:r w:rsidRPr="00D14329">
        <w:rPr>
          <w:lang w:val="en-GB"/>
        </w:rPr>
        <w:t>This difficulty is addressed in part by the growing focus on adaptive functioning because it considers what a person can actually do in everyday life. However, adaptive functioning is itself context dependent. Someone who has a lot of support from family and the community may appear more autonomous than a person with equivalent cognitive aptitude but fewer resources. Lemay et al. (2024) discovered discrepancies between behavioural markers and standardized assessments, emphasizing the necessity of contextual clinical judgment rather than mechanical classification.</w:t>
      </w:r>
    </w:p>
    <w:p w14:paraId="494A2F66" w14:textId="77777777" w:rsidR="00D14329" w:rsidRPr="00D14329" w:rsidRDefault="00D14329" w:rsidP="00D14329">
      <w:pPr>
        <w:spacing w:line="360" w:lineRule="auto"/>
        <w:rPr>
          <w:lang w:val="en-GB"/>
        </w:rPr>
      </w:pPr>
    </w:p>
    <w:p w14:paraId="3E093106" w14:textId="77777777" w:rsidR="00D14329" w:rsidRPr="00D14329" w:rsidRDefault="00D14329" w:rsidP="00D14329">
      <w:pPr>
        <w:spacing w:line="360" w:lineRule="auto"/>
        <w:rPr>
          <w:lang w:val="en-GB"/>
        </w:rPr>
      </w:pPr>
      <w:r w:rsidRPr="00D14329">
        <w:rPr>
          <w:lang w:val="en-GB"/>
        </w:rPr>
        <w:t xml:space="preserve">Neurodiversity raises another significant topic. In </w:t>
      </w:r>
      <w:proofErr w:type="spellStart"/>
      <w:r w:rsidRPr="00D14329">
        <w:rPr>
          <w:lang w:val="en-GB"/>
        </w:rPr>
        <w:t>Ratten</w:t>
      </w:r>
      <w:proofErr w:type="spellEnd"/>
      <w:r w:rsidRPr="00D14329">
        <w:rPr>
          <w:lang w:val="en-GB"/>
        </w:rPr>
        <w:t xml:space="preserve"> (2025), neurodiversity is described as an approach that considers neurological variations as part of wider human diversity and encourages greater awareness of strengths rather than </w:t>
      </w:r>
      <w:r w:rsidRPr="00D14329">
        <w:rPr>
          <w:lang w:val="en-GB"/>
        </w:rPr>
        <w:lastRenderedPageBreak/>
        <w:t>focusing only on weaknesses. This can challenge stigma and low expectations, which are often needlessly low for people with minor intellectual disabilities.</w:t>
      </w:r>
    </w:p>
    <w:p w14:paraId="01AA8C46" w14:textId="77777777" w:rsidR="00D14329" w:rsidRPr="00D14329" w:rsidRDefault="00D14329" w:rsidP="00D14329">
      <w:pPr>
        <w:spacing w:line="360" w:lineRule="auto"/>
        <w:rPr>
          <w:lang w:val="en-GB"/>
        </w:rPr>
      </w:pPr>
    </w:p>
    <w:p w14:paraId="06D40BC9" w14:textId="77777777" w:rsidR="00D14329" w:rsidRPr="00D14329" w:rsidRDefault="00D14329" w:rsidP="00D14329">
      <w:pPr>
        <w:spacing w:line="360" w:lineRule="auto"/>
        <w:rPr>
          <w:lang w:val="en-GB"/>
        </w:rPr>
      </w:pPr>
      <w:r w:rsidRPr="00D14329">
        <w:rPr>
          <w:lang w:val="en-GB"/>
        </w:rPr>
        <w:t>But a solely strengths-based understanding has its limitations, too. Some people with mild intellectual developmental impairment may need substantial support with literacy, financial decisions, communication about healthcare and work, or independent life. Neurodiversity should not be used in this way to imply that disability or assistance needs are irrelevant. It is more accurate to describe the clinical classification as identifying real requirements and a neurodiversity-informed strategy as challenging the premise that cognitive difference renders an individual inferior.</w:t>
      </w:r>
    </w:p>
    <w:p w14:paraId="0FD4D3E6" w14:textId="77777777" w:rsidR="00D14329" w:rsidRPr="00D14329" w:rsidRDefault="00D14329" w:rsidP="00D14329">
      <w:pPr>
        <w:spacing w:line="360" w:lineRule="auto"/>
        <w:rPr>
          <w:lang w:val="en-GB"/>
        </w:rPr>
      </w:pPr>
    </w:p>
    <w:p w14:paraId="72D1D9A9" w14:textId="77777777" w:rsidR="00D14329" w:rsidRPr="00D14329" w:rsidRDefault="00D14329" w:rsidP="00D14329">
      <w:pPr>
        <w:spacing w:line="360" w:lineRule="auto"/>
        <w:rPr>
          <w:lang w:val="en-GB"/>
        </w:rPr>
      </w:pPr>
      <w:r w:rsidRPr="00D14329">
        <w:rPr>
          <w:lang w:val="en-GB"/>
        </w:rPr>
        <w:t xml:space="preserve">And a current study in the UK shows the relevance of co-occurring conditions. </w:t>
      </w:r>
      <w:proofErr w:type="spellStart"/>
      <w:r w:rsidRPr="00D14329">
        <w:rPr>
          <w:lang w:val="en-GB"/>
        </w:rPr>
        <w:t>Hollingdale</w:t>
      </w:r>
      <w:proofErr w:type="spellEnd"/>
      <w:r w:rsidRPr="00D14329">
        <w:rPr>
          <w:lang w:val="en-GB"/>
        </w:rPr>
        <w:t xml:space="preserve"> et al. (2024) showed cumulative relationships between several neurodevelopmental problems and poorer functioning in young people, with some differences in patterns between males and girls. It implies that categorization diagnoses are useful but not totally explanatory of the complexity of an individual’s presentation.</w:t>
      </w:r>
    </w:p>
    <w:p w14:paraId="77982569" w14:textId="77777777" w:rsidR="00D14329" w:rsidRPr="00D14329" w:rsidRDefault="00D14329" w:rsidP="00D14329">
      <w:pPr>
        <w:spacing w:line="360" w:lineRule="auto"/>
        <w:rPr>
          <w:lang w:val="en-GB"/>
        </w:rPr>
      </w:pPr>
    </w:p>
    <w:p w14:paraId="22E01CDD" w14:textId="77777777" w:rsidR="00D14329" w:rsidRPr="00D14329" w:rsidRDefault="00D14329" w:rsidP="00D14329">
      <w:pPr>
        <w:spacing w:line="360" w:lineRule="auto"/>
        <w:rPr>
          <w:lang w:val="en-GB"/>
        </w:rPr>
      </w:pPr>
      <w:r w:rsidRPr="00D14329">
        <w:rPr>
          <w:lang w:val="en-GB"/>
        </w:rPr>
        <w:t xml:space="preserve">The issues have policy relevance. The Department of Health and Social Care (2022) intends to improve community provision and eliminate needless hospital treatment for people with learning disabilities. However, </w:t>
      </w:r>
      <w:proofErr w:type="spellStart"/>
      <w:r w:rsidRPr="00D14329">
        <w:rPr>
          <w:lang w:val="en-GB"/>
        </w:rPr>
        <w:t>Totsika</w:t>
      </w:r>
      <w:proofErr w:type="spellEnd"/>
      <w:r w:rsidRPr="00D14329">
        <w:rPr>
          <w:lang w:val="en-GB"/>
        </w:rPr>
        <w:t xml:space="preserve"> et al. (2025) identified variance in UK specialist mental health pathways and little therapeutic input at various points of care. Adequate personnel, early intervention, and accessible community services are essential to translating policy promises into practice.</w:t>
      </w:r>
    </w:p>
    <w:p w14:paraId="0AC01D89" w14:textId="77777777" w:rsidR="00D14329" w:rsidRPr="00D14329" w:rsidRDefault="00D14329" w:rsidP="00D14329">
      <w:pPr>
        <w:spacing w:line="360" w:lineRule="auto"/>
        <w:rPr>
          <w:lang w:val="en-GB"/>
        </w:rPr>
      </w:pPr>
    </w:p>
    <w:p w14:paraId="1E4DEB00" w14:textId="77777777" w:rsidR="00D14329" w:rsidRDefault="00D14329" w:rsidP="00D14329">
      <w:pPr>
        <w:spacing w:line="360" w:lineRule="auto"/>
        <w:rPr>
          <w:b/>
          <w:bCs/>
          <w:lang w:val="en-GB"/>
        </w:rPr>
      </w:pPr>
    </w:p>
    <w:p w14:paraId="79E06E22" w14:textId="77777777" w:rsidR="00D14329" w:rsidRDefault="00D14329" w:rsidP="00D14329">
      <w:pPr>
        <w:spacing w:line="360" w:lineRule="auto"/>
        <w:rPr>
          <w:b/>
          <w:bCs/>
          <w:lang w:val="en-GB"/>
        </w:rPr>
      </w:pPr>
    </w:p>
    <w:p w14:paraId="13BCDA67" w14:textId="77777777" w:rsidR="00D14329" w:rsidRDefault="00D14329" w:rsidP="00D14329">
      <w:pPr>
        <w:spacing w:line="360" w:lineRule="auto"/>
        <w:rPr>
          <w:b/>
          <w:bCs/>
          <w:lang w:val="en-GB"/>
        </w:rPr>
      </w:pPr>
    </w:p>
    <w:p w14:paraId="0739BCAE" w14:textId="31EE0830" w:rsidR="00D14329" w:rsidRPr="00D14329" w:rsidRDefault="00D14329" w:rsidP="00D14329">
      <w:pPr>
        <w:spacing w:line="360" w:lineRule="auto"/>
        <w:rPr>
          <w:lang w:val="en-GB"/>
        </w:rPr>
      </w:pPr>
      <w:r w:rsidRPr="00D14329">
        <w:rPr>
          <w:b/>
          <w:bCs/>
          <w:lang w:val="en-GB"/>
        </w:rPr>
        <w:t>Recommendations</w:t>
      </w:r>
    </w:p>
    <w:p w14:paraId="4D08239F" w14:textId="77777777" w:rsidR="00D14329" w:rsidRPr="00D14329" w:rsidRDefault="00D14329" w:rsidP="00D14329">
      <w:pPr>
        <w:spacing w:line="360" w:lineRule="auto"/>
        <w:rPr>
          <w:lang w:val="en-GB"/>
        </w:rPr>
      </w:pPr>
    </w:p>
    <w:p w14:paraId="4C4B5E62" w14:textId="77777777" w:rsidR="00D14329" w:rsidRPr="00D14329" w:rsidRDefault="00D14329" w:rsidP="00D14329">
      <w:pPr>
        <w:spacing w:line="360" w:lineRule="auto"/>
        <w:rPr>
          <w:lang w:val="en-GB"/>
        </w:rPr>
      </w:pPr>
      <w:r w:rsidRPr="00D14329">
        <w:rPr>
          <w:lang w:val="en-GB"/>
        </w:rPr>
        <w:t xml:space="preserve">Mild intellectual developmental disorder assessment should include intelligence tests and extensive adaptive-functioning assessment, developmental history, and </w:t>
      </w:r>
      <w:r w:rsidRPr="00D14329">
        <w:rPr>
          <w:lang w:val="en-GB"/>
        </w:rPr>
        <w:lastRenderedPageBreak/>
        <w:t>information from everyday surroundings. Clinicians should document those cultural, educational, linguistic, and environmental elements that may affect the findings. In the absence of appropriate standardized measurements, ICD-11 behavioural indicators can be used to provide additional information, but they should supplement, not replace, professional judgment (Lemay et al., 2024).</w:t>
      </w:r>
    </w:p>
    <w:p w14:paraId="0270A45B" w14:textId="77777777" w:rsidR="00D14329" w:rsidRPr="00D14329" w:rsidRDefault="00D14329" w:rsidP="00D14329">
      <w:pPr>
        <w:spacing w:line="360" w:lineRule="auto"/>
        <w:rPr>
          <w:lang w:val="en-GB"/>
        </w:rPr>
      </w:pPr>
      <w:r w:rsidRPr="00D14329">
        <w:rPr>
          <w:lang w:val="en-GB"/>
        </w:rPr>
        <w:t>Individualized treatment should also focus on strengths and difficulties important to the person. Windsor et al. (2023) present evidence for psychological and behavioural therapies supporting areas such as literacy, memory, attention, and adaptive functioning; however, outcomes should be assessed carefully due to diversity in study quality.</w:t>
      </w:r>
    </w:p>
    <w:p w14:paraId="365DE6DD" w14:textId="77777777" w:rsidR="00D14329" w:rsidRPr="00D14329" w:rsidRDefault="00D14329" w:rsidP="00D14329">
      <w:pPr>
        <w:spacing w:line="360" w:lineRule="auto"/>
        <w:rPr>
          <w:lang w:val="en-GB"/>
        </w:rPr>
      </w:pPr>
    </w:p>
    <w:p w14:paraId="4B6E81C8" w14:textId="77777777" w:rsidR="00D14329" w:rsidRPr="00D14329" w:rsidRDefault="00D14329" w:rsidP="00D14329">
      <w:pPr>
        <w:spacing w:line="360" w:lineRule="auto"/>
        <w:rPr>
          <w:lang w:val="en-GB"/>
        </w:rPr>
      </w:pPr>
      <w:r w:rsidRPr="00D14329">
        <w:rPr>
          <w:lang w:val="en-GB"/>
        </w:rPr>
        <w:t xml:space="preserve">Mental health services should offer earlier contact and therapeutic input, rather than protracted periods of waiting without meaningful help. The findings from the UK by </w:t>
      </w:r>
      <w:proofErr w:type="spellStart"/>
      <w:r w:rsidRPr="00D14329">
        <w:rPr>
          <w:lang w:val="en-GB"/>
        </w:rPr>
        <w:t>Totsika</w:t>
      </w:r>
      <w:proofErr w:type="spellEnd"/>
      <w:r w:rsidRPr="00D14329">
        <w:rPr>
          <w:lang w:val="en-GB"/>
        </w:rPr>
        <w:t xml:space="preserve"> et al. (2025) indicate that improvements are needed, particularly throughout the referral and waiting-list stages. Rehabilitation goals should be person-centred and encompass education, work, relationships, everyday living, and community participation. But services need to offer tangible resources to achieve these goals (McCausland et al., 2022). UK policy should continue to promote coordinated community services while reviewing whether changes genuinely increase access, independence, and quality of life (Department of Health and Social Care, 2022).</w:t>
      </w:r>
    </w:p>
    <w:p w14:paraId="6975A9CC" w14:textId="77777777" w:rsidR="00D14329" w:rsidRPr="00D14329" w:rsidRDefault="00D14329" w:rsidP="00D14329">
      <w:pPr>
        <w:spacing w:line="360" w:lineRule="auto"/>
        <w:rPr>
          <w:lang w:val="en-GB"/>
        </w:rPr>
      </w:pPr>
    </w:p>
    <w:p w14:paraId="61FFF6A3" w14:textId="77777777" w:rsidR="00D14329" w:rsidRPr="00D14329" w:rsidRDefault="00D14329" w:rsidP="00D14329">
      <w:pPr>
        <w:spacing w:line="360" w:lineRule="auto"/>
        <w:rPr>
          <w:lang w:val="en-GB"/>
        </w:rPr>
      </w:pPr>
      <w:r w:rsidRPr="00D14329">
        <w:rPr>
          <w:b/>
          <w:bCs/>
          <w:lang w:val="en-GB"/>
        </w:rPr>
        <w:t>Conclusion</w:t>
      </w:r>
    </w:p>
    <w:p w14:paraId="33A5AAE6" w14:textId="77777777" w:rsidR="00D14329" w:rsidRPr="00D14329" w:rsidRDefault="00D14329" w:rsidP="00D14329">
      <w:pPr>
        <w:spacing w:line="360" w:lineRule="auto"/>
        <w:rPr>
          <w:lang w:val="en-GB"/>
        </w:rPr>
      </w:pPr>
    </w:p>
    <w:p w14:paraId="759A11AB" w14:textId="77777777" w:rsidR="00D14329" w:rsidRPr="00D14329" w:rsidRDefault="00D14329" w:rsidP="00D14329">
      <w:pPr>
        <w:spacing w:line="360" w:lineRule="auto"/>
        <w:rPr>
          <w:lang w:val="en-GB"/>
        </w:rPr>
      </w:pPr>
      <w:r w:rsidRPr="00D14329">
        <w:rPr>
          <w:lang w:val="en-GB"/>
        </w:rPr>
        <w:t>Research should study larger and more diverse groups, including people of different ages and locations. Research outcomes should also encompass independence, involvement, relationships, employment, and quality of life in addition to diagnostic scores.</w:t>
      </w:r>
    </w:p>
    <w:p w14:paraId="32A4BE57" w14:textId="77777777" w:rsidR="00D14329" w:rsidRPr="00D14329" w:rsidRDefault="00D14329" w:rsidP="00D14329">
      <w:pPr>
        <w:spacing w:line="360" w:lineRule="auto"/>
        <w:rPr>
          <w:lang w:val="en-GB"/>
        </w:rPr>
      </w:pPr>
      <w:r w:rsidRPr="00D14329">
        <w:rPr>
          <w:lang w:val="en-GB"/>
        </w:rPr>
        <w:t>Summary. Mild disturbance of intellectual development is a helpful clinical categorization but cannot be derived from IQ alone. The emphasis on intellectual and adaptive functioning in ICD-11 is a stronger focus on everyday life, although recent data emphasizes the value of context, co-occurring disorders, and clinical judgment.</w:t>
      </w:r>
    </w:p>
    <w:p w14:paraId="7526D4C3" w14:textId="77777777" w:rsidR="00D14329" w:rsidRPr="00D14329" w:rsidRDefault="00D14329" w:rsidP="00D14329">
      <w:pPr>
        <w:spacing w:line="360" w:lineRule="auto"/>
        <w:rPr>
          <w:lang w:val="en-GB"/>
        </w:rPr>
      </w:pPr>
    </w:p>
    <w:p w14:paraId="6DBD2FC7" w14:textId="77777777" w:rsidR="00D14329" w:rsidRPr="00D14329" w:rsidRDefault="00D14329" w:rsidP="00D14329">
      <w:pPr>
        <w:spacing w:line="360" w:lineRule="auto"/>
        <w:rPr>
          <w:lang w:val="en-GB"/>
        </w:rPr>
      </w:pPr>
      <w:r w:rsidRPr="00D14329">
        <w:rPr>
          <w:lang w:val="en-GB"/>
        </w:rPr>
        <w:lastRenderedPageBreak/>
        <w:t>Treatment is best seen as support for development, mental health, independence, and participation, not as an attempt to get rid of the underlying developmental disorder. Psychosocial therapies and person-centred rehabilitation can provide valuable advantages, but their effectiveness depends on individual circumstances and the quality of the resources available.</w:t>
      </w:r>
    </w:p>
    <w:p w14:paraId="0DDED7B6" w14:textId="77777777" w:rsidR="00D14329" w:rsidRPr="00D14329" w:rsidRDefault="00D14329" w:rsidP="00D14329">
      <w:pPr>
        <w:spacing w:line="360" w:lineRule="auto"/>
        <w:rPr>
          <w:lang w:val="en-GB"/>
        </w:rPr>
      </w:pPr>
      <w:r w:rsidRPr="00D14329">
        <w:rPr>
          <w:lang w:val="en-GB"/>
        </w:rPr>
        <w:t xml:space="preserve">The neurodiversity debate also questions purely deficit-based readings of intellectual difference. But acknowledging neurological variation should not be a substitute for acknowledging real support requirements. The best overall approach is one that combines accurate classification with person-centred, evidence-based, and community-focused care. </w:t>
      </w:r>
    </w:p>
    <w:p w14:paraId="3672A6EC" w14:textId="77777777" w:rsidR="00D14329" w:rsidRDefault="00DE54DE" w:rsidP="00DE54DE">
      <w:pPr>
        <w:spacing w:line="360" w:lineRule="auto"/>
        <w:rPr>
          <w:b/>
          <w:bCs/>
        </w:rPr>
      </w:pPr>
      <w:r>
        <w:br/>
      </w:r>
      <w:r>
        <w:rPr>
          <w:b/>
          <w:bCs/>
        </w:rPr>
        <w:br/>
      </w:r>
      <w:r>
        <w:rPr>
          <w:b/>
          <w:bCs/>
        </w:rPr>
        <w:br/>
      </w:r>
      <w:r>
        <w:rPr>
          <w:b/>
          <w:bCs/>
        </w:rPr>
        <w:br/>
      </w:r>
      <w:r>
        <w:rPr>
          <w:b/>
          <w:bCs/>
        </w:rPr>
        <w:br/>
      </w:r>
      <w:r>
        <w:rPr>
          <w:b/>
          <w:bCs/>
        </w:rPr>
        <w:br/>
      </w:r>
      <w:r>
        <w:rPr>
          <w:b/>
          <w:bCs/>
        </w:rPr>
        <w:br/>
      </w:r>
      <w:r>
        <w:rPr>
          <w:b/>
          <w:bCs/>
        </w:rPr>
        <w:br/>
      </w:r>
    </w:p>
    <w:p w14:paraId="5F412E28" w14:textId="77777777" w:rsidR="00D14329" w:rsidRDefault="00D14329" w:rsidP="00DE54DE">
      <w:pPr>
        <w:spacing w:line="360" w:lineRule="auto"/>
        <w:rPr>
          <w:b/>
          <w:bCs/>
        </w:rPr>
      </w:pPr>
    </w:p>
    <w:p w14:paraId="77EA46E5" w14:textId="77777777" w:rsidR="00D14329" w:rsidRDefault="00D14329" w:rsidP="00DE54DE">
      <w:pPr>
        <w:spacing w:line="360" w:lineRule="auto"/>
        <w:rPr>
          <w:b/>
          <w:bCs/>
        </w:rPr>
      </w:pPr>
    </w:p>
    <w:p w14:paraId="5958A732" w14:textId="77777777" w:rsidR="00D14329" w:rsidRDefault="00D14329" w:rsidP="00DE54DE">
      <w:pPr>
        <w:spacing w:line="360" w:lineRule="auto"/>
        <w:rPr>
          <w:b/>
          <w:bCs/>
        </w:rPr>
      </w:pPr>
    </w:p>
    <w:p w14:paraId="2CA2E9CA" w14:textId="77777777" w:rsidR="00D14329" w:rsidRDefault="00D14329" w:rsidP="00DE54DE">
      <w:pPr>
        <w:spacing w:line="360" w:lineRule="auto"/>
        <w:rPr>
          <w:b/>
          <w:bCs/>
        </w:rPr>
      </w:pPr>
    </w:p>
    <w:p w14:paraId="09924D05" w14:textId="77777777" w:rsidR="00D14329" w:rsidRDefault="00D14329" w:rsidP="00DE54DE">
      <w:pPr>
        <w:spacing w:line="360" w:lineRule="auto"/>
        <w:rPr>
          <w:b/>
          <w:bCs/>
        </w:rPr>
      </w:pPr>
    </w:p>
    <w:p w14:paraId="68E3C97C" w14:textId="77777777" w:rsidR="00D14329" w:rsidRDefault="00D14329" w:rsidP="00DE54DE">
      <w:pPr>
        <w:spacing w:line="360" w:lineRule="auto"/>
        <w:rPr>
          <w:b/>
          <w:bCs/>
        </w:rPr>
      </w:pPr>
    </w:p>
    <w:p w14:paraId="5A737FC0" w14:textId="77777777" w:rsidR="00872E03" w:rsidRDefault="00DE54DE" w:rsidP="00872E03">
      <w:pPr>
        <w:pStyle w:val="NormalWeb"/>
      </w:pPr>
      <w:r w:rsidRPr="00DE54DE">
        <w:rPr>
          <w:b/>
          <w:bCs/>
        </w:rPr>
        <w:t>References</w:t>
      </w:r>
      <w:r>
        <w:br/>
      </w:r>
      <w:r>
        <w:br/>
      </w:r>
      <w:r w:rsidR="00872E03">
        <w:t xml:space="preserve">Cooper, S.-A. and Kogan, C.S. (2023) ‘Disorders of intellectual development’, in Tyrer, P. (ed.) </w:t>
      </w:r>
      <w:r w:rsidR="00872E03">
        <w:rPr>
          <w:rStyle w:val="Emphasis"/>
        </w:rPr>
        <w:t>Making sense of the ICD-11: For mental health professionals</w:t>
      </w:r>
      <w:r w:rsidR="00872E03">
        <w:t xml:space="preserve">. Cambridge: Cambridge University Press, pp. 122-134. </w:t>
      </w:r>
      <w:proofErr w:type="spellStart"/>
      <w:r w:rsidR="00872E03">
        <w:t>doi</w:t>
      </w:r>
      <w:proofErr w:type="spellEnd"/>
      <w:r w:rsidR="00872E03">
        <w:t>: 10.1017/9781009182232.011.</w:t>
      </w:r>
    </w:p>
    <w:p w14:paraId="1BF8BE2C" w14:textId="77777777" w:rsidR="00872E03" w:rsidRDefault="00872E03" w:rsidP="00872E03">
      <w:pPr>
        <w:pStyle w:val="NormalWeb"/>
      </w:pPr>
      <w:r>
        <w:t xml:space="preserve">Courtenay, K., Lane, T. and Sawhney, I. (2024) ‘Intellectual disability’, in Branford, D.M.L., Gangadharan, S.K., Barrett, M. and Alexander, R.T. (eds.) </w:t>
      </w:r>
      <w:r>
        <w:rPr>
          <w:rStyle w:val="Emphasis"/>
        </w:rPr>
        <w:t>The Frith prescribing guidelines for people with intellectual disability</w:t>
      </w:r>
      <w:r>
        <w:t xml:space="preserve">. 4th </w:t>
      </w:r>
      <w:proofErr w:type="spellStart"/>
      <w:r>
        <w:t>edn</w:t>
      </w:r>
      <w:proofErr w:type="spellEnd"/>
      <w:r>
        <w:t xml:space="preserve">. Cambridge: Cambridge University Press, pp. 1-12. </w:t>
      </w:r>
      <w:proofErr w:type="spellStart"/>
      <w:r>
        <w:t>doi</w:t>
      </w:r>
      <w:proofErr w:type="spellEnd"/>
      <w:r>
        <w:t>: 10.1017/9781009430715.003.</w:t>
      </w:r>
    </w:p>
    <w:p w14:paraId="30A45429" w14:textId="77777777" w:rsidR="00872E03" w:rsidRDefault="00872E03" w:rsidP="00872E03">
      <w:pPr>
        <w:pStyle w:val="NormalWeb"/>
      </w:pPr>
      <w:r>
        <w:lastRenderedPageBreak/>
        <w:t xml:space="preserve">Department of Health and Social Care (2022) </w:t>
      </w:r>
      <w:r>
        <w:rPr>
          <w:rStyle w:val="Emphasis"/>
        </w:rPr>
        <w:t>Building the right support action plan</w:t>
      </w:r>
      <w:r>
        <w:t>. London: Department of Health and Social Care.</w:t>
      </w:r>
    </w:p>
    <w:p w14:paraId="2B3D68E3" w14:textId="77777777" w:rsidR="00872E03" w:rsidRDefault="00872E03" w:rsidP="00872E03">
      <w:pPr>
        <w:pStyle w:val="NormalWeb"/>
      </w:pPr>
      <w:proofErr w:type="spellStart"/>
      <w:r>
        <w:t>Hollingdale</w:t>
      </w:r>
      <w:proofErr w:type="spellEnd"/>
      <w:r>
        <w:t xml:space="preserve">, J., Woodhouse, E., </w:t>
      </w:r>
      <w:proofErr w:type="spellStart"/>
      <w:r>
        <w:t>Tibber</w:t>
      </w:r>
      <w:proofErr w:type="spellEnd"/>
      <w:r>
        <w:t xml:space="preserve">, M.S., Simonoff, E., </w:t>
      </w:r>
      <w:proofErr w:type="spellStart"/>
      <w:r>
        <w:t>Hollocks</w:t>
      </w:r>
      <w:proofErr w:type="spellEnd"/>
      <w:r>
        <w:t xml:space="preserve">, M.J. and Charman, T. (2024) ‘The cumulative impact of attention deficit hyperactivity disorder, autism and intellectual disability for young people’, </w:t>
      </w:r>
      <w:r>
        <w:rPr>
          <w:rStyle w:val="Emphasis"/>
        </w:rPr>
        <w:t>Journal of Intellectual Disability Research</w:t>
      </w:r>
      <w:r>
        <w:t xml:space="preserve">, 68(9), pp. 1062-1076. </w:t>
      </w:r>
      <w:proofErr w:type="spellStart"/>
      <w:r>
        <w:t>doi</w:t>
      </w:r>
      <w:proofErr w:type="spellEnd"/>
      <w:r>
        <w:t>: 10.1111/jir.13170.</w:t>
      </w:r>
    </w:p>
    <w:p w14:paraId="6DED8495" w14:textId="77777777" w:rsidR="00872E03" w:rsidRDefault="00872E03" w:rsidP="00872E03">
      <w:pPr>
        <w:pStyle w:val="NormalWeb"/>
      </w:pPr>
      <w:r>
        <w:t xml:space="preserve">Lemay, K.R., Kogan, C.S., Rebello, T., Keeley, J.W., Bhargava, R., Buono, S., Cooray, S., Ginige, P., Kishore, M.T., Kommu, J.V.S., Recupero, M., Roy, A., Sharan, P. and Reed, G.M. (2024) ‘Implementation of the International Classification of Diseases 11th revision behavioural indicators for disorders of intellectual development with co-occurring autism spectrum disorder’, </w:t>
      </w:r>
      <w:r>
        <w:rPr>
          <w:rStyle w:val="Emphasis"/>
        </w:rPr>
        <w:t>Journal of Intellectual Disability Research</w:t>
      </w:r>
      <w:r>
        <w:t xml:space="preserve">, 68(10), pp. 1114-1128. </w:t>
      </w:r>
      <w:proofErr w:type="spellStart"/>
      <w:r>
        <w:t>doi</w:t>
      </w:r>
      <w:proofErr w:type="spellEnd"/>
      <w:r>
        <w:t>: 10.1111/jir.13146.</w:t>
      </w:r>
    </w:p>
    <w:p w14:paraId="4C044A34" w14:textId="77777777" w:rsidR="00872E03" w:rsidRDefault="00872E03" w:rsidP="00872E03">
      <w:pPr>
        <w:pStyle w:val="NormalWeb"/>
      </w:pPr>
      <w:r>
        <w:t xml:space="preserve">McCausland, D., Murphy, E., McCarron, M. and McCallion, P. (2022) ‘The potential for person-centred planning to support the community participation of adults with an intellectual disability’, </w:t>
      </w:r>
      <w:r>
        <w:rPr>
          <w:rStyle w:val="Emphasis"/>
        </w:rPr>
        <w:t>Journal of Intellectual Disabilities</w:t>
      </w:r>
      <w:r>
        <w:t xml:space="preserve">, 26(3), pp. 603-623. </w:t>
      </w:r>
      <w:proofErr w:type="spellStart"/>
      <w:r>
        <w:t>doi</w:t>
      </w:r>
      <w:proofErr w:type="spellEnd"/>
      <w:r>
        <w:t>: 10.1177/17446295211022125.</w:t>
      </w:r>
    </w:p>
    <w:p w14:paraId="5B9F9351" w14:textId="77777777" w:rsidR="00872E03" w:rsidRDefault="00872E03" w:rsidP="00872E03">
      <w:pPr>
        <w:pStyle w:val="NormalWeb"/>
      </w:pPr>
      <w:proofErr w:type="spellStart"/>
      <w:r>
        <w:t>Ratten</w:t>
      </w:r>
      <w:proofErr w:type="spellEnd"/>
      <w:r>
        <w:t xml:space="preserve">, V. (2025) ‘Neurodiversity and inclusive social value management practices’, </w:t>
      </w:r>
      <w:r>
        <w:rPr>
          <w:rStyle w:val="Emphasis"/>
        </w:rPr>
        <w:t>Journal of Management &amp; Organization</w:t>
      </w:r>
      <w:r>
        <w:t xml:space="preserve">, 31(1), pp. 298-306. </w:t>
      </w:r>
      <w:proofErr w:type="spellStart"/>
      <w:r>
        <w:t>doi</w:t>
      </w:r>
      <w:proofErr w:type="spellEnd"/>
      <w:r>
        <w:t>: 10.1017/jmo.2024.76.</w:t>
      </w:r>
    </w:p>
    <w:p w14:paraId="13E36FE2" w14:textId="77777777" w:rsidR="00872E03" w:rsidRDefault="00872E03" w:rsidP="00872E03">
      <w:pPr>
        <w:pStyle w:val="NormalWeb"/>
      </w:pPr>
      <w:r>
        <w:t xml:space="preserve">Ross, G.E., Hocken, K. and Auty, J.M. (2020) ‘The reliability and validity of the Adaptive Functioning Assessment Tool in UK custodial settings’, </w:t>
      </w:r>
      <w:r>
        <w:rPr>
          <w:rStyle w:val="Emphasis"/>
        </w:rPr>
        <w:t>Journal of Intellectual Disabilities</w:t>
      </w:r>
      <w:r>
        <w:t xml:space="preserve">, 24(1), pp. 35-49. </w:t>
      </w:r>
      <w:proofErr w:type="spellStart"/>
      <w:r>
        <w:t>doi</w:t>
      </w:r>
      <w:proofErr w:type="spellEnd"/>
      <w:r>
        <w:t>: 10.1177/1744629518762885.</w:t>
      </w:r>
    </w:p>
    <w:p w14:paraId="1747E255" w14:textId="77777777" w:rsidR="00872E03" w:rsidRDefault="00872E03" w:rsidP="00872E03">
      <w:pPr>
        <w:pStyle w:val="NormalWeb"/>
      </w:pPr>
      <w:proofErr w:type="spellStart"/>
      <w:r>
        <w:t>Totsika</w:t>
      </w:r>
      <w:proofErr w:type="spellEnd"/>
      <w:r>
        <w:t xml:space="preserve">, V., Yang, Z., Turner, L., Kohn, C., </w:t>
      </w:r>
      <w:proofErr w:type="spellStart"/>
      <w:r>
        <w:t>Hassiotis</w:t>
      </w:r>
      <w:proofErr w:type="spellEnd"/>
      <w:r>
        <w:t xml:space="preserve">, A., Kennedy, E., </w:t>
      </w:r>
      <w:proofErr w:type="spellStart"/>
      <w:r>
        <w:t>Absoud</w:t>
      </w:r>
      <w:proofErr w:type="spellEnd"/>
      <w:r>
        <w:t xml:space="preserve">, M., McNamara, R., Randell, E., Levitt, S., Grant, G., </w:t>
      </w:r>
      <w:proofErr w:type="spellStart"/>
      <w:r>
        <w:t>Casbard</w:t>
      </w:r>
      <w:proofErr w:type="spellEnd"/>
      <w:r>
        <w:t xml:space="preserve">, A., Jacobs, L., Di Santo, C., Buckley, C., Hignett, E. and Liew, A. (2025) ‘Mapping the pathway and support offered to children with an intellectual disability referred to specialist mental health services in the UK’, </w:t>
      </w:r>
      <w:proofErr w:type="spellStart"/>
      <w:r>
        <w:rPr>
          <w:rStyle w:val="Emphasis"/>
        </w:rPr>
        <w:t>BJPsych</w:t>
      </w:r>
      <w:proofErr w:type="spellEnd"/>
      <w:r>
        <w:rPr>
          <w:rStyle w:val="Emphasis"/>
        </w:rPr>
        <w:t xml:space="preserve"> Bulletin</w:t>
      </w:r>
      <w:r>
        <w:t xml:space="preserve">, 49(3), pp. 157-162. </w:t>
      </w:r>
      <w:proofErr w:type="spellStart"/>
      <w:r>
        <w:t>doi</w:t>
      </w:r>
      <w:proofErr w:type="spellEnd"/>
      <w:r>
        <w:t>: 10.1192/bjb.2024.63.</w:t>
      </w:r>
    </w:p>
    <w:p w14:paraId="3BC29751" w14:textId="77777777" w:rsidR="00872E03" w:rsidRDefault="00872E03" w:rsidP="00872E03">
      <w:pPr>
        <w:pStyle w:val="NormalWeb"/>
      </w:pPr>
      <w:r>
        <w:t xml:space="preserve">Windsor, C., Zhang, T., Wilson, N.J., Blyth, K., Ballentine, N. and Speyer, R. (2023) ‘Psychosocial-behavioural interventions for school-aged children with intellectual disabilities: A systematic review of randomised control trials’, </w:t>
      </w:r>
      <w:r>
        <w:rPr>
          <w:rStyle w:val="Emphasis"/>
        </w:rPr>
        <w:t>Journal of Applied Research in Intellectual Disabilities</w:t>
      </w:r>
      <w:r>
        <w:t xml:space="preserve">, 36(3), pp. 458-485. </w:t>
      </w:r>
      <w:proofErr w:type="spellStart"/>
      <w:r>
        <w:t>doi</w:t>
      </w:r>
      <w:proofErr w:type="spellEnd"/>
      <w:r>
        <w:t>: 10.1111/jar.13086.</w:t>
      </w:r>
    </w:p>
    <w:p w14:paraId="638044F1" w14:textId="3333E05C" w:rsidR="00DE54DE" w:rsidRPr="00DE54DE" w:rsidRDefault="00DE54DE" w:rsidP="00872E03">
      <w:pPr>
        <w:spacing w:line="360" w:lineRule="auto"/>
        <w:rPr>
          <w:sz w:val="22"/>
          <w:szCs w:val="22"/>
        </w:rPr>
      </w:pPr>
      <w:r>
        <w:rPr>
          <w:b/>
          <w:bCs/>
        </w:rPr>
        <w:br/>
      </w:r>
    </w:p>
    <w:p w14:paraId="2A11EBAB" w14:textId="298C6B65" w:rsidR="009B0D7A" w:rsidRDefault="009B0D7A" w:rsidP="00DE54DE">
      <w:pPr>
        <w:spacing w:after="494" w:line="360" w:lineRule="auto"/>
        <w:ind w:left="26"/>
        <w:jc w:val="center"/>
      </w:pPr>
    </w:p>
    <w:sectPr w:rsidR="009B0D7A">
      <w:pgSz w:w="11900" w:h="16840"/>
      <w:pgMar w:top="1440" w:right="1456" w:bottom="98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DD91B" w14:textId="77777777" w:rsidR="00A55517" w:rsidRDefault="00A55517" w:rsidP="00413FB5">
      <w:pPr>
        <w:spacing w:after="0" w:line="240" w:lineRule="auto"/>
      </w:pPr>
      <w:r>
        <w:separator/>
      </w:r>
    </w:p>
  </w:endnote>
  <w:endnote w:type="continuationSeparator" w:id="0">
    <w:p w14:paraId="2F23EFE4" w14:textId="77777777" w:rsidR="00A55517" w:rsidRDefault="00A55517" w:rsidP="00413F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ACB29" w14:textId="77777777" w:rsidR="00A55517" w:rsidRDefault="00A55517" w:rsidP="00413FB5">
      <w:pPr>
        <w:spacing w:after="0" w:line="240" w:lineRule="auto"/>
      </w:pPr>
      <w:r>
        <w:separator/>
      </w:r>
    </w:p>
  </w:footnote>
  <w:footnote w:type="continuationSeparator" w:id="0">
    <w:p w14:paraId="44BAB45D" w14:textId="77777777" w:rsidR="00A55517" w:rsidRDefault="00A55517" w:rsidP="00413F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C6B98"/>
    <w:multiLevelType w:val="hybridMultilevel"/>
    <w:tmpl w:val="60226DCE"/>
    <w:lvl w:ilvl="0" w:tplc="04A6BF6E">
      <w:start w:val="1"/>
      <w:numFmt w:val="bullet"/>
      <w:lvlText w:val="•"/>
      <w:lvlJc w:val="left"/>
      <w:pPr>
        <w:ind w:left="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61E284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CF01D02">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74EC4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8BA8C8C">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ED00E6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BB24FF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10D744">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4811CA">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576669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D7A"/>
    <w:rsid w:val="00413FB5"/>
    <w:rsid w:val="00872E03"/>
    <w:rsid w:val="009B0D7A"/>
    <w:rsid w:val="00A55517"/>
    <w:rsid w:val="00AE74F0"/>
    <w:rsid w:val="00C52100"/>
    <w:rsid w:val="00D14329"/>
    <w:rsid w:val="00D17EFC"/>
    <w:rsid w:val="00D863E7"/>
    <w:rsid w:val="00DE54DE"/>
    <w:rsid w:val="00F81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B16FA"/>
  <w15:docId w15:val="{503E9E31-94E5-4840-B897-B91D853D8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91" w:line="251" w:lineRule="auto"/>
      <w:ind w:left="10" w:hanging="10"/>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54DE"/>
    <w:rPr>
      <w:color w:val="0563C1" w:themeColor="hyperlink"/>
      <w:u w:val="single"/>
    </w:rPr>
  </w:style>
  <w:style w:type="character" w:styleId="UnresolvedMention">
    <w:name w:val="Unresolved Mention"/>
    <w:basedOn w:val="DefaultParagraphFont"/>
    <w:uiPriority w:val="99"/>
    <w:semiHidden/>
    <w:unhideWhenUsed/>
    <w:rsid w:val="00DE54DE"/>
    <w:rPr>
      <w:color w:val="605E5C"/>
      <w:shd w:val="clear" w:color="auto" w:fill="E1DFDD"/>
    </w:rPr>
  </w:style>
  <w:style w:type="paragraph" w:styleId="Header">
    <w:name w:val="header"/>
    <w:basedOn w:val="Normal"/>
    <w:link w:val="HeaderChar"/>
    <w:uiPriority w:val="99"/>
    <w:unhideWhenUsed/>
    <w:rsid w:val="00413F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FB5"/>
    <w:rPr>
      <w:rFonts w:ascii="Arial" w:eastAsia="Arial" w:hAnsi="Arial" w:cs="Arial"/>
      <w:color w:val="000000"/>
    </w:rPr>
  </w:style>
  <w:style w:type="paragraph" w:styleId="Footer">
    <w:name w:val="footer"/>
    <w:basedOn w:val="Normal"/>
    <w:link w:val="FooterChar"/>
    <w:uiPriority w:val="99"/>
    <w:unhideWhenUsed/>
    <w:rsid w:val="00413F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FB5"/>
    <w:rPr>
      <w:rFonts w:ascii="Arial" w:eastAsia="Arial" w:hAnsi="Arial" w:cs="Arial"/>
      <w:color w:val="000000"/>
    </w:rPr>
  </w:style>
  <w:style w:type="paragraph" w:styleId="NormalWeb">
    <w:name w:val="Normal (Web)"/>
    <w:basedOn w:val="Normal"/>
    <w:uiPriority w:val="99"/>
    <w:semiHidden/>
    <w:unhideWhenUsed/>
    <w:rsid w:val="00872E03"/>
    <w:pPr>
      <w:spacing w:before="100" w:beforeAutospacing="1" w:after="100" w:afterAutospacing="1" w:line="240" w:lineRule="auto"/>
      <w:ind w:left="0" w:firstLine="0"/>
    </w:pPr>
    <w:rPr>
      <w:rFonts w:ascii="Times New Roman" w:eastAsia="Times New Roman" w:hAnsi="Times New Roman" w:cs="Times New Roman"/>
      <w:color w:val="auto"/>
      <w:kern w:val="0"/>
      <w:lang w:val="en-GB" w:eastAsia="en-GB"/>
      <w14:ligatures w14:val="none"/>
    </w:rPr>
  </w:style>
  <w:style w:type="character" w:styleId="Emphasis">
    <w:name w:val="Emphasis"/>
    <w:basedOn w:val="DefaultParagraphFont"/>
    <w:uiPriority w:val="20"/>
    <w:qFormat/>
    <w:rsid w:val="00872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2839</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guidance C2 BMHP6029 3</vt:lpstr>
    </vt:vector>
  </TitlesOfParts>
  <Company/>
  <LinksUpToDate>false</LinksUpToDate>
  <CharactersWithSpaces>18990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C2 BMHP6029 3</dc:title>
  <dc:subject/>
  <dc:creator>salma lipi</dc:creator>
  <cp:keywords/>
  <cp:lastModifiedBy>salma Lipi</cp:lastModifiedBy>
  <cp:revision>2</cp:revision>
  <dcterms:created xsi:type="dcterms:W3CDTF">2026-08-13T20:44:00Z</dcterms:created>
  <dcterms:modified xsi:type="dcterms:W3CDTF">2026-08-13T20:44:00Z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73c1d0cd-3326-4255-a837-849cb80c60cb</vt:lpwstr>
  </property>
</Properties>
</file>