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3B58" w:rsidRPr="00A47621" w:rsidRDefault="00012B16" w:rsidP="0040668F">
      <w:pPr>
        <w:rPr>
          <w:rFonts w:ascii="Times New Roman" w:hAnsi="Times New Roman" w:cs="Times New Roman"/>
          <w:sz w:val="24"/>
          <w:szCs w:val="24"/>
        </w:rPr>
      </w:pPr>
      <w:r>
        <w:rPr>
          <w:rFonts w:ascii="Times New Roman" w:hAnsi="Times New Roman" w:cs="Times New Roman"/>
          <w:sz w:val="24"/>
          <w:szCs w:val="24"/>
        </w:rPr>
        <w:t>Social Care Wales</w:t>
      </w:r>
    </w:p>
    <w:p w:rsidR="00563B58" w:rsidRPr="00A47621" w:rsidRDefault="00F26A60" w:rsidP="0040668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563B58" w:rsidRPr="00A47621" w:rsidRDefault="00563B58" w:rsidP="0040668F">
      <w:pPr>
        <w:rPr>
          <w:rFonts w:ascii="Times New Roman" w:hAnsi="Times New Roman" w:cs="Times New Roman"/>
          <w:sz w:val="24"/>
          <w:szCs w:val="24"/>
        </w:rPr>
      </w:pP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85230E" w:rsidRDefault="0085230E" w:rsidP="00F927A1">
      <w:pPr>
        <w:overflowPunct/>
        <w:autoSpaceDE/>
        <w:autoSpaceDN/>
        <w:adjustRightInd/>
        <w:ind w:right="-957"/>
        <w:textAlignment w:val="auto"/>
        <w:rPr>
          <w:rFonts w:ascii="Times New Roman" w:hAnsi="Times New Roman" w:cs="Times New Roman"/>
          <w:b/>
          <w:color w:val="auto"/>
          <w:sz w:val="48"/>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7B11F5">
              <w:rPr>
                <w:rFonts w:ascii="Times New Roman" w:hAnsi="Times New Roman" w:cs="Times New Roman"/>
                <w:b/>
                <w:color w:val="auto"/>
                <w:sz w:val="48"/>
              </w:rPr>
              <w:t xml:space="preserve"> Ervins Jaudzems</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rsidR="0085230E" w:rsidRPr="005D3F07" w:rsidRDefault="009E220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1811101</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977626">
        <w:rPr>
          <w:rFonts w:ascii="Times New Roman" w:hAnsi="Times New Roman" w:cs="Times New Roman"/>
          <w:b/>
          <w:color w:val="auto"/>
          <w:sz w:val="48"/>
        </w:rPr>
        <w:t>8</w:t>
      </w:r>
      <w:r w:rsidR="008C7770">
        <w:rPr>
          <w:rFonts w:ascii="Times New Roman" w:hAnsi="Times New Roman" w:cs="Times New Roman"/>
          <w:b/>
          <w:color w:val="auto"/>
          <w:sz w:val="48"/>
        </w:rPr>
        <w:t>-201</w:t>
      </w:r>
      <w:r w:rsidR="00977626">
        <w:rPr>
          <w:rFonts w:ascii="Times New Roman" w:hAnsi="Times New Roman" w:cs="Times New Roman"/>
          <w:b/>
          <w:color w:val="auto"/>
          <w:sz w:val="48"/>
        </w:rPr>
        <w:t>9</w:t>
      </w:r>
    </w:p>
    <w:p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4B69F6" w:rsidRPr="0006581A" w:rsidRDefault="004B69F6" w:rsidP="00FF7EBB">
      <w:pPr>
        <w:jc w:val="both"/>
        <w:rPr>
          <w:color w:val="auto"/>
          <w:sz w:val="24"/>
          <w:szCs w:val="24"/>
        </w:rPr>
      </w:pPr>
    </w:p>
    <w:p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8B28E7" w:rsidRPr="00E35112" w:rsidRDefault="008B28E7"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rsidR="00FF7EBB" w:rsidRPr="00467F66" w:rsidRDefault="00FF7EBB" w:rsidP="00FF7EBB">
      <w:pPr>
        <w:jc w:val="both"/>
        <w:rPr>
          <w:color w:val="auto"/>
          <w:sz w:val="24"/>
          <w:szCs w:val="24"/>
        </w:rPr>
      </w:pPr>
    </w:p>
    <w:p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rsidR="00B12295" w:rsidRPr="00E97171" w:rsidRDefault="00B12295" w:rsidP="00FF7EBB">
      <w:pPr>
        <w:jc w:val="both"/>
        <w:rPr>
          <w:b/>
          <w:color w:val="auto"/>
          <w:sz w:val="24"/>
          <w:szCs w:val="24"/>
        </w:rPr>
      </w:pPr>
    </w:p>
    <w:p w:rsidR="008B28E7" w:rsidRPr="00E97171" w:rsidRDefault="008B28E7" w:rsidP="00FF7EBB">
      <w:pPr>
        <w:jc w:val="both"/>
        <w:rPr>
          <w:b/>
          <w:color w:val="auto"/>
          <w:sz w:val="24"/>
          <w:szCs w:val="24"/>
        </w:rPr>
      </w:pPr>
      <w:r w:rsidRPr="00E97171">
        <w:rPr>
          <w:b/>
          <w:color w:val="auto"/>
          <w:sz w:val="24"/>
          <w:szCs w:val="24"/>
        </w:rPr>
        <w:t xml:space="preserve">Contents </w:t>
      </w:r>
    </w:p>
    <w:p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rsidTr="0051287D">
        <w:tc>
          <w:tcPr>
            <w:tcW w:w="1240" w:type="dxa"/>
            <w:shd w:val="clear" w:color="auto" w:fill="auto"/>
          </w:tcPr>
          <w:p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rsidR="0002759A" w:rsidRPr="00FF07C3" w:rsidRDefault="0002759A" w:rsidP="00FF7EBB">
            <w:pPr>
              <w:jc w:val="both"/>
              <w:rPr>
                <w:b/>
                <w:color w:val="auto"/>
                <w:sz w:val="24"/>
                <w:szCs w:val="24"/>
              </w:rPr>
            </w:pPr>
            <w:r w:rsidRPr="00FF07C3">
              <w:rPr>
                <w:b/>
                <w:color w:val="auto"/>
                <w:sz w:val="24"/>
                <w:szCs w:val="24"/>
              </w:rPr>
              <w:t>Topic</w:t>
            </w:r>
          </w:p>
          <w:p w:rsidR="0002759A" w:rsidRPr="00FF07C3" w:rsidRDefault="0002759A" w:rsidP="00FF7EBB">
            <w:pPr>
              <w:jc w:val="both"/>
              <w:rPr>
                <w:b/>
                <w:color w:val="auto"/>
                <w:sz w:val="24"/>
                <w:szCs w:val="24"/>
              </w:rPr>
            </w:pPr>
          </w:p>
        </w:tc>
        <w:tc>
          <w:tcPr>
            <w:tcW w:w="1134" w:type="dxa"/>
          </w:tcPr>
          <w:p w:rsidR="0002759A" w:rsidRPr="00FF07C3" w:rsidRDefault="0002759A" w:rsidP="00FF7EBB">
            <w:pPr>
              <w:jc w:val="both"/>
              <w:rPr>
                <w:b/>
                <w:color w:val="auto"/>
                <w:sz w:val="24"/>
                <w:szCs w:val="24"/>
              </w:rPr>
            </w:pPr>
            <w:r>
              <w:rPr>
                <w:b/>
                <w:color w:val="auto"/>
                <w:sz w:val="24"/>
                <w:szCs w:val="24"/>
              </w:rPr>
              <w:t>Task no.</w:t>
            </w: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rsidR="0002759A" w:rsidRPr="00FF07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rsidR="0002759A" w:rsidRDefault="002C3031" w:rsidP="00E83F91">
            <w:pPr>
              <w:spacing w:line="360" w:lineRule="auto"/>
              <w:jc w:val="both"/>
              <w:rPr>
                <w:color w:val="auto"/>
                <w:sz w:val="24"/>
                <w:szCs w:val="24"/>
              </w:rPr>
            </w:pPr>
            <w:r>
              <w:rPr>
                <w:color w:val="auto"/>
                <w:sz w:val="24"/>
                <w:szCs w:val="24"/>
              </w:rPr>
              <w:t>4</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rsidR="0002759A" w:rsidRDefault="0002759A" w:rsidP="00E83F91">
            <w:pPr>
              <w:spacing w:line="360" w:lineRule="auto"/>
              <w:jc w:val="both"/>
              <w:rPr>
                <w:color w:val="auto"/>
                <w:sz w:val="24"/>
                <w:szCs w:val="24"/>
              </w:rPr>
            </w:pPr>
          </w:p>
        </w:tc>
      </w:tr>
    </w:tbl>
    <w:p w:rsidR="00E83F91" w:rsidRDefault="00E83F91" w:rsidP="00FF7EBB">
      <w:pPr>
        <w:jc w:val="both"/>
        <w:rPr>
          <w:b/>
          <w:sz w:val="24"/>
          <w:szCs w:val="24"/>
        </w:rPr>
      </w:pPr>
    </w:p>
    <w:p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rsidR="000A469A" w:rsidRPr="008B28E7" w:rsidRDefault="000A469A" w:rsidP="00FF7EBB">
      <w:pPr>
        <w:jc w:val="both"/>
        <w:rPr>
          <w:b/>
          <w:sz w:val="24"/>
          <w:szCs w:val="24"/>
        </w:rPr>
      </w:pPr>
    </w:p>
    <w:p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rsidR="004046F0" w:rsidRPr="008B28E7" w:rsidRDefault="004046F0" w:rsidP="00FF7EBB">
      <w:pPr>
        <w:jc w:val="both"/>
        <w:rPr>
          <w:b/>
          <w:sz w:val="24"/>
          <w:szCs w:val="24"/>
        </w:rPr>
      </w:pPr>
    </w:p>
    <w:p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rsidTr="00C7108B">
        <w:tc>
          <w:tcPr>
            <w:tcW w:w="10278" w:type="dxa"/>
            <w:shd w:val="clear" w:color="auto" w:fill="auto"/>
          </w:tcPr>
          <w:p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rsidR="00E35112" w:rsidRPr="00FF07C3" w:rsidRDefault="00E35112" w:rsidP="00E35112">
            <w:pPr>
              <w:jc w:val="both"/>
              <w:rPr>
                <w:sz w:val="24"/>
                <w:szCs w:val="24"/>
              </w:rPr>
            </w:pPr>
          </w:p>
          <w:p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rsidR="00E35112" w:rsidRDefault="00E35112" w:rsidP="00E35112">
            <w:pPr>
              <w:jc w:val="both"/>
              <w:rPr>
                <w:sz w:val="24"/>
                <w:szCs w:val="24"/>
              </w:rPr>
            </w:pPr>
          </w:p>
          <w:p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rsidR="008C7770" w:rsidRPr="0049196A" w:rsidRDefault="008C7770" w:rsidP="00E35112">
            <w:pPr>
              <w:jc w:val="both"/>
              <w:rPr>
                <w:i/>
                <w:sz w:val="24"/>
                <w:szCs w:val="24"/>
              </w:rPr>
            </w:pPr>
          </w:p>
        </w:tc>
      </w:tr>
    </w:tbl>
    <w:p w:rsidR="00FF7784" w:rsidRPr="008B28E7" w:rsidRDefault="00FF7784" w:rsidP="00FF7EBB">
      <w:pPr>
        <w:jc w:val="both"/>
        <w:rPr>
          <w:sz w:val="24"/>
          <w:szCs w:val="24"/>
        </w:rPr>
      </w:pPr>
    </w:p>
    <w:p w:rsidR="00192F4E" w:rsidRPr="00192F4E" w:rsidRDefault="00192F4E" w:rsidP="00192F4E">
      <w:pPr>
        <w:overflowPunct/>
        <w:autoSpaceDE/>
        <w:autoSpaceDN/>
        <w:adjustRightInd/>
        <w:jc w:val="both"/>
        <w:textAlignment w:val="auto"/>
        <w:rPr>
          <w:rFonts w:eastAsiaTheme="minorHAnsi"/>
          <w:color w:val="auto"/>
          <w:sz w:val="24"/>
          <w:szCs w:val="24"/>
          <w:lang w:eastAsia="en-US"/>
        </w:rPr>
      </w:pPr>
      <w:r w:rsidRPr="00192F4E">
        <w:rPr>
          <w:rFonts w:eastAsiaTheme="minorHAnsi"/>
          <w:color w:val="auto"/>
          <w:sz w:val="24"/>
          <w:szCs w:val="24"/>
          <w:lang w:eastAsia="en-US"/>
        </w:rPr>
        <w:t>I am working in a First Contact Team for adults in a Local Authority in Wales. This post provides varied and continued learning opportunities aiding my development, whilst managing competing demands of complex and diverse cases. Applying a structured learning to my practice has ensured continued development in accordance to my learning needs identified in my individual learning plan. This was achieved by means of active cases, a range of learning opportunities, training and supervision. I fully participated and embraced reflective discussions with my peers, management and other professionals in order to achieve shared learning.</w:t>
      </w:r>
    </w:p>
    <w:p w:rsidR="00192F4E" w:rsidRPr="00192F4E" w:rsidRDefault="00192F4E" w:rsidP="00192F4E">
      <w:pPr>
        <w:overflowPunct/>
        <w:autoSpaceDE/>
        <w:autoSpaceDN/>
        <w:adjustRightInd/>
        <w:jc w:val="both"/>
        <w:textAlignment w:val="auto"/>
        <w:rPr>
          <w:rFonts w:eastAsiaTheme="minorHAnsi"/>
          <w:color w:val="auto"/>
          <w:sz w:val="24"/>
          <w:szCs w:val="24"/>
          <w:lang w:eastAsia="en-US"/>
        </w:rPr>
      </w:pPr>
    </w:p>
    <w:p w:rsidR="00192F4E" w:rsidRPr="00192F4E" w:rsidRDefault="00192F4E" w:rsidP="00192F4E">
      <w:pPr>
        <w:overflowPunct/>
        <w:autoSpaceDE/>
        <w:autoSpaceDN/>
        <w:adjustRightInd/>
        <w:jc w:val="both"/>
        <w:textAlignment w:val="auto"/>
        <w:rPr>
          <w:rFonts w:eastAsiaTheme="minorHAnsi"/>
          <w:color w:val="auto"/>
          <w:sz w:val="24"/>
          <w:szCs w:val="24"/>
          <w:lang w:eastAsia="en-US"/>
        </w:rPr>
      </w:pPr>
      <w:r w:rsidRPr="00192F4E">
        <w:rPr>
          <w:rFonts w:eastAsiaTheme="minorHAnsi"/>
          <w:color w:val="auto"/>
          <w:sz w:val="24"/>
          <w:szCs w:val="24"/>
          <w:lang w:eastAsia="en-US"/>
        </w:rPr>
        <w:t>My final placement was in a hospice where the focus of the work was primarily working with palliative citizens/families. Due to the setting the work I undertook was more focused on psychosocial therapeutic intervention for citizens/families. In order to progress in my career as a qualified social worker, it was identified I needed to develop further on priority management whilst holding a comprehensive and diverse caseload. To identify and manage risks by applying effective social work analysis and increase confidence in my role.</w:t>
      </w:r>
    </w:p>
    <w:p w:rsidR="00192F4E" w:rsidRPr="00192F4E" w:rsidRDefault="00192F4E" w:rsidP="00192F4E">
      <w:pPr>
        <w:overflowPunct/>
        <w:autoSpaceDE/>
        <w:autoSpaceDN/>
        <w:adjustRightInd/>
        <w:jc w:val="both"/>
        <w:textAlignment w:val="auto"/>
        <w:rPr>
          <w:rFonts w:eastAsiaTheme="minorHAnsi"/>
          <w:color w:val="auto"/>
          <w:sz w:val="24"/>
          <w:szCs w:val="24"/>
          <w:lang w:eastAsia="en-US"/>
        </w:rPr>
      </w:pPr>
    </w:p>
    <w:p w:rsidR="00192F4E" w:rsidRPr="00192F4E" w:rsidRDefault="00192F4E" w:rsidP="00192F4E">
      <w:pPr>
        <w:overflowPunct/>
        <w:autoSpaceDE/>
        <w:autoSpaceDN/>
        <w:adjustRightInd/>
        <w:jc w:val="both"/>
        <w:textAlignment w:val="auto"/>
        <w:rPr>
          <w:rFonts w:eastAsiaTheme="minorHAnsi"/>
          <w:color w:val="auto"/>
          <w:sz w:val="24"/>
          <w:szCs w:val="24"/>
          <w:lang w:eastAsia="en-US"/>
        </w:rPr>
      </w:pPr>
      <w:r w:rsidRPr="00192F4E">
        <w:rPr>
          <w:rFonts w:eastAsiaTheme="minorHAnsi"/>
          <w:color w:val="auto"/>
          <w:sz w:val="24"/>
          <w:szCs w:val="24"/>
          <w:lang w:eastAsia="en-US"/>
        </w:rPr>
        <w:t>Through the work I undertook with citizens, families and professionals I used person-centred and strength-based approach. This is evidenced by undertaking assessments, co-producing care plans, balancing/estimating risk vs rights of the citizen in a person-centred w</w:t>
      </w:r>
      <w:r w:rsidR="00B50EC3">
        <w:rPr>
          <w:rFonts w:eastAsiaTheme="minorHAnsi"/>
          <w:color w:val="auto"/>
          <w:sz w:val="24"/>
          <w:szCs w:val="24"/>
          <w:lang w:eastAsia="en-US"/>
        </w:rPr>
        <w:t>ay. In accordance with the Social Services and Wellbeing (Wales) Act 2014</w:t>
      </w:r>
      <w:r w:rsidRPr="00192F4E">
        <w:rPr>
          <w:rFonts w:eastAsiaTheme="minorHAnsi"/>
          <w:color w:val="auto"/>
          <w:sz w:val="24"/>
          <w:szCs w:val="24"/>
          <w:lang w:eastAsia="en-US"/>
        </w:rPr>
        <w:t>, the citizens and their carers are in the centre of social work pr</w:t>
      </w:r>
      <w:r w:rsidR="00B21B2B">
        <w:rPr>
          <w:rFonts w:eastAsiaTheme="minorHAnsi"/>
          <w:color w:val="auto"/>
          <w:sz w:val="24"/>
          <w:szCs w:val="24"/>
          <w:lang w:eastAsia="en-US"/>
        </w:rPr>
        <w:t>actice. According to Payne (2011</w:t>
      </w:r>
      <w:r w:rsidRPr="00192F4E">
        <w:rPr>
          <w:rFonts w:eastAsiaTheme="minorHAnsi"/>
          <w:color w:val="auto"/>
          <w:sz w:val="24"/>
          <w:szCs w:val="24"/>
          <w:lang w:eastAsia="en-US"/>
        </w:rPr>
        <w:t>), the person-centred approach involves co-operation and positive relationships with the practi</w:t>
      </w:r>
      <w:r w:rsidR="00FD541A">
        <w:rPr>
          <w:rFonts w:eastAsiaTheme="minorHAnsi"/>
          <w:color w:val="auto"/>
          <w:sz w:val="24"/>
          <w:szCs w:val="24"/>
          <w:lang w:eastAsia="en-US"/>
        </w:rPr>
        <w:t xml:space="preserve">tioner and the individuals. Parker and Bradley (2010) </w:t>
      </w:r>
      <w:r w:rsidRPr="00192F4E">
        <w:rPr>
          <w:rFonts w:eastAsiaTheme="minorHAnsi"/>
          <w:color w:val="auto"/>
          <w:sz w:val="24"/>
          <w:szCs w:val="24"/>
          <w:lang w:eastAsia="en-US"/>
        </w:rPr>
        <w:t>supports this stating individuals should be involved in the assessment and intervention processes as equal partners.</w:t>
      </w:r>
    </w:p>
    <w:p w:rsidR="00192F4E" w:rsidRPr="00192F4E" w:rsidRDefault="00192F4E" w:rsidP="00192F4E">
      <w:pPr>
        <w:overflowPunct/>
        <w:autoSpaceDE/>
        <w:autoSpaceDN/>
        <w:adjustRightInd/>
        <w:jc w:val="both"/>
        <w:textAlignment w:val="auto"/>
        <w:rPr>
          <w:rFonts w:eastAsiaTheme="minorHAnsi"/>
          <w:color w:val="auto"/>
          <w:sz w:val="24"/>
          <w:szCs w:val="24"/>
          <w:lang w:eastAsia="en-US"/>
        </w:rPr>
      </w:pPr>
    </w:p>
    <w:p w:rsidR="00192F4E" w:rsidRPr="00192F4E" w:rsidRDefault="00192F4E" w:rsidP="00192F4E">
      <w:pPr>
        <w:overflowPunct/>
        <w:autoSpaceDE/>
        <w:autoSpaceDN/>
        <w:adjustRightInd/>
        <w:jc w:val="both"/>
        <w:textAlignment w:val="auto"/>
        <w:rPr>
          <w:rFonts w:eastAsiaTheme="minorHAnsi"/>
          <w:color w:val="auto"/>
          <w:sz w:val="24"/>
          <w:szCs w:val="24"/>
          <w:lang w:eastAsia="en-US"/>
        </w:rPr>
      </w:pPr>
      <w:r w:rsidRPr="00192F4E">
        <w:rPr>
          <w:rFonts w:eastAsiaTheme="minorHAnsi"/>
          <w:color w:val="auto"/>
          <w:sz w:val="24"/>
          <w:szCs w:val="24"/>
          <w:lang w:eastAsia="en-US"/>
        </w:rPr>
        <w:t xml:space="preserve">Developmentally, it was identified that I needed to improve confidence in professional decision making whilst working in increasingly complex situations. I had opportunities to achieve this </w:t>
      </w:r>
      <w:r w:rsidRPr="00192F4E">
        <w:rPr>
          <w:rFonts w:eastAsiaTheme="minorHAnsi"/>
          <w:color w:val="auto"/>
          <w:sz w:val="24"/>
          <w:szCs w:val="24"/>
          <w:lang w:eastAsia="en-US"/>
        </w:rPr>
        <w:lastRenderedPageBreak/>
        <w:t xml:space="preserve">working in partnership with other professionals by participating in decision making processes and a shared knowledge base even when conflict has been present. </w:t>
      </w:r>
    </w:p>
    <w:p w:rsidR="00192F4E" w:rsidRPr="00192F4E" w:rsidRDefault="00192F4E" w:rsidP="00192F4E">
      <w:pPr>
        <w:overflowPunct/>
        <w:autoSpaceDE/>
        <w:autoSpaceDN/>
        <w:adjustRightInd/>
        <w:jc w:val="both"/>
        <w:textAlignment w:val="auto"/>
        <w:rPr>
          <w:rFonts w:eastAsiaTheme="minorHAnsi"/>
          <w:color w:val="auto"/>
          <w:sz w:val="24"/>
          <w:szCs w:val="24"/>
          <w:lang w:eastAsia="en-US"/>
        </w:rPr>
      </w:pPr>
    </w:p>
    <w:p w:rsidR="00192F4E" w:rsidRPr="00192F4E" w:rsidRDefault="00192F4E" w:rsidP="00192F4E">
      <w:pPr>
        <w:overflowPunct/>
        <w:autoSpaceDE/>
        <w:autoSpaceDN/>
        <w:adjustRightInd/>
        <w:jc w:val="both"/>
        <w:textAlignment w:val="auto"/>
        <w:rPr>
          <w:rFonts w:eastAsiaTheme="minorHAnsi"/>
          <w:color w:val="auto"/>
          <w:sz w:val="24"/>
          <w:szCs w:val="24"/>
          <w:lang w:eastAsia="en-US"/>
        </w:rPr>
      </w:pPr>
      <w:r w:rsidRPr="00192F4E">
        <w:rPr>
          <w:rFonts w:eastAsiaTheme="minorHAnsi"/>
          <w:color w:val="auto"/>
          <w:sz w:val="24"/>
          <w:szCs w:val="24"/>
          <w:lang w:eastAsia="en-US"/>
        </w:rPr>
        <w:t xml:space="preserve">The progress I made in relation to professional judgment and positive collaboration with other professionals is evidenced by feedback received from my supervisor and citizens, as well as by records of care planning and observed positive change in the citizens’ lives. </w:t>
      </w:r>
    </w:p>
    <w:p w:rsidR="00192F4E" w:rsidRPr="00192F4E" w:rsidRDefault="00192F4E" w:rsidP="00192F4E">
      <w:pPr>
        <w:overflowPunct/>
        <w:autoSpaceDE/>
        <w:autoSpaceDN/>
        <w:adjustRightInd/>
        <w:jc w:val="both"/>
        <w:textAlignment w:val="auto"/>
        <w:rPr>
          <w:rFonts w:eastAsiaTheme="minorHAnsi"/>
          <w:color w:val="auto"/>
          <w:sz w:val="24"/>
          <w:szCs w:val="24"/>
          <w:lang w:eastAsia="en-US"/>
        </w:rPr>
      </w:pPr>
    </w:p>
    <w:p w:rsidR="00192F4E" w:rsidRPr="00192F4E" w:rsidRDefault="00192F4E" w:rsidP="00192F4E">
      <w:pPr>
        <w:overflowPunct/>
        <w:autoSpaceDE/>
        <w:autoSpaceDN/>
        <w:adjustRightInd/>
        <w:jc w:val="both"/>
        <w:textAlignment w:val="auto"/>
        <w:rPr>
          <w:rFonts w:eastAsiaTheme="minorHAnsi"/>
          <w:color w:val="auto"/>
          <w:sz w:val="24"/>
          <w:szCs w:val="24"/>
          <w:lang w:eastAsia="en-US"/>
        </w:rPr>
      </w:pPr>
      <w:r w:rsidRPr="00192F4E">
        <w:rPr>
          <w:rFonts w:eastAsiaTheme="minorHAnsi"/>
          <w:color w:val="auto"/>
          <w:sz w:val="24"/>
          <w:szCs w:val="24"/>
          <w:lang w:eastAsia="en-US"/>
        </w:rPr>
        <w:t>I am continually updating my knowledge base through practical experience, reading, applying legislative frameworks, reflective supervisions and participating in reflective learning sets with my peers. These have enhanced my knowledge, resilience and confidence in practice. As info</w:t>
      </w:r>
      <w:r w:rsidR="00FD541A">
        <w:rPr>
          <w:rFonts w:eastAsiaTheme="minorHAnsi"/>
          <w:color w:val="auto"/>
          <w:sz w:val="24"/>
          <w:szCs w:val="24"/>
          <w:lang w:eastAsia="en-US"/>
        </w:rPr>
        <w:t>rmed by Pack (2013)</w:t>
      </w:r>
      <w:r w:rsidRPr="00192F4E">
        <w:rPr>
          <w:rFonts w:eastAsiaTheme="minorHAnsi"/>
          <w:color w:val="auto"/>
          <w:sz w:val="24"/>
          <w:szCs w:val="24"/>
          <w:lang w:eastAsia="en-US"/>
        </w:rPr>
        <w:t>, I have utilised the supervisions to enhance my critical reflection skills in order to collect, process and analyse the information. To conclude, the skills I have acquired have developed my critical thinking, professional decision making and reflective practice skills. Accordingly the learning theory defined by Kolb (1984), I could say that I have made developmental progress via reflective observation and active experimentation.</w:t>
      </w:r>
    </w:p>
    <w:p w:rsidR="00192F4E" w:rsidRPr="00192F4E" w:rsidRDefault="00192F4E" w:rsidP="00192F4E">
      <w:pPr>
        <w:overflowPunct/>
        <w:autoSpaceDE/>
        <w:autoSpaceDN/>
        <w:adjustRightInd/>
        <w:jc w:val="both"/>
        <w:textAlignment w:val="auto"/>
        <w:rPr>
          <w:rFonts w:eastAsiaTheme="minorHAnsi"/>
          <w:color w:val="auto"/>
          <w:sz w:val="24"/>
          <w:szCs w:val="24"/>
          <w:lang w:eastAsia="en-US"/>
        </w:rPr>
      </w:pPr>
    </w:p>
    <w:p w:rsidR="00192F4E" w:rsidRPr="00192F4E" w:rsidRDefault="00A03AB6" w:rsidP="00192F4E">
      <w:pPr>
        <w:overflowPunct/>
        <w:autoSpaceDE/>
        <w:autoSpaceDN/>
        <w:adjustRightInd/>
        <w:jc w:val="both"/>
        <w:textAlignment w:val="auto"/>
        <w:rPr>
          <w:rFonts w:eastAsiaTheme="minorHAnsi"/>
          <w:color w:val="auto"/>
          <w:sz w:val="24"/>
          <w:szCs w:val="24"/>
          <w:lang w:eastAsia="en-US"/>
        </w:rPr>
      </w:pPr>
      <w:r>
        <w:rPr>
          <w:rFonts w:eastAsiaTheme="minorHAnsi"/>
          <w:color w:val="auto"/>
          <w:sz w:val="24"/>
          <w:szCs w:val="24"/>
          <w:lang w:eastAsia="en-US"/>
        </w:rPr>
        <w:t>Word count: 468</w:t>
      </w:r>
      <w:r w:rsidR="00192F4E" w:rsidRPr="00192F4E">
        <w:rPr>
          <w:rFonts w:eastAsiaTheme="minorHAnsi"/>
          <w:color w:val="auto"/>
          <w:sz w:val="24"/>
          <w:szCs w:val="24"/>
          <w:lang w:eastAsia="en-US"/>
        </w:rPr>
        <w:t xml:space="preserve"> (min 450; optimal 500; max 550)</w:t>
      </w:r>
    </w:p>
    <w:p w:rsidR="00E559CE" w:rsidRDefault="00E559CE" w:rsidP="00571AC9">
      <w:pPr>
        <w:jc w:val="both"/>
        <w:rPr>
          <w:b/>
          <w:sz w:val="24"/>
          <w:szCs w:val="24"/>
        </w:rPr>
      </w:pPr>
    </w:p>
    <w:p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rsidR="004046F0" w:rsidRPr="008B28E7" w:rsidRDefault="004046F0" w:rsidP="00FF7EBB">
      <w:pPr>
        <w:jc w:val="both"/>
        <w:rPr>
          <w:b/>
          <w:sz w:val="24"/>
          <w:szCs w:val="24"/>
        </w:rPr>
      </w:pPr>
    </w:p>
    <w:p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rsidR="00E559CE" w:rsidRPr="008B28E7" w:rsidRDefault="00E559CE" w:rsidP="00E559CE">
      <w:pPr>
        <w:jc w:val="both"/>
        <w:rPr>
          <w:sz w:val="24"/>
          <w:szCs w:val="24"/>
        </w:rPr>
      </w:pPr>
    </w:p>
    <w:p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rsidR="00986B43" w:rsidRDefault="00986B43" w:rsidP="00FF7EBB">
      <w:pPr>
        <w:jc w:val="both"/>
        <w:rPr>
          <w:i/>
          <w:sz w:val="24"/>
          <w:szCs w:val="24"/>
        </w:rPr>
      </w:pPr>
    </w:p>
    <w:p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rsidR="00D55DE0" w:rsidRDefault="00D55DE0" w:rsidP="00FF7EBB">
      <w:pPr>
        <w:jc w:val="both"/>
        <w:rPr>
          <w:i/>
          <w:sz w:val="24"/>
          <w:szCs w:val="24"/>
        </w:rPr>
      </w:pPr>
    </w:p>
    <w:p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576A56">
        <w:rPr>
          <w:sz w:val="24"/>
          <w:szCs w:val="24"/>
        </w:rPr>
        <w:t>03/05/2019</w:t>
      </w:r>
      <w:r w:rsidR="00C7108B">
        <w:rPr>
          <w:sz w:val="24"/>
          <w:szCs w:val="24"/>
        </w:rPr>
        <w:t xml:space="preserve"> </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278" w:type="dxa"/>
            <w:shd w:val="clear" w:color="auto" w:fill="auto"/>
          </w:tcPr>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rsidR="008C7770" w:rsidRDefault="008C7770" w:rsidP="00FF7EBB">
            <w:pPr>
              <w:jc w:val="both"/>
              <w:rPr>
                <w:i/>
                <w:sz w:val="24"/>
                <w:szCs w:val="24"/>
              </w:rPr>
            </w:pPr>
          </w:p>
          <w:p w:rsidR="008C7770" w:rsidRPr="008B28E7" w:rsidRDefault="008C7770" w:rsidP="00FF7EBB">
            <w:pPr>
              <w:jc w:val="both"/>
              <w:rPr>
                <w:i/>
                <w:sz w:val="24"/>
                <w:szCs w:val="24"/>
              </w:rPr>
            </w:pPr>
          </w:p>
        </w:tc>
      </w:tr>
    </w:tbl>
    <w:p w:rsidR="00AA666E" w:rsidRPr="008B28E7" w:rsidRDefault="00AA666E" w:rsidP="00FF7EBB">
      <w:pPr>
        <w:jc w:val="both"/>
        <w:rPr>
          <w:sz w:val="24"/>
          <w:szCs w:val="24"/>
        </w:rPr>
      </w:pPr>
    </w:p>
    <w:p w:rsidR="00AA666E" w:rsidRDefault="00AA666E" w:rsidP="00FF7EBB">
      <w:pPr>
        <w:jc w:val="both"/>
        <w:rPr>
          <w:sz w:val="24"/>
          <w:szCs w:val="24"/>
        </w:rPr>
      </w:pPr>
    </w:p>
    <w:p w:rsidR="00BA4005" w:rsidRPr="00BA4005" w:rsidRDefault="00BA4005" w:rsidP="00BA4005">
      <w:pPr>
        <w:overflowPunct/>
        <w:autoSpaceDE/>
        <w:autoSpaceDN/>
        <w:adjustRightInd/>
        <w:jc w:val="both"/>
        <w:textAlignment w:val="auto"/>
        <w:rPr>
          <w:rFonts w:eastAsiaTheme="minorHAnsi"/>
          <w:color w:val="auto"/>
          <w:sz w:val="24"/>
          <w:szCs w:val="24"/>
          <w:lang w:eastAsia="en-US"/>
        </w:rPr>
      </w:pPr>
      <w:r w:rsidRPr="00BA4005">
        <w:rPr>
          <w:rFonts w:eastAsiaTheme="minorHAnsi"/>
          <w:color w:val="auto"/>
          <w:sz w:val="24"/>
          <w:szCs w:val="24"/>
          <w:lang w:eastAsia="en-US"/>
        </w:rPr>
        <w:t xml:space="preserve">Citizen 1 is a widowed white British non-Welsh speaking gentleman in his 70s. Citizen 1 is living in a central part of a small Welsh town. His wife passed away approximately 9 years ago and he has no children or other close family. Citizen 1 was referred to the local Adult Social Care Team by Police. The referral stated that Citizen 1 is suffering from reduced mobility, confusion and self-neglect. Moreover, the referral stated that the property where Citizen 1 is living is </w:t>
      </w:r>
      <w:r w:rsidR="000D1E09">
        <w:rPr>
          <w:rFonts w:eastAsiaTheme="minorHAnsi"/>
          <w:color w:val="auto"/>
          <w:sz w:val="24"/>
          <w:szCs w:val="24"/>
          <w:lang w:eastAsia="en-US"/>
        </w:rPr>
        <w:t>un</w:t>
      </w:r>
      <w:r w:rsidRPr="00BA4005">
        <w:rPr>
          <w:rFonts w:eastAsiaTheme="minorHAnsi"/>
          <w:color w:val="auto"/>
          <w:sz w:val="24"/>
          <w:szCs w:val="24"/>
          <w:lang w:eastAsia="en-US"/>
        </w:rPr>
        <w:t>inhabitable.</w:t>
      </w:r>
    </w:p>
    <w:p w:rsidR="00BA4005" w:rsidRPr="00BA4005" w:rsidRDefault="00BA4005" w:rsidP="00BA4005">
      <w:pPr>
        <w:overflowPunct/>
        <w:autoSpaceDE/>
        <w:autoSpaceDN/>
        <w:adjustRightInd/>
        <w:jc w:val="both"/>
        <w:textAlignment w:val="auto"/>
        <w:rPr>
          <w:rFonts w:eastAsiaTheme="minorHAnsi"/>
          <w:color w:val="auto"/>
          <w:sz w:val="24"/>
          <w:szCs w:val="24"/>
          <w:lang w:eastAsia="en-US"/>
        </w:rPr>
      </w:pPr>
    </w:p>
    <w:p w:rsidR="00BA4005" w:rsidRPr="00BA4005" w:rsidRDefault="00BA4005" w:rsidP="00BA4005">
      <w:pPr>
        <w:overflowPunct/>
        <w:autoSpaceDE/>
        <w:autoSpaceDN/>
        <w:adjustRightInd/>
        <w:jc w:val="both"/>
        <w:textAlignment w:val="auto"/>
        <w:rPr>
          <w:rFonts w:eastAsiaTheme="minorHAnsi"/>
          <w:color w:val="auto"/>
          <w:sz w:val="24"/>
          <w:szCs w:val="24"/>
          <w:lang w:eastAsia="en-US"/>
        </w:rPr>
      </w:pPr>
      <w:r w:rsidRPr="00BA4005">
        <w:rPr>
          <w:rFonts w:eastAsiaTheme="minorHAnsi"/>
          <w:color w:val="auto"/>
          <w:sz w:val="24"/>
          <w:szCs w:val="24"/>
          <w:lang w:eastAsia="en-US"/>
        </w:rPr>
        <w:lastRenderedPageBreak/>
        <w:t>At the beginning on my involvement with Citizen 1, it was identified that he suffers from reduced mobility, low mood, lack of motivation and social isolation. Furthermore, Citizen 1 has not been seen by his Doctor for longer than 5 years. The accommodation where the citizen 1 was living had no access to hot water, heating or kitchen facilities.</w:t>
      </w:r>
    </w:p>
    <w:p w:rsidR="00BA4005" w:rsidRPr="00BA4005" w:rsidRDefault="00BA4005" w:rsidP="00BA4005">
      <w:pPr>
        <w:overflowPunct/>
        <w:autoSpaceDE/>
        <w:autoSpaceDN/>
        <w:adjustRightInd/>
        <w:jc w:val="both"/>
        <w:textAlignment w:val="auto"/>
        <w:rPr>
          <w:rFonts w:eastAsiaTheme="minorHAnsi"/>
          <w:color w:val="auto"/>
          <w:sz w:val="24"/>
          <w:szCs w:val="24"/>
          <w:lang w:eastAsia="en-US"/>
        </w:rPr>
      </w:pPr>
    </w:p>
    <w:p w:rsidR="00BA4005" w:rsidRPr="00BA4005" w:rsidRDefault="00BA4005" w:rsidP="00BA4005">
      <w:pPr>
        <w:overflowPunct/>
        <w:autoSpaceDE/>
        <w:autoSpaceDN/>
        <w:adjustRightInd/>
        <w:jc w:val="both"/>
        <w:textAlignment w:val="auto"/>
        <w:rPr>
          <w:rFonts w:eastAsiaTheme="minorHAnsi"/>
          <w:color w:val="auto"/>
          <w:sz w:val="24"/>
          <w:szCs w:val="24"/>
          <w:lang w:eastAsia="en-US"/>
        </w:rPr>
      </w:pPr>
      <w:r w:rsidRPr="00BA4005">
        <w:rPr>
          <w:rFonts w:eastAsiaTheme="minorHAnsi"/>
          <w:color w:val="auto"/>
          <w:sz w:val="24"/>
          <w:szCs w:val="24"/>
          <w:lang w:eastAsia="en-US"/>
        </w:rPr>
        <w:t xml:space="preserve">Using my social work skills and motivational interviewing methods, I encouraged Citizen 1 to accept help available from different sources, including healthcare, local charities, tenancy support and occupational therapy services. Social Services and Wellbeing (Wales) Act 2014 urges the social care professionals to practice in a person-centred way by empowering the individuals to base on their strengths, abilities and potential. According to </w:t>
      </w:r>
      <w:proofErr w:type="spellStart"/>
      <w:r w:rsidRPr="00BA4005">
        <w:rPr>
          <w:rFonts w:eastAsiaTheme="minorHAnsi"/>
          <w:color w:val="auto"/>
          <w:sz w:val="24"/>
          <w:szCs w:val="24"/>
          <w:lang w:eastAsia="en-US"/>
        </w:rPr>
        <w:t>Turbett</w:t>
      </w:r>
      <w:proofErr w:type="spellEnd"/>
      <w:r w:rsidRPr="00BA4005">
        <w:rPr>
          <w:rFonts w:eastAsiaTheme="minorHAnsi"/>
          <w:color w:val="auto"/>
          <w:sz w:val="24"/>
          <w:szCs w:val="24"/>
          <w:lang w:eastAsia="en-US"/>
        </w:rPr>
        <w:t xml:space="preserve"> (2014), the verbal communication methods should be applied taking into consideration the age, geographical context and cultural specifics. Citizen 1 started to engage with professionals and consequently gained access to cleaning, repair, benefits check and occupational therapy services. Consequently, Citizen 1’s health, emotional wellbeing and living conditions improved.</w:t>
      </w:r>
    </w:p>
    <w:p w:rsidR="00BA4005" w:rsidRPr="00BA4005" w:rsidRDefault="00BA4005" w:rsidP="00BA4005">
      <w:pPr>
        <w:overflowPunct/>
        <w:autoSpaceDE/>
        <w:autoSpaceDN/>
        <w:adjustRightInd/>
        <w:jc w:val="both"/>
        <w:textAlignment w:val="auto"/>
        <w:rPr>
          <w:rFonts w:eastAsiaTheme="minorHAnsi"/>
          <w:color w:val="auto"/>
          <w:sz w:val="24"/>
          <w:szCs w:val="24"/>
          <w:lang w:eastAsia="en-US"/>
        </w:rPr>
      </w:pPr>
    </w:p>
    <w:p w:rsidR="00BA4005" w:rsidRPr="00BA4005" w:rsidRDefault="00BA4005" w:rsidP="00BA4005">
      <w:pPr>
        <w:overflowPunct/>
        <w:autoSpaceDE/>
        <w:autoSpaceDN/>
        <w:adjustRightInd/>
        <w:jc w:val="both"/>
        <w:textAlignment w:val="auto"/>
        <w:rPr>
          <w:rFonts w:eastAsiaTheme="minorHAnsi"/>
          <w:color w:val="auto"/>
          <w:sz w:val="24"/>
          <w:szCs w:val="24"/>
          <w:lang w:eastAsia="en-US"/>
        </w:rPr>
      </w:pPr>
      <w:r w:rsidRPr="00BA4005">
        <w:rPr>
          <w:rFonts w:eastAsiaTheme="minorHAnsi"/>
          <w:color w:val="auto"/>
          <w:sz w:val="24"/>
          <w:szCs w:val="24"/>
          <w:lang w:eastAsia="en-US"/>
        </w:rPr>
        <w:t>One of the purposes of this direct observation was to reflect on the communication methods and skills used to assess Citizen 1’s situation and demonstrate my professional development in relation to confidence in communication with the citizens, critical thinking and professional decision making.</w:t>
      </w:r>
    </w:p>
    <w:p w:rsidR="00BA4005" w:rsidRPr="00BA4005" w:rsidRDefault="00BA4005" w:rsidP="00BA4005">
      <w:pPr>
        <w:overflowPunct/>
        <w:autoSpaceDE/>
        <w:autoSpaceDN/>
        <w:adjustRightInd/>
        <w:jc w:val="both"/>
        <w:textAlignment w:val="auto"/>
        <w:rPr>
          <w:rFonts w:eastAsiaTheme="minorHAnsi"/>
          <w:color w:val="auto"/>
          <w:sz w:val="24"/>
          <w:szCs w:val="24"/>
          <w:lang w:eastAsia="en-US"/>
        </w:rPr>
      </w:pPr>
    </w:p>
    <w:p w:rsidR="00BA4005" w:rsidRPr="00BA4005" w:rsidRDefault="00BA4005" w:rsidP="00BA4005">
      <w:pPr>
        <w:overflowPunct/>
        <w:autoSpaceDE/>
        <w:autoSpaceDN/>
        <w:adjustRightInd/>
        <w:jc w:val="both"/>
        <w:textAlignment w:val="auto"/>
        <w:rPr>
          <w:rFonts w:eastAsiaTheme="minorHAnsi"/>
          <w:color w:val="auto"/>
          <w:sz w:val="24"/>
          <w:szCs w:val="24"/>
          <w:lang w:eastAsia="en-US"/>
        </w:rPr>
      </w:pPr>
    </w:p>
    <w:p w:rsidR="00BA4005" w:rsidRPr="00BA4005" w:rsidRDefault="00BA4005" w:rsidP="00BA4005">
      <w:pPr>
        <w:overflowPunct/>
        <w:autoSpaceDE/>
        <w:autoSpaceDN/>
        <w:adjustRightInd/>
        <w:jc w:val="both"/>
        <w:textAlignment w:val="auto"/>
        <w:rPr>
          <w:rFonts w:eastAsiaTheme="minorHAnsi"/>
          <w:color w:val="auto"/>
          <w:sz w:val="24"/>
          <w:szCs w:val="24"/>
          <w:lang w:eastAsia="en-US"/>
        </w:rPr>
      </w:pPr>
      <w:r w:rsidRPr="00BA4005">
        <w:rPr>
          <w:rFonts w:eastAsiaTheme="minorHAnsi"/>
          <w:color w:val="auto"/>
          <w:sz w:val="24"/>
          <w:szCs w:val="24"/>
          <w:lang w:eastAsia="en-US"/>
        </w:rPr>
        <w:t>Word count: 297 (min 270; optimal 300; max 330)</w:t>
      </w:r>
    </w:p>
    <w:p w:rsidR="00BA4005" w:rsidRPr="00BA4005" w:rsidRDefault="00BA4005" w:rsidP="00BA4005">
      <w:pPr>
        <w:overflowPunct/>
        <w:autoSpaceDE/>
        <w:autoSpaceDN/>
        <w:adjustRightInd/>
        <w:jc w:val="both"/>
        <w:textAlignment w:val="auto"/>
        <w:rPr>
          <w:rFonts w:eastAsiaTheme="minorHAnsi"/>
          <w:color w:val="auto"/>
          <w:sz w:val="24"/>
          <w:szCs w:val="24"/>
          <w:lang w:eastAsia="en-US"/>
        </w:rPr>
      </w:pPr>
    </w:p>
    <w:p w:rsidR="00D55DE0" w:rsidRDefault="00D55DE0" w:rsidP="00FF7EBB">
      <w:pPr>
        <w:jc w:val="both"/>
        <w:rPr>
          <w:sz w:val="24"/>
          <w:szCs w:val="24"/>
        </w:rPr>
      </w:pPr>
    </w:p>
    <w:p w:rsidR="00D55DE0" w:rsidRDefault="00D55DE0" w:rsidP="00FF7EBB">
      <w:pPr>
        <w:jc w:val="both"/>
        <w:rPr>
          <w:sz w:val="24"/>
          <w:szCs w:val="24"/>
        </w:rPr>
      </w:pPr>
    </w:p>
    <w:p w:rsidR="00D55DE0" w:rsidRDefault="00D55DE0" w:rsidP="00FF7EBB">
      <w:pPr>
        <w:jc w:val="both"/>
        <w:rPr>
          <w:sz w:val="24"/>
          <w:szCs w:val="24"/>
        </w:rPr>
      </w:pPr>
    </w:p>
    <w:p w:rsidR="00D55DE0" w:rsidRDefault="00D55DE0" w:rsidP="00FF7EBB">
      <w:pPr>
        <w:jc w:val="both"/>
        <w:rPr>
          <w:sz w:val="24"/>
          <w:szCs w:val="24"/>
        </w:rPr>
      </w:pPr>
    </w:p>
    <w:p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188" w:type="dxa"/>
            <w:shd w:val="clear" w:color="auto" w:fill="auto"/>
          </w:tcPr>
          <w:p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k values using a person centred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 sensitive practice, language pref</w:t>
            </w:r>
            <w:r w:rsidR="00220D06" w:rsidRPr="008B28E7">
              <w:rPr>
                <w:sz w:val="24"/>
                <w:szCs w:val="24"/>
              </w:rPr>
              <w:t>e</w:t>
            </w:r>
            <w:r w:rsidRPr="008B28E7">
              <w:rPr>
                <w:sz w:val="24"/>
                <w:szCs w:val="24"/>
              </w:rPr>
              <w:t>rence</w:t>
            </w:r>
            <w:r w:rsidR="00D55DE0">
              <w:rPr>
                <w:sz w:val="24"/>
                <w:szCs w:val="24"/>
              </w:rPr>
              <w:t xml:space="preserve"> including the “Active Offer” principle,</w:t>
            </w:r>
            <w:r w:rsidRPr="008B28E7">
              <w:rPr>
                <w:sz w:val="24"/>
                <w:szCs w:val="24"/>
              </w:rPr>
              <w:t xml:space="preserve"> and ethical practice</w:t>
            </w:r>
            <w:proofErr w:type="gramStart"/>
            <w:r w:rsidRPr="008B28E7">
              <w:rPr>
                <w:sz w:val="24"/>
                <w:szCs w:val="24"/>
              </w:rPr>
              <w:t>.</w:t>
            </w:r>
            <w:r w:rsidR="003E5FBA">
              <w:rPr>
                <w:sz w:val="24"/>
                <w:szCs w:val="24"/>
              </w:rPr>
              <w:t>.</w:t>
            </w:r>
            <w:proofErr w:type="gramEnd"/>
          </w:p>
          <w:p w:rsidR="00C7108B" w:rsidRPr="008B28E7" w:rsidRDefault="00C7108B" w:rsidP="00FF7EBB">
            <w:pPr>
              <w:jc w:val="both"/>
              <w:rPr>
                <w:sz w:val="24"/>
                <w:szCs w:val="24"/>
              </w:rPr>
            </w:pPr>
          </w:p>
          <w:p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rsidR="00AA666E" w:rsidRPr="008B28E7" w:rsidRDefault="00AA666E" w:rsidP="00FF7EBB">
      <w:pPr>
        <w:jc w:val="both"/>
        <w:rPr>
          <w:b/>
          <w:sz w:val="24"/>
          <w:szCs w:val="24"/>
        </w:rPr>
      </w:pPr>
    </w:p>
    <w:p w:rsidR="00220779" w:rsidRPr="00220779" w:rsidRDefault="00220779" w:rsidP="00D571C2">
      <w:pPr>
        <w:overflowPunct/>
        <w:autoSpaceDE/>
        <w:autoSpaceDN/>
        <w:adjustRightInd/>
        <w:jc w:val="both"/>
        <w:textAlignment w:val="auto"/>
        <w:rPr>
          <w:rFonts w:eastAsiaTheme="minorHAnsi"/>
          <w:i/>
          <w:color w:val="auto"/>
          <w:sz w:val="24"/>
          <w:szCs w:val="24"/>
          <w:lang w:eastAsia="en-US"/>
        </w:rPr>
      </w:pPr>
      <w:r>
        <w:rPr>
          <w:rFonts w:eastAsiaTheme="minorHAnsi"/>
          <w:i/>
          <w:color w:val="auto"/>
          <w:sz w:val="24"/>
          <w:szCs w:val="24"/>
          <w:lang w:eastAsia="en-US"/>
        </w:rPr>
        <w:t>Introduction</w:t>
      </w:r>
    </w:p>
    <w:p w:rsidR="00220779" w:rsidRDefault="00220779"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 xml:space="preserve">To consolidate and reflect on my communication skills, I completed self-directed study, research and reflection on the case records and my supervisor’s feedback. I reflected on how important is to be aware of the communication barriers that could negatively affect relationships between the individual and practitioner. My first language is not English, and I have an insight how important is to choose words and speaking manner in order to be understood correctly. Moreover, I reflected on the role of body language and how standing or sitting positions could impact assessment process. Trevithick (2012) and </w:t>
      </w:r>
      <w:proofErr w:type="spellStart"/>
      <w:r w:rsidRPr="00D571C2">
        <w:rPr>
          <w:rFonts w:eastAsiaTheme="minorHAnsi"/>
          <w:color w:val="auto"/>
          <w:sz w:val="24"/>
          <w:szCs w:val="24"/>
          <w:lang w:eastAsia="en-US"/>
        </w:rPr>
        <w:t>Koprowska</w:t>
      </w:r>
      <w:proofErr w:type="spellEnd"/>
      <w:r w:rsidRPr="00D571C2">
        <w:rPr>
          <w:rFonts w:eastAsiaTheme="minorHAnsi"/>
          <w:color w:val="auto"/>
          <w:sz w:val="24"/>
          <w:szCs w:val="24"/>
          <w:lang w:eastAsia="en-US"/>
        </w:rPr>
        <w:t xml:space="preserve"> (2006) advise that the practitioner should consider and balance the verbal and non-verbal communication methods and be aware of the possible power imbalance that could occur in communication with the individuals.</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On the information collated there were no indicators to suggest Citizen 1 had any additional communication needs that would impact on the assessment. I was aware if there were any communication difficulties a range of options that could be accessed in order to communicate effectively, such as assistive technology for sensory impaired or interpreting services. In relation to the Active Offer, Social Services records stated that Citizen 1 is English speaking person who prefers to speak and read in his first language.</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Taking into consideration the emotional difficulties Citizen 1 experienced, I decided to use informal open-questioning type of conversation. Trevithick (2012) suggesting that informal open-questioning type of communication reduces the level of stress in citizens and allowing them to express themselves in a more authentic way. The non-verbal communication methods I used were the eye contact and soft talking manner. According to Gross (2015), the body language kinesics signalising to the communication partner the practitioner’s attitudes, such us respect and other feelings.</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 xml:space="preserve">I also decided to use the elements of the motivational interviewing theory in order to encourage Citizen 1 to reflect on the difficulties experienced. Milner and </w:t>
      </w:r>
      <w:r w:rsidR="007905FD">
        <w:rPr>
          <w:rFonts w:eastAsiaTheme="minorHAnsi"/>
          <w:color w:val="auto"/>
          <w:sz w:val="24"/>
          <w:szCs w:val="24"/>
          <w:lang w:eastAsia="en-US"/>
        </w:rPr>
        <w:t>O’</w:t>
      </w:r>
      <w:r w:rsidRPr="00D571C2">
        <w:rPr>
          <w:rFonts w:eastAsiaTheme="minorHAnsi"/>
          <w:color w:val="auto"/>
          <w:sz w:val="24"/>
          <w:szCs w:val="24"/>
          <w:lang w:eastAsia="en-US"/>
        </w:rPr>
        <w:t>Byrne (2009) suggesting that the practitioner</w:t>
      </w:r>
      <w:r w:rsidRPr="00D571C2">
        <w:rPr>
          <w:rFonts w:asciiTheme="minorHAnsi" w:eastAsiaTheme="minorHAnsi" w:hAnsiTheme="minorHAnsi" w:cstheme="minorBidi"/>
          <w:color w:val="auto"/>
          <w:sz w:val="22"/>
          <w:szCs w:val="22"/>
          <w:lang w:eastAsia="en-US"/>
        </w:rPr>
        <w:t xml:space="preserve"> </w:t>
      </w:r>
      <w:r w:rsidRPr="00D571C2">
        <w:rPr>
          <w:rFonts w:eastAsiaTheme="minorHAnsi"/>
          <w:color w:val="auto"/>
          <w:sz w:val="24"/>
          <w:szCs w:val="24"/>
          <w:lang w:eastAsia="en-US"/>
        </w:rPr>
        <w:t>needs to give more space to the individuals to enable and encourage them to find their own solutions, rather than giving them multiple suggestions.</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i/>
          <w:color w:val="auto"/>
          <w:sz w:val="24"/>
          <w:szCs w:val="24"/>
          <w:lang w:eastAsia="en-US"/>
        </w:rPr>
      </w:pPr>
      <w:r w:rsidRPr="00D571C2">
        <w:rPr>
          <w:rFonts w:eastAsiaTheme="minorHAnsi"/>
          <w:i/>
          <w:color w:val="auto"/>
          <w:sz w:val="24"/>
          <w:szCs w:val="24"/>
          <w:lang w:eastAsia="en-US"/>
        </w:rPr>
        <w:t>Preparation for the assessment</w:t>
      </w:r>
    </w:p>
    <w:p w:rsidR="00D571C2" w:rsidRPr="00D571C2" w:rsidRDefault="00D571C2" w:rsidP="00D571C2">
      <w:pPr>
        <w:overflowPunct/>
        <w:autoSpaceDE/>
        <w:autoSpaceDN/>
        <w:adjustRightInd/>
        <w:jc w:val="both"/>
        <w:textAlignment w:val="auto"/>
        <w:rPr>
          <w:rFonts w:eastAsiaTheme="minorHAnsi"/>
          <w: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 xml:space="preserve">In order to prepare for the home visit, I used Korthagen’s reflection model, known as the ‘onion model’ (Korthagen and </w:t>
      </w:r>
      <w:proofErr w:type="spellStart"/>
      <w:r w:rsidRPr="00D571C2">
        <w:rPr>
          <w:rFonts w:eastAsiaTheme="minorHAnsi"/>
          <w:color w:val="auto"/>
          <w:sz w:val="24"/>
          <w:szCs w:val="24"/>
          <w:lang w:eastAsia="en-US"/>
        </w:rPr>
        <w:t>Nuijten</w:t>
      </w:r>
      <w:proofErr w:type="spellEnd"/>
      <w:r w:rsidRPr="00D571C2">
        <w:rPr>
          <w:rFonts w:eastAsiaTheme="minorHAnsi"/>
          <w:color w:val="auto"/>
          <w:sz w:val="24"/>
          <w:szCs w:val="24"/>
          <w:lang w:eastAsia="en-US"/>
        </w:rPr>
        <w:t xml:space="preserve">, 2017). According to Korthagen and </w:t>
      </w:r>
      <w:proofErr w:type="spellStart"/>
      <w:r w:rsidRPr="00D571C2">
        <w:rPr>
          <w:rFonts w:eastAsiaTheme="minorHAnsi"/>
          <w:color w:val="auto"/>
          <w:sz w:val="24"/>
          <w:szCs w:val="24"/>
          <w:lang w:eastAsia="en-US"/>
        </w:rPr>
        <w:t>Nuijten</w:t>
      </w:r>
      <w:proofErr w:type="spellEnd"/>
      <w:r w:rsidRPr="00D571C2">
        <w:rPr>
          <w:rFonts w:eastAsiaTheme="minorHAnsi"/>
          <w:color w:val="auto"/>
          <w:sz w:val="24"/>
          <w:szCs w:val="24"/>
          <w:lang w:eastAsia="en-US"/>
        </w:rPr>
        <w:t xml:space="preserve"> (2017), Korthagen’s </w:t>
      </w:r>
      <w:r w:rsidRPr="00D571C2">
        <w:rPr>
          <w:rFonts w:eastAsiaTheme="minorHAnsi"/>
          <w:color w:val="auto"/>
          <w:sz w:val="24"/>
          <w:szCs w:val="24"/>
          <w:lang w:eastAsia="en-US"/>
        </w:rPr>
        <w:lastRenderedPageBreak/>
        <w:t xml:space="preserve">reflection model is invented to provide alternative approach to procedural social care practice, and is focusing on analysis of different domains surrounding the human life. I chose the above described reflection model due to its usefulness and flexibility for social work practice (Korthagen and </w:t>
      </w:r>
      <w:proofErr w:type="spellStart"/>
      <w:r w:rsidRPr="00D571C2">
        <w:rPr>
          <w:rFonts w:eastAsiaTheme="minorHAnsi"/>
          <w:color w:val="auto"/>
          <w:sz w:val="24"/>
          <w:szCs w:val="24"/>
          <w:lang w:eastAsia="en-US"/>
        </w:rPr>
        <w:t>Nuijten</w:t>
      </w:r>
      <w:proofErr w:type="spellEnd"/>
      <w:r w:rsidRPr="00D571C2">
        <w:rPr>
          <w:rFonts w:eastAsiaTheme="minorHAnsi"/>
          <w:color w:val="auto"/>
          <w:sz w:val="24"/>
          <w:szCs w:val="24"/>
          <w:lang w:eastAsia="en-US"/>
        </w:rPr>
        <w:t xml:space="preserve">, 2017). In order to conduct the assessment and communicate with Citizen 1, I chose to apply the exchange model as informed by Milner and </w:t>
      </w:r>
      <w:proofErr w:type="spellStart"/>
      <w:r w:rsidRPr="00D571C2">
        <w:rPr>
          <w:rFonts w:eastAsiaTheme="minorHAnsi"/>
          <w:color w:val="auto"/>
          <w:sz w:val="24"/>
          <w:szCs w:val="24"/>
          <w:lang w:eastAsia="en-US"/>
        </w:rPr>
        <w:t>O’Bryne</w:t>
      </w:r>
      <w:proofErr w:type="spellEnd"/>
      <w:r w:rsidRPr="00D571C2">
        <w:rPr>
          <w:rFonts w:eastAsiaTheme="minorHAnsi"/>
          <w:color w:val="auto"/>
          <w:sz w:val="24"/>
          <w:szCs w:val="24"/>
          <w:lang w:eastAsia="en-US"/>
        </w:rPr>
        <w:t xml:space="preserve"> (2009). </w:t>
      </w:r>
      <w:proofErr w:type="spellStart"/>
      <w:r w:rsidR="00406C1E">
        <w:rPr>
          <w:rFonts w:eastAsiaTheme="minorHAnsi"/>
          <w:color w:val="auto"/>
          <w:sz w:val="24"/>
          <w:szCs w:val="24"/>
          <w:lang w:eastAsia="en-US"/>
        </w:rPr>
        <w:t>Fook</w:t>
      </w:r>
      <w:proofErr w:type="spellEnd"/>
      <w:r w:rsidR="00406C1E">
        <w:rPr>
          <w:rFonts w:eastAsiaTheme="minorHAnsi"/>
          <w:color w:val="auto"/>
          <w:sz w:val="24"/>
          <w:szCs w:val="24"/>
          <w:lang w:eastAsia="en-US"/>
        </w:rPr>
        <w:t xml:space="preserve"> (2002)</w:t>
      </w:r>
      <w:r w:rsidRPr="00D571C2">
        <w:rPr>
          <w:rFonts w:eastAsiaTheme="minorHAnsi"/>
          <w:color w:val="auto"/>
          <w:sz w:val="24"/>
          <w:szCs w:val="24"/>
          <w:lang w:eastAsia="en-US"/>
        </w:rPr>
        <w:t xml:space="preserve"> describing the exchange model as when the citizens are seen as experts on their own situation. </w:t>
      </w:r>
      <w:proofErr w:type="spellStart"/>
      <w:r w:rsidR="002D133E">
        <w:rPr>
          <w:rFonts w:eastAsiaTheme="minorHAnsi"/>
          <w:color w:val="auto"/>
          <w:sz w:val="24"/>
          <w:szCs w:val="24"/>
          <w:lang w:eastAsia="en-US"/>
        </w:rPr>
        <w:t>Teater</w:t>
      </w:r>
      <w:proofErr w:type="spellEnd"/>
      <w:r w:rsidR="002D133E">
        <w:rPr>
          <w:rFonts w:eastAsiaTheme="minorHAnsi"/>
          <w:color w:val="auto"/>
          <w:sz w:val="24"/>
          <w:szCs w:val="24"/>
          <w:lang w:eastAsia="en-US"/>
        </w:rPr>
        <w:t xml:space="preserve"> (2012)</w:t>
      </w:r>
      <w:r w:rsidRPr="00D571C2">
        <w:rPr>
          <w:rFonts w:eastAsiaTheme="minorHAnsi"/>
          <w:color w:val="auto"/>
          <w:sz w:val="24"/>
          <w:szCs w:val="24"/>
          <w:lang w:eastAsia="en-US"/>
        </w:rPr>
        <w:t xml:space="preserve"> suggests the exchange assessment model enabling the citizens to remain at the centre of care management process and for practitioner to assess the situation holistically.</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At the first stage of preparation for assessment, I notified Citizen 1 about the home visit. I explained to the citizen 1 about the purpose of the visit and gained his consent. The above mentioned task I completed via a telephone conversation. The home visit option was chosen due to necessity to observe Citizen 1’s living conditions and to have a face-to-face conversation.</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The next stage of preparation for assessment involved the analysis of the information available. The information analysis was crucial to gain the comprehensive knowledge of the situation, difficulties reported previously by Citizen 1 and other professionals, and to identify the most appropriate communication methods to apply. To justify the information gathering and analysis process, I used Milner and O’Byrne (2009) recommendations that the information gathering and analysis are vital parts of the social work assessment process helping the practitioner to estimate risks and chose intervention methods.</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The final part of preparation involved the discussion with supervisor in order to establish if this direct observation would demonstrate the achievement of the learning outcomes outlined. During the preparatory supervision it was agreed the desired learning outcomes for this direct observation activity would help me to demonstrate the development of communication, confidence and professional judgment skills. This case was identified as a good opportunity for me to demonstrate how I contributed to positive change in Citizen 1’s life and what I learned from this involvement. To prepare myself to conduct the assessment I used abstract conceptualisation learning approach proposed by Kolb (1984).</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i/>
          <w:color w:val="auto"/>
          <w:sz w:val="24"/>
          <w:szCs w:val="24"/>
          <w:lang w:eastAsia="en-US"/>
        </w:rPr>
      </w:pPr>
      <w:r w:rsidRPr="00D571C2">
        <w:rPr>
          <w:rFonts w:eastAsiaTheme="minorHAnsi"/>
          <w:i/>
          <w:color w:val="auto"/>
          <w:sz w:val="24"/>
          <w:szCs w:val="24"/>
          <w:lang w:eastAsia="en-US"/>
        </w:rPr>
        <w:t>Assessment</w:t>
      </w:r>
    </w:p>
    <w:p w:rsidR="00D571C2" w:rsidRPr="00D571C2" w:rsidRDefault="00D571C2" w:rsidP="00D571C2">
      <w:pPr>
        <w:overflowPunct/>
        <w:autoSpaceDE/>
        <w:autoSpaceDN/>
        <w:adjustRightInd/>
        <w:jc w:val="both"/>
        <w:textAlignment w:val="auto"/>
        <w:rPr>
          <w:rFonts w:eastAsiaTheme="minorHAnsi"/>
          <w: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On the day of assessment, I used Shon’s (1983) ‘reflection in action’ model. As advised by Trevithick (2012)</w:t>
      </w:r>
      <w:r w:rsidR="0011380E">
        <w:rPr>
          <w:rFonts w:eastAsiaTheme="minorHAnsi"/>
          <w:color w:val="auto"/>
          <w:sz w:val="24"/>
          <w:szCs w:val="24"/>
          <w:lang w:eastAsia="en-US"/>
        </w:rPr>
        <w:t xml:space="preserve"> and Moss (2008)</w:t>
      </w:r>
      <w:r w:rsidRPr="00D571C2">
        <w:rPr>
          <w:rFonts w:eastAsiaTheme="minorHAnsi"/>
          <w:color w:val="auto"/>
          <w:sz w:val="24"/>
          <w:szCs w:val="24"/>
          <w:lang w:eastAsia="en-US"/>
        </w:rPr>
        <w:t xml:space="preserve">, to apply ‘reflection in action’ model and conduct the assessment, I used verbal communication and active non-selective listening methods. These assessment methods enabled Citizen 1 to communicate his current difficulties related to his reduced mobility, lack of motivation, low mood and loneliness. Non-selective listening method helped me to collate the crucial information and synthesise the information received into domains. Then in collaboration with Citizen 1 I extracted the main difficulties from each domain to understand the patterns that led in to the deterioration of Citizen 1’s physical health condition and emotional wellbeing. It was identified that Citizen 1 is self-neglecting due to reduced mobility and mental health issues. The ‘reflection in action’ model helped me understand that in order to improve Citizen 1’s quality of life, his mobility issues and emotional difficulties should be addressed first. Moreover, the motivational interviewing method helped Citizen 1 to understand that over a period of time his health had deteriorated which had impacted on his wellbeing and </w:t>
      </w:r>
      <w:r w:rsidRPr="00D571C2">
        <w:rPr>
          <w:rFonts w:eastAsiaTheme="minorHAnsi"/>
          <w:color w:val="auto"/>
          <w:sz w:val="24"/>
          <w:szCs w:val="24"/>
          <w:lang w:eastAsia="en-US"/>
        </w:rPr>
        <w:lastRenderedPageBreak/>
        <w:t>ability to retain an adequate standard of living in community. This assessment also identified that Citizen 1 had a lot of strength which he could use to improve the quality of his life. I decided to draw upon these strengths by using informal way of questioning. The communication methods I used enabled Citizen 1 to understand that improvement in mobility and mood would enable him to go out to meet other people and eliminate the risk of social isolation.</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 xml:space="preserve">As informed by </w:t>
      </w:r>
      <w:proofErr w:type="spellStart"/>
      <w:r w:rsidRPr="00D571C2">
        <w:rPr>
          <w:rFonts w:eastAsiaTheme="minorHAnsi"/>
          <w:color w:val="auto"/>
          <w:sz w:val="24"/>
          <w:szCs w:val="24"/>
          <w:lang w:eastAsia="en-US"/>
        </w:rPr>
        <w:t>Pavlickova</w:t>
      </w:r>
      <w:proofErr w:type="spellEnd"/>
      <w:r w:rsidRPr="00D571C2">
        <w:rPr>
          <w:rFonts w:eastAsiaTheme="minorHAnsi"/>
          <w:color w:val="auto"/>
          <w:sz w:val="24"/>
          <w:szCs w:val="24"/>
          <w:lang w:eastAsia="en-US"/>
        </w:rPr>
        <w:t xml:space="preserve">, Turnbull and </w:t>
      </w:r>
      <w:proofErr w:type="spellStart"/>
      <w:r w:rsidRPr="00D571C2">
        <w:rPr>
          <w:rFonts w:eastAsiaTheme="minorHAnsi"/>
          <w:color w:val="auto"/>
          <w:sz w:val="24"/>
          <w:szCs w:val="24"/>
          <w:lang w:eastAsia="en-US"/>
        </w:rPr>
        <w:t>Bentall</w:t>
      </w:r>
      <w:proofErr w:type="spellEnd"/>
      <w:r w:rsidRPr="00D571C2">
        <w:rPr>
          <w:rFonts w:eastAsiaTheme="minorHAnsi"/>
          <w:color w:val="auto"/>
          <w:sz w:val="24"/>
          <w:szCs w:val="24"/>
          <w:lang w:eastAsia="en-US"/>
        </w:rPr>
        <w:t xml:space="preserve"> (2014), I attempted to initiate the communication in informal manner. It was identified by </w:t>
      </w:r>
      <w:proofErr w:type="spellStart"/>
      <w:r w:rsidRPr="00D571C2">
        <w:rPr>
          <w:rFonts w:eastAsiaTheme="minorHAnsi"/>
          <w:color w:val="auto"/>
          <w:sz w:val="24"/>
          <w:szCs w:val="24"/>
          <w:lang w:eastAsia="en-US"/>
        </w:rPr>
        <w:t>Koprowska</w:t>
      </w:r>
      <w:proofErr w:type="spellEnd"/>
      <w:r w:rsidRPr="00D571C2">
        <w:rPr>
          <w:rFonts w:eastAsiaTheme="minorHAnsi"/>
          <w:color w:val="auto"/>
          <w:sz w:val="24"/>
          <w:szCs w:val="24"/>
          <w:lang w:eastAsia="en-US"/>
        </w:rPr>
        <w:t xml:space="preserve"> (2006) that creating a rapport with the service users helping them to open up and for practitioner to collate valuable information to inform the intervention. Stern (2004) made similar suggestions by saying that the positive interpersonal contact between the citizen and practitioner creating an experience of </w:t>
      </w:r>
      <w:proofErr w:type="spellStart"/>
      <w:r w:rsidRPr="00D571C2">
        <w:rPr>
          <w:rFonts w:eastAsiaTheme="minorHAnsi"/>
          <w:color w:val="auto"/>
          <w:sz w:val="24"/>
          <w:szCs w:val="24"/>
          <w:lang w:eastAsia="en-US"/>
        </w:rPr>
        <w:t>intersubj</w:t>
      </w:r>
      <w:r w:rsidR="00187669">
        <w:rPr>
          <w:rFonts w:eastAsiaTheme="minorHAnsi"/>
          <w:color w:val="auto"/>
          <w:sz w:val="24"/>
          <w:szCs w:val="24"/>
          <w:lang w:eastAsia="en-US"/>
        </w:rPr>
        <w:t>ectivity</w:t>
      </w:r>
      <w:proofErr w:type="spellEnd"/>
      <w:r w:rsidR="00187669">
        <w:rPr>
          <w:rFonts w:eastAsiaTheme="minorHAnsi"/>
          <w:color w:val="auto"/>
          <w:sz w:val="24"/>
          <w:szCs w:val="24"/>
          <w:lang w:eastAsia="en-US"/>
        </w:rPr>
        <w:t xml:space="preserve">. Moss (2008) </w:t>
      </w:r>
      <w:r w:rsidRPr="00D571C2">
        <w:rPr>
          <w:rFonts w:eastAsiaTheme="minorHAnsi"/>
          <w:color w:val="auto"/>
          <w:sz w:val="24"/>
          <w:szCs w:val="24"/>
          <w:lang w:eastAsia="en-US"/>
        </w:rPr>
        <w:t xml:space="preserve">states that </w:t>
      </w:r>
      <w:proofErr w:type="spellStart"/>
      <w:r w:rsidRPr="00D571C2">
        <w:rPr>
          <w:rFonts w:eastAsiaTheme="minorHAnsi"/>
          <w:color w:val="auto"/>
          <w:sz w:val="24"/>
          <w:szCs w:val="24"/>
          <w:lang w:eastAsia="en-US"/>
        </w:rPr>
        <w:t>intersubjectivity</w:t>
      </w:r>
      <w:proofErr w:type="spellEnd"/>
      <w:r w:rsidRPr="00D571C2">
        <w:rPr>
          <w:rFonts w:eastAsiaTheme="minorHAnsi"/>
          <w:color w:val="auto"/>
          <w:sz w:val="24"/>
          <w:szCs w:val="24"/>
          <w:lang w:eastAsia="en-US"/>
        </w:rPr>
        <w:t xml:space="preserve"> could be used as motivational element in assessment. </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 xml:space="preserve">I continued to conduct the assessment asking open questions in accordance to exchange model as advised by Milner and </w:t>
      </w:r>
      <w:proofErr w:type="spellStart"/>
      <w:r w:rsidRPr="00D571C2">
        <w:rPr>
          <w:rFonts w:eastAsiaTheme="minorHAnsi"/>
          <w:color w:val="auto"/>
          <w:sz w:val="24"/>
          <w:szCs w:val="24"/>
          <w:lang w:eastAsia="en-US"/>
        </w:rPr>
        <w:t>O’Bryne</w:t>
      </w:r>
      <w:proofErr w:type="spellEnd"/>
      <w:r w:rsidRPr="00D571C2">
        <w:rPr>
          <w:rFonts w:eastAsiaTheme="minorHAnsi"/>
          <w:color w:val="auto"/>
          <w:sz w:val="24"/>
          <w:szCs w:val="24"/>
          <w:lang w:eastAsia="en-US"/>
        </w:rPr>
        <w:t xml:space="preserve"> (2009). The open questions methods allowed me to implement non-selective listen</w:t>
      </w:r>
      <w:r w:rsidR="00601970">
        <w:rPr>
          <w:rFonts w:eastAsiaTheme="minorHAnsi"/>
          <w:color w:val="auto"/>
          <w:sz w:val="24"/>
          <w:szCs w:val="24"/>
          <w:lang w:eastAsia="en-US"/>
        </w:rPr>
        <w:t>ing. According to Moss (2008)</w:t>
      </w:r>
      <w:r w:rsidRPr="00D571C2">
        <w:rPr>
          <w:rFonts w:eastAsiaTheme="minorHAnsi"/>
          <w:color w:val="auto"/>
          <w:sz w:val="24"/>
          <w:szCs w:val="24"/>
          <w:lang w:eastAsia="en-US"/>
        </w:rPr>
        <w:t xml:space="preserve"> non-selective listening enables practitioner to collate the information on multi-levels by identifying patterns and observing emotional reactions. </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The assessment process also provided the opportunity for me to learn using active experimentation approach (Kolb, 1984). To enable Citizen 1 to describe the difficulties he experienced, I encouraged him to use the narrative appr</w:t>
      </w:r>
      <w:r w:rsidR="001F4F7D">
        <w:rPr>
          <w:rFonts w:eastAsiaTheme="minorHAnsi"/>
          <w:color w:val="auto"/>
          <w:sz w:val="24"/>
          <w:szCs w:val="24"/>
          <w:lang w:eastAsia="en-US"/>
        </w:rPr>
        <w:t>oach. Maclean and Harrison (2015</w:t>
      </w:r>
      <w:r w:rsidRPr="00D571C2">
        <w:rPr>
          <w:rFonts w:eastAsiaTheme="minorHAnsi"/>
          <w:color w:val="auto"/>
          <w:sz w:val="24"/>
          <w:szCs w:val="24"/>
          <w:lang w:eastAsia="en-US"/>
        </w:rPr>
        <w:t>) define the narrative approach as when the individuals communicating their issues using their own words. Narrative approach informed my assessment via giving Citizen 1 voice and control over his situation and enabled a motivation plan to be devised which resulted in improvement in Citizen 1’s quality of life.</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 xml:space="preserve">To reflect on assessment completed, I used </w:t>
      </w:r>
      <w:proofErr w:type="spellStart"/>
      <w:r w:rsidRPr="00D571C2">
        <w:rPr>
          <w:rFonts w:eastAsiaTheme="minorHAnsi"/>
          <w:color w:val="auto"/>
          <w:sz w:val="24"/>
          <w:szCs w:val="24"/>
          <w:lang w:eastAsia="en-US"/>
        </w:rPr>
        <w:t>Borton’s</w:t>
      </w:r>
      <w:proofErr w:type="spellEnd"/>
      <w:r w:rsidRPr="00D571C2">
        <w:rPr>
          <w:rFonts w:eastAsiaTheme="minorHAnsi"/>
          <w:color w:val="auto"/>
          <w:sz w:val="24"/>
          <w:szCs w:val="24"/>
          <w:lang w:eastAsia="en-US"/>
        </w:rPr>
        <w:t xml:space="preserve"> (1970) reflection model, specifically the last stage called ‘now what?</w:t>
      </w:r>
      <w:proofErr w:type="gramStart"/>
      <w:r w:rsidRPr="00D571C2">
        <w:rPr>
          <w:rFonts w:eastAsiaTheme="minorHAnsi"/>
          <w:color w:val="auto"/>
          <w:sz w:val="24"/>
          <w:szCs w:val="24"/>
          <w:lang w:eastAsia="en-US"/>
        </w:rPr>
        <w:t>’.</w:t>
      </w:r>
      <w:proofErr w:type="gramEnd"/>
      <w:r w:rsidRPr="00D571C2">
        <w:rPr>
          <w:rFonts w:eastAsiaTheme="minorHAnsi"/>
          <w:color w:val="auto"/>
          <w:sz w:val="24"/>
          <w:szCs w:val="24"/>
          <w:lang w:eastAsia="en-US"/>
        </w:rPr>
        <w:t xml:space="preserve"> The outcomes of this assessment indicate that the citizen 1 made significant progress since I started to work with him. The citizen 1 gained better insight in to his difficulties, started to understand what causing his suffering and what resources are available to improve his wellbeing.</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i/>
          <w:color w:val="auto"/>
          <w:sz w:val="24"/>
          <w:szCs w:val="24"/>
          <w:lang w:eastAsia="en-US"/>
        </w:rPr>
      </w:pPr>
      <w:r w:rsidRPr="00D571C2">
        <w:rPr>
          <w:rFonts w:eastAsiaTheme="minorHAnsi"/>
          <w:i/>
          <w:color w:val="auto"/>
          <w:sz w:val="24"/>
          <w:szCs w:val="24"/>
          <w:lang w:eastAsia="en-US"/>
        </w:rPr>
        <w:t>Conclusion</w:t>
      </w:r>
    </w:p>
    <w:p w:rsidR="00D571C2" w:rsidRPr="00D571C2" w:rsidRDefault="00D571C2" w:rsidP="00D571C2">
      <w:pPr>
        <w:overflowPunct/>
        <w:autoSpaceDE/>
        <w:autoSpaceDN/>
        <w:adjustRightInd/>
        <w:jc w:val="both"/>
        <w:textAlignment w:val="auto"/>
        <w:rPr>
          <w:rFonts w:eastAsiaTheme="minorHAnsi"/>
          <w: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r w:rsidRPr="00D571C2">
        <w:rPr>
          <w:rFonts w:eastAsiaTheme="minorHAnsi"/>
          <w:color w:val="auto"/>
          <w:sz w:val="24"/>
          <w:szCs w:val="24"/>
          <w:lang w:eastAsia="en-US"/>
        </w:rPr>
        <w:t>I reflected on my communication skills and methods I used in my work with Citizen 1. I came in to conclusion that I communicated effectively and this helped Citizen 1 gain insight into his difficulties and achieve desired outcomes. In my future practice I will continue to access research in relation to how different communication methods affecting different groups of people and how to improve and develop further my communication skills.</w:t>
      </w:r>
    </w:p>
    <w:p w:rsidR="00D571C2" w:rsidRPr="00D571C2" w:rsidRDefault="00D571C2" w:rsidP="00D571C2">
      <w:pPr>
        <w:overflowPunct/>
        <w:autoSpaceDE/>
        <w:autoSpaceDN/>
        <w:adjustRightInd/>
        <w:jc w:val="both"/>
        <w:textAlignment w:val="auto"/>
        <w:rPr>
          <w:rFonts w:eastAsiaTheme="minorHAnsi"/>
          <w:color w:val="auto"/>
          <w:sz w:val="24"/>
          <w:szCs w:val="24"/>
          <w:lang w:eastAsia="en-US"/>
        </w:rPr>
      </w:pPr>
    </w:p>
    <w:p w:rsidR="00D571C2" w:rsidRPr="00D571C2" w:rsidRDefault="00D571C2" w:rsidP="00D571C2">
      <w:pPr>
        <w:overflowPunct/>
        <w:autoSpaceDE/>
        <w:autoSpaceDN/>
        <w:adjustRightInd/>
        <w:jc w:val="both"/>
        <w:textAlignment w:val="auto"/>
        <w:rPr>
          <w:rFonts w:eastAsiaTheme="minorHAnsi"/>
          <w:i/>
          <w:color w:val="auto"/>
          <w:sz w:val="24"/>
          <w:szCs w:val="24"/>
          <w:lang w:eastAsia="en-US"/>
        </w:rPr>
      </w:pPr>
    </w:p>
    <w:p w:rsidR="00D571C2" w:rsidRPr="00D571C2" w:rsidRDefault="009B310F" w:rsidP="00E05B16">
      <w:pPr>
        <w:tabs>
          <w:tab w:val="left" w:pos="7347"/>
        </w:tabs>
        <w:overflowPunct/>
        <w:autoSpaceDE/>
        <w:autoSpaceDN/>
        <w:adjustRightInd/>
        <w:jc w:val="both"/>
        <w:textAlignment w:val="auto"/>
        <w:rPr>
          <w:rFonts w:eastAsiaTheme="minorHAnsi"/>
          <w:color w:val="auto"/>
          <w:sz w:val="24"/>
          <w:szCs w:val="24"/>
          <w:lang w:eastAsia="en-US"/>
        </w:rPr>
      </w:pPr>
      <w:r>
        <w:rPr>
          <w:rFonts w:eastAsiaTheme="minorHAnsi"/>
          <w:color w:val="auto"/>
          <w:sz w:val="24"/>
          <w:szCs w:val="24"/>
          <w:lang w:eastAsia="en-US"/>
        </w:rPr>
        <w:t xml:space="preserve">Word </w:t>
      </w:r>
      <w:proofErr w:type="gramStart"/>
      <w:r>
        <w:rPr>
          <w:rFonts w:eastAsiaTheme="minorHAnsi"/>
          <w:color w:val="auto"/>
          <w:sz w:val="24"/>
          <w:szCs w:val="24"/>
          <w:lang w:eastAsia="en-US"/>
        </w:rPr>
        <w:t>count :</w:t>
      </w:r>
      <w:proofErr w:type="gramEnd"/>
      <w:r>
        <w:rPr>
          <w:rFonts w:eastAsiaTheme="minorHAnsi"/>
          <w:color w:val="auto"/>
          <w:sz w:val="24"/>
          <w:szCs w:val="24"/>
          <w:lang w:eastAsia="en-US"/>
        </w:rPr>
        <w:t xml:space="preserve"> 1367</w:t>
      </w:r>
      <w:r w:rsidR="00E05B16">
        <w:rPr>
          <w:rFonts w:eastAsiaTheme="minorHAnsi"/>
          <w:color w:val="auto"/>
          <w:sz w:val="24"/>
          <w:szCs w:val="24"/>
          <w:lang w:eastAsia="en-US"/>
        </w:rPr>
        <w:t xml:space="preserve"> </w:t>
      </w:r>
      <w:r w:rsidR="00D571C2" w:rsidRPr="00D571C2">
        <w:rPr>
          <w:rFonts w:eastAsiaTheme="minorHAnsi"/>
          <w:color w:val="auto"/>
          <w:sz w:val="24"/>
          <w:szCs w:val="24"/>
          <w:lang w:eastAsia="en-US"/>
        </w:rPr>
        <w:t>(min 1170; optimal 1300; max 1430)</w:t>
      </w:r>
    </w:p>
    <w:p w:rsidR="008171E4" w:rsidRPr="008B28E7" w:rsidRDefault="008171E4" w:rsidP="00FF7EBB">
      <w:pPr>
        <w:jc w:val="both"/>
        <w:rPr>
          <w:b/>
          <w:sz w:val="24"/>
          <w:szCs w:val="24"/>
        </w:rPr>
      </w:pPr>
    </w:p>
    <w:p w:rsidR="00CA3593" w:rsidRPr="008B28E7" w:rsidRDefault="002A0E51" w:rsidP="00FF7EBB">
      <w:pPr>
        <w:jc w:val="both"/>
        <w:rPr>
          <w:b/>
          <w:sz w:val="24"/>
          <w:szCs w:val="24"/>
        </w:rPr>
      </w:pPr>
      <w:r>
        <w:rPr>
          <w:b/>
          <w:sz w:val="24"/>
          <w:szCs w:val="24"/>
        </w:rPr>
        <w:t>F</w:t>
      </w:r>
      <w:r w:rsidR="00CA3593" w:rsidRPr="008B28E7">
        <w:rPr>
          <w:b/>
          <w:sz w:val="24"/>
          <w:szCs w:val="24"/>
        </w:rPr>
        <w:t>eedback and comments</w:t>
      </w:r>
      <w:r>
        <w:rPr>
          <w:b/>
          <w:sz w:val="24"/>
          <w:szCs w:val="24"/>
        </w:rPr>
        <w:t xml:space="preserve"> from an </w:t>
      </w:r>
      <w:r w:rsidRPr="002A0E51">
        <w:rPr>
          <w:b/>
          <w:sz w:val="24"/>
          <w:szCs w:val="24"/>
        </w:rPr>
        <w:t>individual using services, their family or carers</w:t>
      </w:r>
    </w:p>
    <w:p w:rsidR="00CA3593" w:rsidRPr="008B28E7" w:rsidRDefault="00CA3593" w:rsidP="00FF7EBB">
      <w:pPr>
        <w:jc w:val="both"/>
        <w:rPr>
          <w:sz w:val="24"/>
          <w:szCs w:val="24"/>
        </w:rPr>
      </w:pPr>
    </w:p>
    <w:p w:rsidR="00390074" w:rsidRDefault="00390074" w:rsidP="00FF7EBB">
      <w:pPr>
        <w:jc w:val="both"/>
        <w:rPr>
          <w:sz w:val="24"/>
          <w:szCs w:val="24"/>
        </w:rPr>
      </w:pPr>
      <w:r w:rsidRPr="0049196A">
        <w:rPr>
          <w:sz w:val="24"/>
          <w:szCs w:val="24"/>
        </w:rPr>
        <w:lastRenderedPageBreak/>
        <w:t>This section of the Observation</w:t>
      </w:r>
      <w:r w:rsidRPr="00390074">
        <w:rPr>
          <w:sz w:val="24"/>
          <w:szCs w:val="24"/>
        </w:rPr>
        <w:t xml:space="preserve"> should not be done in the presence of the learner.</w:t>
      </w:r>
    </w:p>
    <w:p w:rsidR="00390074" w:rsidRDefault="00390074" w:rsidP="00FF7EBB">
      <w:pPr>
        <w:jc w:val="both"/>
        <w:rPr>
          <w:sz w:val="24"/>
          <w:szCs w:val="24"/>
        </w:rPr>
      </w:pPr>
    </w:p>
    <w:p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rsidR="00375AF5" w:rsidRPr="008B28E7" w:rsidRDefault="00375AF5" w:rsidP="00FF7EBB">
      <w:pPr>
        <w:jc w:val="both"/>
        <w:rPr>
          <w:sz w:val="24"/>
          <w:szCs w:val="24"/>
        </w:rPr>
      </w:pPr>
    </w:p>
    <w:p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rsidR="005C28D3" w:rsidRDefault="005C28D3" w:rsidP="00FF7EBB">
      <w:pPr>
        <w:jc w:val="both"/>
        <w:rPr>
          <w:sz w:val="24"/>
          <w:szCs w:val="24"/>
        </w:rPr>
      </w:pPr>
    </w:p>
    <w:p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rsidTr="006512E6">
        <w:trPr>
          <w:trHeight w:val="818"/>
        </w:trPr>
        <w:tc>
          <w:tcPr>
            <w:tcW w:w="2718" w:type="dxa"/>
            <w:shd w:val="clear" w:color="auto" w:fill="auto"/>
          </w:tcPr>
          <w:p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rsidR="006108C9" w:rsidRPr="00C7108B" w:rsidRDefault="006108C9" w:rsidP="006108C9">
            <w:pPr>
              <w:rPr>
                <w:sz w:val="22"/>
                <w:szCs w:val="22"/>
              </w:rPr>
            </w:pPr>
          </w:p>
        </w:tc>
        <w:tc>
          <w:tcPr>
            <w:tcW w:w="7470" w:type="dxa"/>
            <w:shd w:val="clear" w:color="auto" w:fill="auto"/>
          </w:tcPr>
          <w:p w:rsidR="00CA3593" w:rsidRPr="008B28E7" w:rsidRDefault="00EE19DE" w:rsidP="00FF7EBB">
            <w:pPr>
              <w:jc w:val="both"/>
              <w:rPr>
                <w:sz w:val="24"/>
                <w:szCs w:val="24"/>
              </w:rPr>
            </w:pPr>
            <w:r w:rsidRPr="00EE19DE">
              <w:rPr>
                <w:sz w:val="24"/>
                <w:szCs w:val="24"/>
              </w:rPr>
              <w:t>The Social Worker was always prompt and reliable. This was particularly helpful as I need my friend with me to make sure I have followed everything.</w:t>
            </w:r>
          </w:p>
        </w:tc>
      </w:tr>
      <w:tr w:rsidR="00CA3593" w:rsidRPr="008B28E7" w:rsidTr="006512E6">
        <w:trPr>
          <w:trHeight w:val="1925"/>
        </w:trPr>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Pr="008B28E7" w:rsidRDefault="00EE19DE" w:rsidP="00FF7EBB">
            <w:pPr>
              <w:jc w:val="both"/>
              <w:rPr>
                <w:sz w:val="24"/>
                <w:szCs w:val="24"/>
              </w:rPr>
            </w:pPr>
            <w:r w:rsidRPr="00EE19DE">
              <w:rPr>
                <w:sz w:val="24"/>
                <w:szCs w:val="24"/>
              </w:rPr>
              <w:t>Yes, I was asked about this in advance. The social worker explained the reason for this, and I agreed fully.</w:t>
            </w:r>
          </w:p>
        </w:tc>
      </w:tr>
      <w:tr w:rsidR="00CA3593" w:rsidRPr="008B28E7" w:rsidTr="00C7108B">
        <w:tc>
          <w:tcPr>
            <w:tcW w:w="2718" w:type="dxa"/>
            <w:shd w:val="clear" w:color="auto" w:fill="auto"/>
          </w:tcPr>
          <w:p w:rsidR="00C7108B" w:rsidRDefault="00CA3593" w:rsidP="006108C9">
            <w:pPr>
              <w:rPr>
                <w:sz w:val="22"/>
                <w:szCs w:val="22"/>
              </w:rPr>
            </w:pPr>
            <w:r w:rsidRPr="00C7108B">
              <w:rPr>
                <w:sz w:val="22"/>
                <w:szCs w:val="22"/>
              </w:rPr>
              <w:t>Were you clear why the social worker met with you today?</w:t>
            </w:r>
          </w:p>
          <w:p w:rsidR="006108C9" w:rsidRPr="00C7108B" w:rsidRDefault="006108C9" w:rsidP="006108C9">
            <w:pPr>
              <w:rPr>
                <w:sz w:val="22"/>
                <w:szCs w:val="22"/>
              </w:rPr>
            </w:pPr>
          </w:p>
        </w:tc>
        <w:tc>
          <w:tcPr>
            <w:tcW w:w="7470" w:type="dxa"/>
            <w:shd w:val="clear" w:color="auto" w:fill="auto"/>
          </w:tcPr>
          <w:p w:rsidR="00CA3593" w:rsidRPr="008B28E7" w:rsidRDefault="00EE19DE" w:rsidP="00FF7EBB">
            <w:pPr>
              <w:jc w:val="both"/>
              <w:rPr>
                <w:sz w:val="24"/>
                <w:szCs w:val="24"/>
              </w:rPr>
            </w:pPr>
            <w:r w:rsidRPr="00EE19DE">
              <w:rPr>
                <w:sz w:val="24"/>
                <w:szCs w:val="24"/>
              </w:rPr>
              <w:t>The social worker has been very helpful since I became involved with social services. The advice, and assistance I have been given has been very helpful and helped me focus on myself and how my situation could be improved.</w:t>
            </w:r>
          </w:p>
        </w:tc>
      </w:tr>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Pr="008B28E7" w:rsidRDefault="00EE19DE" w:rsidP="00FF7EBB">
            <w:pPr>
              <w:jc w:val="both"/>
              <w:rPr>
                <w:sz w:val="24"/>
                <w:szCs w:val="24"/>
              </w:rPr>
            </w:pPr>
            <w:r w:rsidRPr="00EE19DE">
              <w:rPr>
                <w:sz w:val="24"/>
                <w:szCs w:val="24"/>
              </w:rPr>
              <w:t>Very well, the social worker always came to my house prepared – this was helpful as it kept me focused. The social worker had given me information and advice to sort my house out and because of this being given in a simple and structured way it helped me sort it out with the help of my friend and another agency. I feel much better now.</w:t>
            </w:r>
          </w:p>
        </w:tc>
      </w:tr>
      <w:tr w:rsidR="00CA3593" w:rsidRPr="008B28E7" w:rsidTr="00C7108B">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Pr="008B28E7" w:rsidRDefault="00EE19DE" w:rsidP="00FF7EBB">
            <w:pPr>
              <w:jc w:val="both"/>
              <w:rPr>
                <w:sz w:val="24"/>
                <w:szCs w:val="24"/>
              </w:rPr>
            </w:pPr>
            <w:r w:rsidRPr="00EE19DE">
              <w:rPr>
                <w:sz w:val="24"/>
                <w:szCs w:val="24"/>
              </w:rPr>
              <w:t>The social worker always took his time to listen to me and respect my views. I was able to say what I wanted and he helped to achieve this. The information and advice he is given to me has changed my hope for the future which I am grateful for.</w:t>
            </w:r>
          </w:p>
        </w:tc>
      </w:tr>
      <w:tr w:rsidR="00A12F22" w:rsidRPr="008B28E7" w:rsidTr="006512E6">
        <w:trPr>
          <w:trHeight w:val="70"/>
        </w:trPr>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6512E6"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A12F22" w:rsidRPr="008B28E7" w:rsidRDefault="00EE19DE" w:rsidP="00FF7EBB">
            <w:pPr>
              <w:jc w:val="both"/>
              <w:rPr>
                <w:sz w:val="24"/>
                <w:szCs w:val="24"/>
              </w:rPr>
            </w:pPr>
            <w:r w:rsidRPr="00EE19DE">
              <w:rPr>
                <w:sz w:val="24"/>
                <w:szCs w:val="24"/>
              </w:rPr>
              <w:t>Yes, the Social worker explained things clearly when I struggled sometimes he always explained it in a different way so I could understand.</w:t>
            </w:r>
          </w:p>
        </w:tc>
      </w:tr>
    </w:tbl>
    <w:p w:rsidR="00002C7A" w:rsidRDefault="00002C7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rsidTr="00C7108B">
        <w:tc>
          <w:tcPr>
            <w:tcW w:w="2718" w:type="dxa"/>
            <w:shd w:val="clear" w:color="auto" w:fill="auto"/>
          </w:tcPr>
          <w:p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CA3593" w:rsidRPr="008B28E7" w:rsidRDefault="008D6297" w:rsidP="00FF7EBB">
            <w:pPr>
              <w:jc w:val="both"/>
              <w:rPr>
                <w:sz w:val="24"/>
                <w:szCs w:val="24"/>
              </w:rPr>
            </w:pPr>
            <w:r w:rsidRPr="008D6297">
              <w:rPr>
                <w:sz w:val="24"/>
                <w:szCs w:val="24"/>
              </w:rPr>
              <w:t>Yes in all ways, I really appreciate the help he’s given to me.</w:t>
            </w:r>
          </w:p>
        </w:tc>
      </w:tr>
      <w:tr w:rsidR="00CA3593" w:rsidRPr="008B28E7" w:rsidTr="00C7108B">
        <w:tc>
          <w:tcPr>
            <w:tcW w:w="2718" w:type="dxa"/>
            <w:shd w:val="clear" w:color="auto" w:fill="auto"/>
          </w:tcPr>
          <w:p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rsidR="008D6297" w:rsidRPr="008D6297" w:rsidRDefault="008D6297" w:rsidP="008D6297">
            <w:pPr>
              <w:jc w:val="both"/>
              <w:rPr>
                <w:sz w:val="24"/>
                <w:szCs w:val="24"/>
              </w:rPr>
            </w:pPr>
            <w:r w:rsidRPr="008D6297">
              <w:rPr>
                <w:sz w:val="24"/>
                <w:szCs w:val="24"/>
              </w:rPr>
              <w:t>No, I am very happy with everything the social worker has</w:t>
            </w:r>
          </w:p>
          <w:p w:rsidR="008D6297" w:rsidRPr="008D6297" w:rsidRDefault="008D6297" w:rsidP="008D6297">
            <w:pPr>
              <w:jc w:val="both"/>
              <w:rPr>
                <w:sz w:val="24"/>
                <w:szCs w:val="24"/>
              </w:rPr>
            </w:pPr>
            <w:proofErr w:type="gramStart"/>
            <w:r w:rsidRPr="008D6297">
              <w:rPr>
                <w:sz w:val="24"/>
                <w:szCs w:val="24"/>
              </w:rPr>
              <w:t>done</w:t>
            </w:r>
            <w:proofErr w:type="gramEnd"/>
            <w:r w:rsidRPr="008D6297">
              <w:rPr>
                <w:sz w:val="24"/>
                <w:szCs w:val="24"/>
              </w:rPr>
              <w:t xml:space="preserve"> for me so far. He’s understood everything and taken</w:t>
            </w:r>
          </w:p>
          <w:p w:rsidR="008D6297" w:rsidRPr="008D6297" w:rsidRDefault="008D6297" w:rsidP="008D6297">
            <w:pPr>
              <w:jc w:val="both"/>
              <w:rPr>
                <w:sz w:val="24"/>
                <w:szCs w:val="24"/>
              </w:rPr>
            </w:pPr>
            <w:r w:rsidRPr="008D6297">
              <w:rPr>
                <w:sz w:val="24"/>
                <w:szCs w:val="24"/>
              </w:rPr>
              <w:t>his time to give me information and advice to change my</w:t>
            </w:r>
          </w:p>
          <w:p w:rsidR="00CA3593" w:rsidRPr="008B28E7" w:rsidRDefault="008D6297" w:rsidP="008D6297">
            <w:pPr>
              <w:jc w:val="both"/>
              <w:rPr>
                <w:sz w:val="24"/>
                <w:szCs w:val="24"/>
              </w:rPr>
            </w:pPr>
            <w:proofErr w:type="gramStart"/>
            <w:r w:rsidRPr="008D6297">
              <w:rPr>
                <w:sz w:val="24"/>
                <w:szCs w:val="24"/>
              </w:rPr>
              <w:t>situation</w:t>
            </w:r>
            <w:proofErr w:type="gramEnd"/>
            <w:r w:rsidRPr="008D6297">
              <w:rPr>
                <w:sz w:val="24"/>
                <w:szCs w:val="24"/>
              </w:rPr>
              <w:t>.</w:t>
            </w:r>
          </w:p>
        </w:tc>
      </w:tr>
    </w:tbl>
    <w:p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rsidR="00F546D1" w:rsidRDefault="00F546D1" w:rsidP="0093018C">
      <w:pPr>
        <w:rPr>
          <w:b/>
          <w:sz w:val="24"/>
          <w:szCs w:val="24"/>
        </w:rPr>
      </w:pPr>
    </w:p>
    <w:p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rsidTr="006108C9">
        <w:tc>
          <w:tcPr>
            <w:tcW w:w="10188" w:type="dxa"/>
            <w:shd w:val="clear" w:color="auto" w:fill="auto"/>
          </w:tcPr>
          <w:p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rsidR="006108C9" w:rsidRDefault="006108C9" w:rsidP="00FF7EBB">
            <w:pPr>
              <w:jc w:val="both"/>
              <w:rPr>
                <w:sz w:val="24"/>
                <w:szCs w:val="24"/>
              </w:rPr>
            </w:pPr>
          </w:p>
          <w:p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rsidR="00D3442D" w:rsidRDefault="00D3442D" w:rsidP="00D3442D">
      <w:pPr>
        <w:jc w:val="both"/>
        <w:rPr>
          <w:sz w:val="24"/>
          <w:szCs w:val="24"/>
        </w:rPr>
      </w:pPr>
    </w:p>
    <w:p w:rsidR="00C93F8F" w:rsidRPr="008B28E7" w:rsidRDefault="00C93F8F" w:rsidP="00FF7EBB">
      <w:pPr>
        <w:jc w:val="both"/>
        <w:rPr>
          <w:b/>
          <w:sz w:val="24"/>
          <w:szCs w:val="24"/>
        </w:rPr>
      </w:pP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r w:rsidRPr="00F2019B">
        <w:rPr>
          <w:rFonts w:eastAsiaTheme="minorHAnsi"/>
          <w:i/>
          <w:color w:val="auto"/>
          <w:sz w:val="24"/>
          <w:szCs w:val="24"/>
          <w:lang w:eastAsia="en-US"/>
        </w:rPr>
        <w:t>Introduction</w:t>
      </w: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This reflective account demonstrates my involvement and professional development within the adult safeguarding case context. The case presents the situation relating to a failed prison release and the impact this had on the citizen’s health and wellbeing. This case was chosen as an example of my professional development due to complexity and challenges aroused from multi-agency collaborative work.</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r w:rsidRPr="00F2019B">
        <w:rPr>
          <w:rFonts w:eastAsiaTheme="minorHAnsi"/>
          <w:i/>
          <w:color w:val="auto"/>
          <w:sz w:val="24"/>
          <w:szCs w:val="24"/>
          <w:lang w:eastAsia="en-US"/>
        </w:rPr>
        <w:t>Overview</w:t>
      </w: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Citizen 2 is a white British divorced gentleman in his late 70s. He was recently released from one of the English prisons and moved back to Wales in accordance to the local c</w:t>
      </w:r>
      <w:r w:rsidR="00E01BDF">
        <w:rPr>
          <w:rFonts w:eastAsiaTheme="minorHAnsi"/>
          <w:color w:val="auto"/>
          <w:sz w:val="24"/>
          <w:szCs w:val="24"/>
          <w:lang w:eastAsia="en-US"/>
        </w:rPr>
        <w:t>onnections policy. Shelter (2015</w:t>
      </w:r>
      <w:r w:rsidRPr="00F2019B">
        <w:rPr>
          <w:rFonts w:eastAsiaTheme="minorHAnsi"/>
          <w:color w:val="auto"/>
          <w:sz w:val="24"/>
          <w:szCs w:val="24"/>
          <w:lang w:eastAsia="en-US"/>
        </w:rPr>
        <w:t>) and Ministry of Housing, Communities and Local Government (2019) state that an individual is seen as the local resident if they have lived in the area 3 of the last 5 years. Part 2 of the Housing (Wales) Act 2014 advises that the purpose of the local connections legislation is to ensure that the local resources are used for local peo</w:t>
      </w:r>
      <w:r w:rsidR="00E01BDF">
        <w:rPr>
          <w:rFonts w:eastAsiaTheme="minorHAnsi"/>
          <w:color w:val="auto"/>
          <w:sz w:val="24"/>
          <w:szCs w:val="24"/>
          <w:lang w:eastAsia="en-US"/>
        </w:rPr>
        <w:t>ple. Shelter (2015</w:t>
      </w:r>
      <w:r w:rsidRPr="00F2019B">
        <w:rPr>
          <w:rFonts w:eastAsiaTheme="minorHAnsi"/>
          <w:color w:val="auto"/>
          <w:sz w:val="24"/>
          <w:szCs w:val="24"/>
          <w:lang w:eastAsia="en-US"/>
        </w:rPr>
        <w:t>) advises that the time spent in prison does not taken into consideration due the fact of ‘involuntary residency’.</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Citizen 2 suffers from reduced mobility, diabetes type 1 insulin dependency, urge urinal incontinence and self-reported short-term memory issues. He was charged with historical sexual offences against minors and served a sentence of 4 years in custody. Due to his convicted offences, Citizen 2 lost all connections with his family and friends. Citizen 2 whilst in custody attempted to regain family relationships; however, unsuccessfully.</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Citizen 2 was referred to my team by the sending authority. Following receipt of the referral, the case was assigned to myself to complete the necessary enquiries and for a social work re-assessment to be undertaken on his release once he arrived in our local area. Pr</w:t>
      </w:r>
      <w:r w:rsidR="00871DAB">
        <w:rPr>
          <w:rFonts w:eastAsiaTheme="minorHAnsi"/>
          <w:color w:val="auto"/>
          <w:sz w:val="24"/>
          <w:szCs w:val="24"/>
          <w:lang w:eastAsia="en-US"/>
        </w:rPr>
        <w:t xml:space="preserve">ison Release Protocol Guidance 2019 </w:t>
      </w:r>
      <w:r w:rsidRPr="00F2019B">
        <w:rPr>
          <w:rFonts w:eastAsiaTheme="minorHAnsi"/>
          <w:color w:val="auto"/>
          <w:sz w:val="24"/>
          <w:szCs w:val="24"/>
          <w:lang w:eastAsia="en-US"/>
        </w:rPr>
        <w:t xml:space="preserve">states that it is the Local Authority’s responsibility to assist the </w:t>
      </w:r>
      <w:r w:rsidRPr="00F2019B">
        <w:rPr>
          <w:rFonts w:eastAsiaTheme="minorHAnsi"/>
          <w:color w:val="auto"/>
          <w:sz w:val="24"/>
          <w:szCs w:val="24"/>
          <w:lang w:eastAsia="en-US"/>
        </w:rPr>
        <w:lastRenderedPageBreak/>
        <w:t>individuals with care and support needs on release. The above statement is supported by Part 3 and 11 of the Social Services and Wellbeing (Wales) Act 2014.</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 xml:space="preserve">It was agreed for the prison to arrange a safe release to ensure that risks are managed and Citizen 2’s needs are met as identified by the other local authority. However, this case highlights that the prison, prison’s healthcare and probation services failed to follow the arranged procedure. Consequently, Citizen 2 was put at risk of neglect and further health deterioration. By the end of my involvement with Citizen 2, I assisted him with the admission to hospital and referral to the Hospital Social Work Team. Moreover, I submitted the adult safeguarding referral </w:t>
      </w:r>
      <w:r w:rsidR="00A05CF3">
        <w:rPr>
          <w:rFonts w:eastAsiaTheme="minorHAnsi"/>
          <w:color w:val="auto"/>
          <w:sz w:val="24"/>
          <w:szCs w:val="24"/>
          <w:lang w:eastAsia="en-US"/>
        </w:rPr>
        <w:t>against the Probation Service. Prison Release Protocol Guidance 2019 states that t</w:t>
      </w:r>
      <w:r w:rsidRPr="00F2019B">
        <w:rPr>
          <w:rFonts w:eastAsiaTheme="minorHAnsi"/>
          <w:color w:val="auto"/>
          <w:sz w:val="24"/>
          <w:szCs w:val="24"/>
          <w:lang w:eastAsia="en-US"/>
        </w:rPr>
        <w:t>he prison with co-operation with Probation Service holds the primary responsibility</w:t>
      </w:r>
      <w:r w:rsidR="00F16817">
        <w:rPr>
          <w:rFonts w:eastAsiaTheme="minorHAnsi"/>
          <w:color w:val="auto"/>
          <w:sz w:val="24"/>
          <w:szCs w:val="24"/>
          <w:lang w:eastAsia="en-US"/>
        </w:rPr>
        <w:t xml:space="preserve"> to arrange th</w:t>
      </w:r>
      <w:r w:rsidR="006C64B5">
        <w:rPr>
          <w:rFonts w:eastAsiaTheme="minorHAnsi"/>
          <w:color w:val="auto"/>
          <w:sz w:val="24"/>
          <w:szCs w:val="24"/>
          <w:lang w:eastAsia="en-US"/>
        </w:rPr>
        <w:t>e safe discharge.</w:t>
      </w:r>
      <w:r w:rsidRPr="00F2019B">
        <w:rPr>
          <w:rFonts w:eastAsiaTheme="minorHAnsi"/>
          <w:color w:val="auto"/>
          <w:sz w:val="24"/>
          <w:szCs w:val="24"/>
          <w:lang w:eastAsia="en-US"/>
        </w:rPr>
        <w:t xml:space="preserve"> Every prison in England and Wales has the designated Resettlement Team that liaising with the appropriate Local Authority’s Housing or Homelessness Department, Job Centre or other benefits advice services, and local healthcare services, including GP and District Nursing Services (Prison Reform Tru</w:t>
      </w:r>
      <w:r w:rsidR="00BA180B">
        <w:rPr>
          <w:rFonts w:eastAsiaTheme="minorHAnsi"/>
          <w:color w:val="auto"/>
          <w:sz w:val="24"/>
          <w:szCs w:val="24"/>
          <w:lang w:eastAsia="en-US"/>
        </w:rPr>
        <w:t>st, 2019</w:t>
      </w:r>
      <w:r w:rsidRPr="00F2019B">
        <w:rPr>
          <w:rFonts w:eastAsiaTheme="minorHAnsi"/>
          <w:color w:val="auto"/>
          <w:sz w:val="24"/>
          <w:szCs w:val="24"/>
          <w:lang w:eastAsia="en-US"/>
        </w:rPr>
        <w:t>). The purpose for the Resettlement Team input to ensure that on release ex-offenders are suitably accommodated, are in receipt of state benefits or/and are employed, are registered with the local GP Surgery and local District Nursing Team (Prison Reform Trust, 2019).</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In case of Citizen 2’s situation, the prison delegated to the local Probation Service the task to arrange a safe release in to community taking into account the assessed needs of the citizen, and to ensure that duties under the relevant legislation and its supplementary guidance are completed (Part 11 of the Social Services and Wellbeing (Wales) Act 2014; Criminal Justice Act 1967; Prison Release Protocol Guidance 2019</w:t>
      </w:r>
      <w:r w:rsidR="006F66D6">
        <w:rPr>
          <w:rFonts w:eastAsiaTheme="minorHAnsi"/>
          <w:color w:val="auto"/>
          <w:sz w:val="24"/>
          <w:szCs w:val="24"/>
          <w:lang w:eastAsia="en-US"/>
        </w:rPr>
        <w:t>; Human Rights Act 1998</w:t>
      </w:r>
      <w:r w:rsidRPr="00F2019B">
        <w:rPr>
          <w:rFonts w:eastAsiaTheme="minorHAnsi"/>
          <w:color w:val="auto"/>
          <w:sz w:val="24"/>
          <w:szCs w:val="24"/>
          <w:lang w:eastAsia="en-US"/>
        </w:rPr>
        <w:t>).</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To complete the above listed actions, the Probation Service has employed the third sector organisation Prison Advice and Care Trust. ‘The Prison Advice and Care Trust is a national charity that provides support to prisoners, people with convictions, and their families…</w:t>
      </w:r>
      <w:proofErr w:type="gramStart"/>
      <w:r w:rsidRPr="00F2019B">
        <w:rPr>
          <w:rFonts w:eastAsiaTheme="minorHAnsi"/>
          <w:color w:val="auto"/>
          <w:sz w:val="24"/>
          <w:szCs w:val="24"/>
          <w:lang w:eastAsia="en-US"/>
        </w:rPr>
        <w:t>’(</w:t>
      </w:r>
      <w:proofErr w:type="gramEnd"/>
      <w:r w:rsidR="004F5AED">
        <w:rPr>
          <w:rFonts w:eastAsiaTheme="minorHAnsi"/>
          <w:color w:val="auto"/>
          <w:sz w:val="24"/>
          <w:szCs w:val="24"/>
          <w:lang w:eastAsia="en-US"/>
        </w:rPr>
        <w:t xml:space="preserve">p. 1, </w:t>
      </w:r>
      <w:r w:rsidRPr="00F2019B">
        <w:rPr>
          <w:rFonts w:eastAsiaTheme="minorHAnsi"/>
          <w:color w:val="auto"/>
          <w:sz w:val="24"/>
          <w:szCs w:val="24"/>
          <w:lang w:eastAsia="en-US"/>
        </w:rPr>
        <w:t>Prison Advice and Care Trust, 2019). It was expected from Prison Advice and Care Trust to support Citizen 2 to move in to his accommodation in Wales, register with GP and District Nursing Team, apply for benefits and arrange the help with tenancy support and shopping. Due to Citizen 2 having diabetes, and requiring regular insulin injections, one of the key elements required was to ensure his identified health needs were met in a way that ensure safe medication management. His health needs in this area had been met in the secure estate by the healthcare professionals, but this coordination needed to continue in the community and therefore the Community District Nursing Team needed to assess Citizens 2’s ability to check his glucose levels and inject his insulin as prescribed. Prison Advice and Care Trust was expected to provide the continuous support for a period of 2 weeks following the release. My task was to complete the social work assessment on release to offer to Citizen 2 information, advice and assistance, and to establish if Citizen 2 has any care and support needs. Due to his offences, the case co-ordinator was a probation officer who was responsible for co-ordinating the actions required to be completed and ensuring that Citizen 2’s needs are met.</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 xml:space="preserve">Prior Citizen 2’s release, I liaised with the Probation Service to establish if the suitable accommodation and services were available for Citizen 2. I was reassured by the probation officer that they were collaborating with the Housing Department to secure a suitable </w:t>
      </w:r>
      <w:r w:rsidRPr="00F2019B">
        <w:rPr>
          <w:rFonts w:eastAsiaTheme="minorHAnsi"/>
          <w:color w:val="auto"/>
          <w:sz w:val="24"/>
          <w:szCs w:val="24"/>
          <w:lang w:eastAsia="en-US"/>
        </w:rPr>
        <w:lastRenderedPageBreak/>
        <w:t>accommodation for him. The similar information I received from the Housing Department stating that they are looking for a suitable council property. I have raised my concerns with the probation and housing services in relation to availability of a suitable accommodation that, due to Citizen’s 2 offences, also should be approved by the Police Force. I was concerned that the probation and housing are not looking for an accommodation available from the third and private sectors that would explore more options available within the area.</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I completed the social work assessment for Citizen 2 on the same day of his release in line with the Social Services and Wellbeing (Wales) Act 2014. During the assessment, I identified that Citizen 2 has the symptoms that could indicate memory impairment. Furthermore, it was identified that Citizen 2 suffers from reduced mobility and incontinence. The local healthcare, social services or probation has not received the comprehensive notification of his needs on release, nor any required plan. Following the housing assessment, it was identified that no suitably adapted accommodation available. The housing officer made decision to move the citizen 2 into the local hotel without regards to Citizen 2’s needs.</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During the follow-up visit the next day, I was informed that Prison Advice and Care Trust had closed Citizen 2’s case to their service. Moreover, I was informed that Citizen 2 did not have access to benefits. In trying to establish the reason why, it was detailed that Prison Advice and Care Trust had not been able to complete this task due to citizen 2’s health needs taking priority and they had run out of ‘time’.  Citizen 2 was left without benefits, any money for food that put him at risk of malnutrition and potential serious risks to health, including the risk of death. Furthermore, I identified that Citizen 2 had not been seen by a Doctor. Local District Nursing Team informed me that they were supporting Citizen 2 with insulin injection and medication management.  The situation with lack of food for Citizen 2 resulted in challenging conversation with District Nursing Team. Due to the presenting risks of malnutrition, I provided a food parcel for Citizen 2.</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In relation to risk management, I have reported to the Probation that the hotel accommodation is also unsuitable due to easy access to minors as advised by the Children Act 1989/2004. I have discussed this case with my management, and it was agreed to liaise with the Probation and Children Social Services. I was reassured by the Probation that the hotel accommodation was approved by the Police Force as suitable.</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Due to presenting health risks, I made decision to assist Citizen 2 to attend Doctor’s appointment. During the appointment, Doctor stated that Citizen 2’s needs could not be met in the community. Doctor made decision of hospital admission. Following hospital admission, the case was transferred to the Hospital Social Work Team. Due to the signs of neglect identified, I submitted the adult safeguarding referral.</w:t>
      </w: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r w:rsidRPr="00F2019B">
        <w:rPr>
          <w:rFonts w:eastAsiaTheme="minorHAnsi"/>
          <w:i/>
          <w:color w:val="auto"/>
          <w:sz w:val="24"/>
          <w:szCs w:val="24"/>
          <w:lang w:eastAsia="en-US"/>
        </w:rPr>
        <w:t>Identifying safeguarding issues</w:t>
      </w: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 xml:space="preserve">In order to identify if Citizen 2 is an adult at risk, I researched the relevant legislation and policies. Moreover, I discussed the case with one of the experienced social workers from the local Adult Safeguarding Team. </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During my research, I identified that the Social Services and Wellbeing (Wales) Act 2014 which came in to force on 1st of April 2016 obligates the Local Authorities in Wales to complete enquiries is there are serious grounds to believe that an adult is at risk. Moreover, the section 128 of the Social services and Wellbeing (Wales) Act 2014 requires from the all relevant partners of the Welsh Local Authorities to report if they suspect a person in their area is an adult at risk.</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 xml:space="preserve">In discussion with the colleague from the Adult Safeguarding Team, I was advised to look at the definition of ‘an adult at risk’ in order to determine if Citizen 2 would fall under the definition. During my research, I learned that the Social Services and Wellbeing Act (Wales) 2014 replaces earlier classification of ‘vulnerable adult’ by ‘an adult at </w:t>
      </w:r>
      <w:r w:rsidR="001E6AEE">
        <w:rPr>
          <w:rFonts w:eastAsiaTheme="minorHAnsi"/>
          <w:color w:val="auto"/>
          <w:sz w:val="24"/>
          <w:szCs w:val="24"/>
          <w:lang w:eastAsia="en-US"/>
        </w:rPr>
        <w:t>risk’ definition (</w:t>
      </w:r>
      <w:proofErr w:type="spellStart"/>
      <w:r w:rsidR="001E6AEE">
        <w:rPr>
          <w:rFonts w:eastAsiaTheme="minorHAnsi"/>
          <w:color w:val="auto"/>
          <w:sz w:val="24"/>
          <w:szCs w:val="24"/>
          <w:lang w:eastAsia="en-US"/>
        </w:rPr>
        <w:t>xxxx</w:t>
      </w:r>
      <w:proofErr w:type="spellEnd"/>
      <w:r w:rsidRPr="00F2019B">
        <w:rPr>
          <w:rFonts w:eastAsiaTheme="minorHAnsi"/>
          <w:color w:val="auto"/>
          <w:sz w:val="24"/>
          <w:szCs w:val="24"/>
          <w:lang w:eastAsia="en-US"/>
        </w:rPr>
        <w:t xml:space="preserve"> Wales Safeguarding Adults Board, 2016). The guidance to Social Services and Wellbeing (Wales) Act 2014 called ‘Working Together to Safeguard People’ (Welsh Government, 2016) states that the ‘adult at risk’ definition only applies to the person with care and support needs as advised by Part 1 Social Services and Wellbeing Act 2014. Furthermore, Part 7 of the Social Services and Wellbeing Act 2014 establishes the National Safeguarding Board whose responsibility is to support the local Safeguarding Boards for Adults and Children. Social Services and Wellbeing (Wales) Act 2014 indicate that the responsibility for the local Adult Safeguarding Boards is to ensure the adults at risk residing at their area are protected and supported.</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 xml:space="preserve">In order to learn more about the definition of ‘an adult at risk’, I studied the Guidance called ‘Making Sense of Definitions of Risks, Abuse </w:t>
      </w:r>
      <w:r w:rsidR="00B1068B">
        <w:rPr>
          <w:rFonts w:eastAsiaTheme="minorHAnsi"/>
          <w:color w:val="auto"/>
          <w:sz w:val="24"/>
          <w:szCs w:val="24"/>
          <w:lang w:eastAsia="en-US"/>
        </w:rPr>
        <w:t xml:space="preserve">and Neglect’ issued by the </w:t>
      </w:r>
      <w:proofErr w:type="spellStart"/>
      <w:r w:rsidR="00B1068B">
        <w:rPr>
          <w:rFonts w:eastAsiaTheme="minorHAnsi"/>
          <w:color w:val="auto"/>
          <w:sz w:val="24"/>
          <w:szCs w:val="24"/>
          <w:lang w:eastAsia="en-US"/>
        </w:rPr>
        <w:t>xxxx</w:t>
      </w:r>
      <w:proofErr w:type="spellEnd"/>
      <w:r w:rsidRPr="00F2019B">
        <w:rPr>
          <w:rFonts w:eastAsiaTheme="minorHAnsi"/>
          <w:color w:val="auto"/>
          <w:sz w:val="24"/>
          <w:szCs w:val="24"/>
          <w:lang w:eastAsia="en-US"/>
        </w:rPr>
        <w:t xml:space="preserve"> Wales Safeguarding Board (2016). This Guidance providing the detailed explanation how the social care practitioners should interpreted the signs of abuse or/and n</w:t>
      </w:r>
      <w:r w:rsidR="0028604F">
        <w:rPr>
          <w:rFonts w:eastAsiaTheme="minorHAnsi"/>
          <w:color w:val="auto"/>
          <w:sz w:val="24"/>
          <w:szCs w:val="24"/>
          <w:lang w:eastAsia="en-US"/>
        </w:rPr>
        <w:t>eglect. Additionally, the ‘</w:t>
      </w:r>
      <w:proofErr w:type="spellStart"/>
      <w:r w:rsidR="0028604F">
        <w:rPr>
          <w:rFonts w:eastAsiaTheme="minorHAnsi"/>
          <w:color w:val="auto"/>
          <w:sz w:val="24"/>
          <w:szCs w:val="24"/>
          <w:lang w:eastAsia="en-US"/>
        </w:rPr>
        <w:t>xxxx</w:t>
      </w:r>
      <w:proofErr w:type="spellEnd"/>
      <w:r w:rsidRPr="00F2019B">
        <w:rPr>
          <w:rFonts w:eastAsiaTheme="minorHAnsi"/>
          <w:color w:val="auto"/>
          <w:sz w:val="24"/>
          <w:szCs w:val="24"/>
          <w:lang w:eastAsia="en-US"/>
        </w:rPr>
        <w:t xml:space="preserve"> Wales Safeguarding Board Regional Thresholds Guidance 2016’ saying about the three main types of abuse: physical, emotional and financial. In accordance to the same Guidance, the neglect is listed between the concerns to be addressed by the safeguarding measures. In accordance to the Guidance ‘Making Sense of Definitions of </w:t>
      </w:r>
      <w:r w:rsidR="00E46974">
        <w:rPr>
          <w:rFonts w:eastAsiaTheme="minorHAnsi"/>
          <w:color w:val="auto"/>
          <w:sz w:val="24"/>
          <w:szCs w:val="24"/>
          <w:lang w:eastAsia="en-US"/>
        </w:rPr>
        <w:t>Risks, Abuse and Neglect’ (</w:t>
      </w:r>
      <w:proofErr w:type="spellStart"/>
      <w:r w:rsidR="00E46974">
        <w:rPr>
          <w:rFonts w:eastAsiaTheme="minorHAnsi"/>
          <w:color w:val="auto"/>
          <w:sz w:val="24"/>
          <w:szCs w:val="24"/>
          <w:lang w:eastAsia="en-US"/>
        </w:rPr>
        <w:t>xxxx</w:t>
      </w:r>
      <w:proofErr w:type="spellEnd"/>
      <w:r w:rsidR="009F0A48">
        <w:rPr>
          <w:rFonts w:eastAsiaTheme="minorHAnsi"/>
          <w:color w:val="auto"/>
          <w:sz w:val="24"/>
          <w:szCs w:val="24"/>
          <w:lang w:eastAsia="en-US"/>
        </w:rPr>
        <w:t>/</w:t>
      </w:r>
      <w:r w:rsidRPr="00F2019B">
        <w:rPr>
          <w:rFonts w:eastAsiaTheme="minorHAnsi"/>
          <w:color w:val="auto"/>
          <w:sz w:val="24"/>
          <w:szCs w:val="24"/>
          <w:lang w:eastAsia="en-US"/>
        </w:rPr>
        <w:t xml:space="preserve"> Wales Safeguarding Board, 2016) the failure to provide the access to healthcare and food is seen as neglect with potential consequences of dehydration, malnutrition and related health complications. I analysed Citizen 2’s situation and concluded that he was an adult at risk due to neglect and multiple failings of Probation Service to enable Citizen 2 access to medical care, benefits, food and suitable accommodation in a timely manner.</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FF0000"/>
          <w:sz w:val="24"/>
          <w:szCs w:val="24"/>
          <w:lang w:eastAsia="en-US"/>
        </w:rPr>
      </w:pPr>
      <w:r w:rsidRPr="00F2019B">
        <w:rPr>
          <w:rFonts w:eastAsiaTheme="minorHAnsi"/>
          <w:color w:val="auto"/>
          <w:sz w:val="24"/>
          <w:szCs w:val="24"/>
          <w:lang w:eastAsia="en-US"/>
        </w:rPr>
        <w:t>During my assessment and on-going work it was identified that Citizen 2 presenting with some symptoms of short-term memory issues. The social work assessment completed by the prison social worker suggested citizen 2 presented with similar symptoms whilst residing at the prison.</w:t>
      </w:r>
      <w:r w:rsidRPr="00F2019B">
        <w:rPr>
          <w:rFonts w:eastAsiaTheme="minorHAnsi"/>
          <w:color w:val="FF0000"/>
          <w:sz w:val="24"/>
          <w:szCs w:val="24"/>
          <w:lang w:eastAsia="en-US"/>
        </w:rPr>
        <w:t xml:space="preserve"> </w:t>
      </w:r>
      <w:r w:rsidRPr="00F2019B">
        <w:rPr>
          <w:rFonts w:eastAsiaTheme="minorHAnsi"/>
          <w:color w:val="auto"/>
          <w:sz w:val="24"/>
          <w:szCs w:val="24"/>
          <w:lang w:eastAsia="en-US"/>
        </w:rPr>
        <w:t>However, it later detailed that Citizen 2 had not had any formal input from the Mental Health Team. In line with Mental Capacity Act 2005, this led me to assume that Citizen 2 had full mental capacity to make informed decisions due to lack of formal evidence of mental illness, brain injury or cognitive impairment.</w:t>
      </w:r>
      <w:r w:rsidRPr="00F2019B">
        <w:rPr>
          <w:rFonts w:eastAsiaTheme="minorHAnsi"/>
          <w:color w:val="FF0000"/>
          <w:sz w:val="24"/>
          <w:szCs w:val="24"/>
          <w:lang w:eastAsia="en-US"/>
        </w:rPr>
        <w:t xml:space="preserve"> </w:t>
      </w:r>
      <w:r w:rsidRPr="00F2019B">
        <w:rPr>
          <w:rFonts w:eastAsiaTheme="minorHAnsi"/>
          <w:color w:val="auto"/>
          <w:sz w:val="24"/>
          <w:szCs w:val="24"/>
          <w:lang w:eastAsia="en-US"/>
        </w:rPr>
        <w:t xml:space="preserve">In relation to mental capacity issues, I was advised by the experienced practitioner from the local Adult Safeguarding Team to look at Mental Capacity Act 2005 (amended 2007) and Code of Practice for Mental Capacity Act 2005. </w:t>
      </w:r>
      <w:proofErr w:type="spellStart"/>
      <w:r w:rsidRPr="00F2019B">
        <w:rPr>
          <w:rFonts w:eastAsiaTheme="minorHAnsi"/>
          <w:color w:val="auto"/>
          <w:sz w:val="24"/>
          <w:szCs w:val="24"/>
          <w:lang w:eastAsia="en-US"/>
        </w:rPr>
        <w:t>Brammer</w:t>
      </w:r>
      <w:proofErr w:type="spellEnd"/>
      <w:r w:rsidRPr="00F2019B">
        <w:rPr>
          <w:rFonts w:eastAsiaTheme="minorHAnsi"/>
          <w:color w:val="auto"/>
          <w:sz w:val="24"/>
          <w:szCs w:val="24"/>
          <w:lang w:eastAsia="en-US"/>
        </w:rPr>
        <w:t xml:space="preserve"> (2015) clarifies that The Mental Capacity Act 2005 applies in England and Wales, does mean this legislation is also relevant to adult safeguarding practice in Wales. According to Berk (2010), the person could be considered as lacking mental capacity if they are unable to make informed decisions due to </w:t>
      </w:r>
      <w:r w:rsidRPr="00F2019B">
        <w:rPr>
          <w:rFonts w:eastAsiaTheme="minorHAnsi"/>
          <w:color w:val="auto"/>
          <w:sz w:val="24"/>
          <w:szCs w:val="24"/>
          <w:lang w:eastAsia="en-US"/>
        </w:rPr>
        <w:lastRenderedPageBreak/>
        <w:t xml:space="preserve">cognitive impairment, brain injury or disturbance in the functioning of the mind. </w:t>
      </w:r>
      <w:proofErr w:type="spellStart"/>
      <w:r w:rsidRPr="00F2019B">
        <w:rPr>
          <w:rFonts w:eastAsiaTheme="minorHAnsi"/>
          <w:color w:val="auto"/>
          <w:sz w:val="24"/>
          <w:szCs w:val="24"/>
          <w:lang w:eastAsia="en-US"/>
        </w:rPr>
        <w:t>Brammer</w:t>
      </w:r>
      <w:proofErr w:type="spellEnd"/>
      <w:r w:rsidRPr="00F2019B">
        <w:rPr>
          <w:rFonts w:eastAsiaTheme="minorHAnsi"/>
          <w:color w:val="auto"/>
          <w:sz w:val="24"/>
          <w:szCs w:val="24"/>
          <w:lang w:eastAsia="en-US"/>
        </w:rPr>
        <w:t xml:space="preserve"> (2015) saying that the mental capacity assessment only should be initiated when the person has an established diagnosis of the condition that could significantly affect human being’s ability to make informed decisions. Mental Capacity Assessment Form (</w:t>
      </w:r>
      <w:proofErr w:type="spellStart"/>
      <w:r w:rsidR="00AD4119">
        <w:rPr>
          <w:rFonts w:eastAsiaTheme="minorHAnsi"/>
          <w:color w:val="auto"/>
          <w:sz w:val="24"/>
          <w:szCs w:val="24"/>
          <w:lang w:eastAsia="en-US"/>
        </w:rPr>
        <w:t>Barmmer</w:t>
      </w:r>
      <w:proofErr w:type="spellEnd"/>
      <w:r w:rsidR="00AD4119">
        <w:rPr>
          <w:rFonts w:eastAsiaTheme="minorHAnsi"/>
          <w:color w:val="auto"/>
          <w:sz w:val="24"/>
          <w:szCs w:val="24"/>
          <w:lang w:eastAsia="en-US"/>
        </w:rPr>
        <w:t>, 2015</w:t>
      </w:r>
      <w:r w:rsidRPr="00F2019B">
        <w:rPr>
          <w:rFonts w:eastAsiaTheme="minorHAnsi"/>
          <w:color w:val="auto"/>
          <w:sz w:val="24"/>
          <w:szCs w:val="24"/>
          <w:lang w:eastAsia="en-US"/>
        </w:rPr>
        <w:t>) advises on two states of the mental capacity assessment. The first stage requesting from the professional to identify evidence to confirm the diagnosis of mental illness, severe learning disability or brain injury; if none identified that the mental capacity assessment could not be continued (</w:t>
      </w:r>
      <w:proofErr w:type="spellStart"/>
      <w:r w:rsidR="00AD4119">
        <w:rPr>
          <w:rFonts w:eastAsiaTheme="minorHAnsi"/>
          <w:color w:val="auto"/>
          <w:sz w:val="24"/>
          <w:szCs w:val="24"/>
          <w:lang w:eastAsia="en-US"/>
        </w:rPr>
        <w:t>Brammer</w:t>
      </w:r>
      <w:proofErr w:type="spellEnd"/>
      <w:r w:rsidR="00AD4119">
        <w:rPr>
          <w:rFonts w:eastAsiaTheme="minorHAnsi"/>
          <w:color w:val="auto"/>
          <w:sz w:val="24"/>
          <w:szCs w:val="24"/>
          <w:lang w:eastAsia="en-US"/>
        </w:rPr>
        <w:t>, 2015</w:t>
      </w:r>
      <w:r w:rsidRPr="00F2019B">
        <w:rPr>
          <w:rFonts w:eastAsiaTheme="minorHAnsi"/>
          <w:color w:val="auto"/>
          <w:sz w:val="24"/>
          <w:szCs w:val="24"/>
          <w:lang w:eastAsia="en-US"/>
        </w:rPr>
        <w:t>). In accordance to Williams cited at Community Care Inform website (2018), the person should be considered as deemed to have capacity if not identified otherwise.  The mental capacity topic is linked to consent and unwise decisions issues (Seidman, 2004). In case of adult safeguarding, the person has right to refuse social work assessment and protection (Barber, Brown and Martin, 2012).  However, Williams (2018) arguing that in accordance to the ‘Controlling or coercive behaviour in an intimate or family relationship – statutory guidance framework’ issued by Home Office in 2015, the person could be influenced and forced to make informed unwise decision. In relation to Citizen 2’s case, he agreed to be referred to the Adult Safeguarding Team. I explained to Citizen 2 the purpose of the adult safeguarding referral. During my involvement, the citizen 2 demonstrated that he is orientating in date and time, and that he is able to understand the questions asked and respond appropriately. No evidence identified at that time to suggest that Citizen 2 could be lacking mental capacity to make informed decisions.</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The prison had delegated to the probation officer to facilitate the safe release that includes fair access to medical care. On release, the probation officer failed to ensure that the third sector agency employed by them would enable Citizen 2 to be examined by a Doctor. For me as a social worker it was difficult to identify what causing Citizen 2’s memory issues. Short-term memory issues could be an indicator of a symptom of the critical health need related to diabetes (Crawford and Walker, 2011). In order to safeguard and support Citizen 2, I assisted him with access to medical care. It was evident that Citizen 2’s needs were neglected by the probation service. Following neglect occurred, Citizen 2 had no access to food, medical care, benefits and suitable accommodation.</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This case also enabled me to learn about the adult safeguarding process as a whole. I learned about the stages of the safeguarding, that includes referral to the adult safeguarding team, screening processes that should be completed within one day, initial evaluation that could take up to seven days and determination process that could include multi-agency investigation. I consolidated my knowledge about adult safeguarding by utilising advice given by the experienced practitioner form the local Adult Safeguarding Team, by accessing applicable legislation and other relevant materials. As my involvement with Citizen 2 was terminated at the point of his admission to the hospital and submission of an adult safeguarding referral. I was not directly involved in the investigation process.</w:t>
      </w: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r w:rsidRPr="00F2019B">
        <w:rPr>
          <w:rFonts w:eastAsiaTheme="minorHAnsi"/>
          <w:i/>
          <w:color w:val="auto"/>
          <w:sz w:val="24"/>
          <w:szCs w:val="24"/>
          <w:lang w:eastAsia="en-US"/>
        </w:rPr>
        <w:t>Reflection on my own actions and development in relation to this learning activity</w:t>
      </w: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 xml:space="preserve">To reflect on this learning activity, I have used </w:t>
      </w:r>
      <w:proofErr w:type="spellStart"/>
      <w:r w:rsidRPr="00F2019B">
        <w:rPr>
          <w:rFonts w:eastAsiaTheme="minorHAnsi"/>
          <w:color w:val="auto"/>
          <w:sz w:val="24"/>
          <w:szCs w:val="24"/>
          <w:lang w:eastAsia="en-US"/>
        </w:rPr>
        <w:t>Borton’s</w:t>
      </w:r>
      <w:proofErr w:type="spellEnd"/>
      <w:r w:rsidRPr="00F2019B">
        <w:rPr>
          <w:rFonts w:eastAsiaTheme="minorHAnsi"/>
          <w:color w:val="auto"/>
          <w:sz w:val="24"/>
          <w:szCs w:val="24"/>
          <w:lang w:eastAsia="en-US"/>
        </w:rPr>
        <w:t xml:space="preserve"> (1970) model of reflection. According to Trevithick (2012), </w:t>
      </w:r>
      <w:proofErr w:type="spellStart"/>
      <w:r w:rsidRPr="00F2019B">
        <w:rPr>
          <w:rFonts w:eastAsiaTheme="minorHAnsi"/>
          <w:color w:val="auto"/>
          <w:sz w:val="24"/>
          <w:szCs w:val="24"/>
          <w:lang w:eastAsia="en-US"/>
        </w:rPr>
        <w:t>Borton’s</w:t>
      </w:r>
      <w:proofErr w:type="spellEnd"/>
      <w:r w:rsidRPr="00F2019B">
        <w:rPr>
          <w:rFonts w:eastAsiaTheme="minorHAnsi"/>
          <w:color w:val="auto"/>
          <w:sz w:val="24"/>
          <w:szCs w:val="24"/>
          <w:lang w:eastAsia="en-US"/>
        </w:rPr>
        <w:t xml:space="preserve"> (1970) model recognises 3 stages of critical reflection – What? So What? </w:t>
      </w:r>
      <w:proofErr w:type="gramStart"/>
      <w:r w:rsidRPr="00F2019B">
        <w:rPr>
          <w:rFonts w:eastAsiaTheme="minorHAnsi"/>
          <w:color w:val="auto"/>
          <w:sz w:val="24"/>
          <w:szCs w:val="24"/>
          <w:lang w:eastAsia="en-US"/>
        </w:rPr>
        <w:t>and</w:t>
      </w:r>
      <w:proofErr w:type="gramEnd"/>
      <w:r w:rsidRPr="00F2019B">
        <w:rPr>
          <w:rFonts w:eastAsiaTheme="minorHAnsi"/>
          <w:color w:val="auto"/>
          <w:sz w:val="24"/>
          <w:szCs w:val="24"/>
          <w:lang w:eastAsia="en-US"/>
        </w:rPr>
        <w:t xml:space="preserve"> Now What?</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This learning activity helped me to confront my own values and re-think the methods and approaches I am using within my practice. Furthermore, the multi-agency collaborative work and conflicts aroused due to complexity of the case helped me to make significant step forward transforming my practice. I would say this challenging experience made substantial change in my mentality. Most of my previous work experience involved constructive collaboration with other professionals, rarely involving open conflicts. This difficult learning opportunity helped me to develop from newly qualified social worker into confident experienced practitioner. This learning opportunity encouraged me to reflect on my emotional reactions and resilience.</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From the   first days of my involvement with Citizen 2, it was evident that his needs are not met as required. Obviously, the healthcare professionals provided support with medication management. However, the lack of comprehensive handover from the prison healthcare put Citizen 2 at risk of health deterioration. In accordance with Data Protection Act 2018, Social Services should only be in possession of information related to the individuals’ care and support needs. The probation officer as a case co-ordinator was responsible to ensure that on release the local healthcare professionals are fully informed about Citizen 2’s health needs. From the social work assessment completed by a prison social worker, it was unclear what causing Citizen 2’s confusion, memory issues and incontinence.</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In discussion with district nurses and probation officer, they attempted emotionally influence me to make decision to admit Citizen 2 in to one of the residential homes. My task was to protect Citizen 2’s rights by explaining that Citizen 2 should firstly be medically examined by the appropriate healthcare professional to establish his current health issues. Secondly, I made clear, that Citizen 2 should be assessed by a nurse to identify the category of care. I explained that residential placement is not a substitute to housing. I was arguing that residential care (or hospital care) is need led service. I gave an example that we are not ‘housing’ homeless people in residential homes only because they have nowhere to live. The hotel room was definitely unsuitable accommodation for Citizen 2, but the residential placement could not be a solution either. The communication with the professionals from healthcare and probation made me reflect on how I dealing with emotional pressure in a hostile environment. I learned to stay professional, communicate in a straightforward manner and make sure that I done everything to protect the rights of the citizen, safeguard the citizen and act in accordance with the Local Authority’s Policies and Procedures. I reflected and communicated it to other professionals that the person-centred approach requires for the practitioner to put the individual and his</w:t>
      </w:r>
      <w:r w:rsidR="005203CA">
        <w:rPr>
          <w:rFonts w:eastAsiaTheme="minorHAnsi"/>
          <w:color w:val="auto"/>
          <w:sz w:val="24"/>
          <w:szCs w:val="24"/>
          <w:lang w:eastAsia="en-US"/>
        </w:rPr>
        <w:t xml:space="preserve"> needs in the centre (Howe, 2008</w:t>
      </w:r>
      <w:r w:rsidRPr="00F2019B">
        <w:rPr>
          <w:rFonts w:eastAsiaTheme="minorHAnsi"/>
          <w:color w:val="auto"/>
          <w:sz w:val="24"/>
          <w:szCs w:val="24"/>
          <w:lang w:eastAsia="en-US"/>
        </w:rPr>
        <w:t>).</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 xml:space="preserve">Healy (2005) states that the person-centred practice requires from the practitioner creativity and ability to make difficult decisions, often against other professionals’ expectations. </w:t>
      </w:r>
      <w:proofErr w:type="spellStart"/>
      <w:r w:rsidRPr="00F2019B">
        <w:rPr>
          <w:rFonts w:eastAsiaTheme="minorHAnsi"/>
          <w:color w:val="auto"/>
          <w:sz w:val="24"/>
          <w:szCs w:val="24"/>
          <w:lang w:eastAsia="en-US"/>
        </w:rPr>
        <w:t>Kondrat</w:t>
      </w:r>
      <w:proofErr w:type="spellEnd"/>
      <w:r w:rsidRPr="00F2019B">
        <w:rPr>
          <w:rFonts w:eastAsiaTheme="minorHAnsi"/>
          <w:color w:val="auto"/>
          <w:sz w:val="24"/>
          <w:szCs w:val="24"/>
          <w:lang w:eastAsia="en-US"/>
        </w:rPr>
        <w:t xml:space="preserve"> (2012) writes that client-centred approach differs significantly from practitioner-orientated approach. Sheppard and Charles (2014) in their article about the critical thinking in social work training, giving similar suggestions to </w:t>
      </w:r>
      <w:proofErr w:type="spellStart"/>
      <w:r w:rsidRPr="00F2019B">
        <w:rPr>
          <w:rFonts w:eastAsiaTheme="minorHAnsi"/>
          <w:color w:val="auto"/>
          <w:sz w:val="24"/>
          <w:szCs w:val="24"/>
          <w:lang w:eastAsia="en-US"/>
        </w:rPr>
        <w:t>Kondrat</w:t>
      </w:r>
      <w:proofErr w:type="spellEnd"/>
      <w:r w:rsidRPr="00F2019B">
        <w:rPr>
          <w:rFonts w:eastAsiaTheme="minorHAnsi"/>
          <w:color w:val="auto"/>
          <w:sz w:val="24"/>
          <w:szCs w:val="24"/>
          <w:lang w:eastAsia="en-US"/>
        </w:rPr>
        <w:t xml:space="preserve"> (2012) by saying that use of the elements of person-centred theory in practice necessitates practitioner to look at the situation from the individual’s point of view. Reflecting on my case, I understood that it would be ‘easier’ for ‘everyone’ to admit Citizen 2 to nursing home taking off pressure from the probation and healthcare. However, is ‘easier’ mean lawful? Such a move would definitely went against Citizen 2’s needs and my Local </w:t>
      </w:r>
      <w:r w:rsidRPr="00F2019B">
        <w:rPr>
          <w:rFonts w:eastAsiaTheme="minorHAnsi"/>
          <w:color w:val="auto"/>
          <w:sz w:val="24"/>
          <w:szCs w:val="24"/>
          <w:lang w:eastAsia="en-US"/>
        </w:rPr>
        <w:lastRenderedPageBreak/>
        <w:t>Authority’s interests. Moreover, from the child safeguarding legislation point of view, it would place the children’ (who are visiting their grandparents) safety at risk.</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 xml:space="preserve">Citizen 2’s case encouraged me to reflect on my own feelings and values whilst performing my professional task to support and safeguard the individual. Thompson (2012) recognising three dimensions of the potential discrimination, one of them calling as an institutional discrimination. Clifford and Burke (2009) states that the citizens could be at risk of discrimination due to power dynamics, and specifically due to dominating power phenomena. </w:t>
      </w:r>
      <w:proofErr w:type="spellStart"/>
      <w:r w:rsidRPr="00F2019B">
        <w:rPr>
          <w:rFonts w:eastAsiaTheme="minorHAnsi"/>
          <w:color w:val="auto"/>
          <w:sz w:val="24"/>
          <w:szCs w:val="24"/>
          <w:lang w:eastAsia="en-US"/>
        </w:rPr>
        <w:t>Fook</w:t>
      </w:r>
      <w:proofErr w:type="spellEnd"/>
      <w:r w:rsidRPr="00F2019B">
        <w:rPr>
          <w:rFonts w:eastAsiaTheme="minorHAnsi"/>
          <w:color w:val="auto"/>
          <w:sz w:val="24"/>
          <w:szCs w:val="24"/>
          <w:lang w:eastAsia="en-US"/>
        </w:rPr>
        <w:t xml:space="preserve"> (2002) suggesting that the practitioner-client type of relationships always maintain some risks for clients to lose control over their situation. Citizen 2’s case clearly demonstrated the probation and healthcare services domination and executive role in decision-making process about Citizen 2’s future. From the beginning of my involvement, I realised that Citizen 2’s voice was not heard in whole situation. Citizen 2 never been invited in any of the meetings when the important questions about his accommodation, transport or food provision were discussed. For me it was emotionally difficult situation due to being unable to co-ordinate his case. The case co-ordinator was the probation officer and they made decision to exclude Citizen 2 from all meetings. Reflecting on this situation I become aware how easy is to become from an advocate to oppressor. Garett (2014) saying that the true spirit of social work becoming lost in an age of totalitarian </w:t>
      </w:r>
      <w:proofErr w:type="spellStart"/>
      <w:r w:rsidRPr="00F2019B">
        <w:rPr>
          <w:rFonts w:eastAsiaTheme="minorHAnsi"/>
          <w:color w:val="auto"/>
          <w:sz w:val="24"/>
          <w:szCs w:val="24"/>
          <w:lang w:eastAsia="en-US"/>
        </w:rPr>
        <w:t>consumptionist</w:t>
      </w:r>
      <w:proofErr w:type="spellEnd"/>
      <w:r w:rsidRPr="00F2019B">
        <w:rPr>
          <w:rFonts w:eastAsiaTheme="minorHAnsi"/>
          <w:color w:val="auto"/>
          <w:sz w:val="24"/>
          <w:szCs w:val="24"/>
          <w:lang w:eastAsia="en-US"/>
        </w:rPr>
        <w:t xml:space="preserve"> ideology where human beings are valued in accordance to their potential and possessions. Citizen 2 presented in this situation as totally disempowered. I would say that Citizen 2 was indirectly discriminated due to his age, health condition, lack of social contacts and support, lack of emotional ability to protect himself. I believe, the probation and healthcare professionals attempted to compromise my social work values of empowerment and equality by making strong suggestions how should I act to address Citizen 2’s situation, the same time not taking into consideration his own wishes. My underpinning knowledge and application of the law aided me to develop further confidence in professional decision making. I felt empathising with Citizen 2 in his situation of despair and lack of understanding. I believe other professionals were judgemental about his offences and acted accordingly. This opportunity to demonstrate the advocacy skills in practice helped me to ‘test’ my emotional resilience and clear thinking skills in situation of high tension and hostility. Munro (2011) suggesting that the resilience in situations of uncertainty is core professional requirement for all those working in child or adult protection.</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 xml:space="preserve">Additionally, this learning opportunity enabled me to demonstrate my integrity in practising as a social worker. Citizen 2 is a sex-offender who was charged for sexual assault on minors. Jack and Donnellan (2013) saying that the ex-offender are most hated social group in modern British Society. In </w:t>
      </w:r>
      <w:r w:rsidR="009F0A48">
        <w:rPr>
          <w:rFonts w:eastAsiaTheme="minorHAnsi"/>
          <w:color w:val="auto"/>
          <w:sz w:val="24"/>
          <w:szCs w:val="24"/>
          <w:lang w:eastAsia="en-US"/>
        </w:rPr>
        <w:t xml:space="preserve">accordance to </w:t>
      </w:r>
      <w:proofErr w:type="spellStart"/>
      <w:r w:rsidR="009F0A48">
        <w:rPr>
          <w:rFonts w:eastAsiaTheme="minorHAnsi"/>
          <w:color w:val="auto"/>
          <w:sz w:val="24"/>
          <w:szCs w:val="24"/>
          <w:lang w:eastAsia="en-US"/>
        </w:rPr>
        <w:t>Albery</w:t>
      </w:r>
      <w:proofErr w:type="spellEnd"/>
      <w:r w:rsidR="009F0A48">
        <w:rPr>
          <w:rFonts w:eastAsiaTheme="minorHAnsi"/>
          <w:color w:val="auto"/>
          <w:sz w:val="24"/>
          <w:szCs w:val="24"/>
          <w:lang w:eastAsia="en-US"/>
        </w:rPr>
        <w:t xml:space="preserve"> </w:t>
      </w:r>
      <w:r w:rsidRPr="00F2019B">
        <w:rPr>
          <w:rFonts w:eastAsiaTheme="minorHAnsi"/>
          <w:color w:val="auto"/>
          <w:sz w:val="24"/>
          <w:szCs w:val="24"/>
          <w:lang w:eastAsia="en-US"/>
        </w:rPr>
        <w:t>(2008), the hostile attitudes towards sex-offenders could be explained by their actions towards the most vulnerable members of society – children. From the social work practice perspective, the wellbeing of the children should be seen as paramount (</w:t>
      </w:r>
      <w:proofErr w:type="spellStart"/>
      <w:r w:rsidRPr="00F2019B">
        <w:rPr>
          <w:rFonts w:eastAsiaTheme="minorHAnsi"/>
          <w:color w:val="auto"/>
          <w:sz w:val="24"/>
          <w:szCs w:val="24"/>
          <w:lang w:eastAsia="en-US"/>
        </w:rPr>
        <w:t>Turbett</w:t>
      </w:r>
      <w:proofErr w:type="spellEnd"/>
      <w:r w:rsidRPr="00F2019B">
        <w:rPr>
          <w:rFonts w:eastAsiaTheme="minorHAnsi"/>
          <w:color w:val="auto"/>
          <w:sz w:val="24"/>
          <w:szCs w:val="24"/>
          <w:lang w:eastAsia="en-US"/>
        </w:rPr>
        <w:t>, 2014). In situation with Citizen 2, I managed to demonstrate, that regardless my own personal beliefs, I am able to work with every group of citizens and protect their rights in accordance to Cod</w:t>
      </w:r>
      <w:r w:rsidR="009F0A48">
        <w:rPr>
          <w:rFonts w:eastAsiaTheme="minorHAnsi"/>
          <w:color w:val="auto"/>
          <w:sz w:val="24"/>
          <w:szCs w:val="24"/>
          <w:lang w:eastAsia="en-US"/>
        </w:rPr>
        <w:t>e of Practice (Social Care Wales (former Care Council for Wales)</w:t>
      </w:r>
      <w:r w:rsidRPr="00F2019B">
        <w:rPr>
          <w:rFonts w:eastAsiaTheme="minorHAnsi"/>
          <w:color w:val="auto"/>
          <w:sz w:val="24"/>
          <w:szCs w:val="24"/>
          <w:lang w:eastAsia="en-US"/>
        </w:rPr>
        <w:t>, 2016) and professional ethics. I challenged anti-oppressive practice by ensuring he had the same rights as any other citizen in the community.</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r w:rsidRPr="00F2019B">
        <w:rPr>
          <w:rFonts w:eastAsiaTheme="minorHAnsi"/>
          <w:i/>
          <w:color w:val="auto"/>
          <w:sz w:val="24"/>
          <w:szCs w:val="24"/>
          <w:lang w:eastAsia="en-US"/>
        </w:rPr>
        <w:t>Conclusion</w:t>
      </w: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In order to conclude, I would like to highlight the main aspects of the adult safeguarding practice in Wales I learned and how this will improve my practice.</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Firstly, this learning activity gave me opportunity to update my factual knowledge in relation to Adult Safeguarding practice in Wales. I learned about how to apply in practice the Part 7 of the Social Services and Wellbeing (Wales) Act 2014 requirements. Furthermore, I learned about the significance of the local policies and procedures, such as threshold guidance and other local Safeguarding Board documents.</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Secondly, I learned how to recognise confidently the abuse and neglect signs in adults. I learned what negative consequences abuse and neglect could have for the survivors. I updated my knowledge in relation to human growth and development in adulthood and what steps I could and should take in order to prevent abuse and neglect and safeguard the suffering individuals. Moreover, I learned about the mental capacity element in adult safeguarding practice.</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r w:rsidRPr="00F2019B">
        <w:rPr>
          <w:rFonts w:eastAsiaTheme="minorHAnsi"/>
          <w:color w:val="auto"/>
          <w:sz w:val="24"/>
          <w:szCs w:val="24"/>
          <w:lang w:eastAsia="en-US"/>
        </w:rPr>
        <w:t>Finally, this learning opportunity helped me to develop further in relation to professional confidence in decision-making, especially in challenging situations. This learning experience enabled me to become more assertive in discussions with other professionals. It had been identified by my supervisor that I lacked confidence in challenging discussions with other professionals, and this was something I needed to work on in practice. I believe this case enabled me to develop in this area.</w:t>
      </w: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color w:val="auto"/>
          <w:sz w:val="24"/>
          <w:szCs w:val="24"/>
          <w:lang w:eastAsia="en-US"/>
        </w:rPr>
      </w:pPr>
    </w:p>
    <w:p w:rsidR="00F2019B" w:rsidRPr="00F2019B" w:rsidRDefault="00F2019B" w:rsidP="00F2019B">
      <w:pPr>
        <w:overflowPunct/>
        <w:autoSpaceDE/>
        <w:autoSpaceDN/>
        <w:adjustRightInd/>
        <w:jc w:val="both"/>
        <w:textAlignment w:val="auto"/>
        <w:rPr>
          <w:rFonts w:eastAsiaTheme="minorHAnsi"/>
          <w:i/>
          <w:color w:val="auto"/>
          <w:sz w:val="24"/>
          <w:szCs w:val="24"/>
          <w:lang w:eastAsia="en-US"/>
        </w:rPr>
      </w:pPr>
    </w:p>
    <w:p w:rsidR="00F2019B" w:rsidRPr="00F2019B" w:rsidRDefault="00E944A3" w:rsidP="00F2019B">
      <w:pPr>
        <w:overflowPunct/>
        <w:autoSpaceDE/>
        <w:autoSpaceDN/>
        <w:adjustRightInd/>
        <w:jc w:val="both"/>
        <w:textAlignment w:val="auto"/>
        <w:rPr>
          <w:rFonts w:eastAsiaTheme="minorHAnsi"/>
          <w:i/>
          <w:color w:val="auto"/>
          <w:sz w:val="24"/>
          <w:szCs w:val="24"/>
          <w:lang w:eastAsia="en-US"/>
        </w:rPr>
      </w:pPr>
      <w:r>
        <w:rPr>
          <w:rFonts w:eastAsiaTheme="minorHAnsi"/>
          <w:i/>
          <w:color w:val="auto"/>
          <w:sz w:val="24"/>
          <w:szCs w:val="24"/>
          <w:lang w:eastAsia="en-US"/>
        </w:rPr>
        <w:t>Word count: 4027</w:t>
      </w:r>
      <w:r w:rsidR="00F2019B" w:rsidRPr="00F2019B">
        <w:rPr>
          <w:rFonts w:eastAsiaTheme="minorHAnsi"/>
          <w:i/>
          <w:color w:val="auto"/>
          <w:sz w:val="24"/>
          <w:szCs w:val="24"/>
          <w:lang w:eastAsia="en-US"/>
        </w:rPr>
        <w:t xml:space="preserve"> (min 3600; optimal 4000; max 4400)</w:t>
      </w:r>
    </w:p>
    <w:p w:rsidR="00C93F8F" w:rsidRPr="008B28E7" w:rsidRDefault="00C93F8F" w:rsidP="00FF7EBB">
      <w:pPr>
        <w:jc w:val="both"/>
        <w:rPr>
          <w:b/>
          <w:sz w:val="24"/>
          <w:szCs w:val="24"/>
        </w:rPr>
      </w:pPr>
    </w:p>
    <w:p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rsidR="00002C7A" w:rsidRDefault="00002C7A" w:rsidP="0093018C">
      <w:pPr>
        <w:jc w:val="center"/>
        <w:rPr>
          <w:b/>
          <w:sz w:val="24"/>
          <w:szCs w:val="24"/>
        </w:rPr>
      </w:pPr>
    </w:p>
    <w:p w:rsidR="00002C7A" w:rsidRPr="008B28E7" w:rsidRDefault="00002C7A" w:rsidP="00002C7A">
      <w:pPr>
        <w:rPr>
          <w:b/>
          <w:sz w:val="24"/>
          <w:szCs w:val="24"/>
        </w:rPr>
      </w:pPr>
      <w:r>
        <w:rPr>
          <w:b/>
          <w:sz w:val="24"/>
          <w:szCs w:val="24"/>
        </w:rPr>
        <w:t>Safeguarding</w:t>
      </w:r>
    </w:p>
    <w:p w:rsidR="000D0BB6" w:rsidRPr="008B28E7" w:rsidRDefault="000D0BB6" w:rsidP="00FF7EBB">
      <w:pPr>
        <w:jc w:val="both"/>
        <w:rPr>
          <w:b/>
          <w:sz w:val="24"/>
          <w:szCs w:val="24"/>
        </w:rPr>
      </w:pPr>
    </w:p>
    <w:p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188" w:type="dxa"/>
            <w:shd w:val="clear" w:color="auto" w:fill="auto"/>
          </w:tcPr>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Pr="006108C9" w:rsidRDefault="006108C9" w:rsidP="00FF7EBB">
            <w:pPr>
              <w:jc w:val="both"/>
              <w:rPr>
                <w:sz w:val="24"/>
                <w:szCs w:val="24"/>
              </w:rPr>
            </w:pPr>
          </w:p>
          <w:p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Default="00AA666E" w:rsidP="00FF7EBB">
      <w:pPr>
        <w:jc w:val="both"/>
        <w:rPr>
          <w:sz w:val="24"/>
          <w:szCs w:val="24"/>
        </w:rPr>
      </w:pPr>
    </w:p>
    <w:p w:rsidR="004C172A" w:rsidRPr="004C172A" w:rsidRDefault="004C172A" w:rsidP="004C172A">
      <w:pPr>
        <w:jc w:val="both"/>
        <w:rPr>
          <w:sz w:val="24"/>
          <w:szCs w:val="24"/>
        </w:rPr>
      </w:pPr>
      <w:r w:rsidRPr="004C172A">
        <w:rPr>
          <w:sz w:val="24"/>
          <w:szCs w:val="24"/>
        </w:rPr>
        <w:t>I am working with adults of all ages and their families. The citizens with care and support needs impossible to separate from their families (Jack and Donnellan, 2013). Often the carers have their own families with children. Since graduation throughout the supervision, self-directed study and formal training, I learned to be aware of the potential child safeguarding issues. In order to update my knowledge base in relation to child safeguarding issues and legislation, I had informative professional discussion with the team manager from the local Children SPOA (Single Point of Access) and attended Child Safeguarding training.</w:t>
      </w:r>
    </w:p>
    <w:p w:rsidR="004C172A" w:rsidRPr="004C172A" w:rsidRDefault="004C172A" w:rsidP="004C172A">
      <w:pPr>
        <w:jc w:val="both"/>
        <w:rPr>
          <w:sz w:val="24"/>
          <w:szCs w:val="24"/>
        </w:rPr>
      </w:pPr>
    </w:p>
    <w:p w:rsidR="004C172A" w:rsidRPr="004C172A" w:rsidRDefault="004C172A" w:rsidP="004C172A">
      <w:pPr>
        <w:jc w:val="both"/>
        <w:rPr>
          <w:sz w:val="24"/>
          <w:szCs w:val="24"/>
        </w:rPr>
      </w:pPr>
      <w:r w:rsidRPr="004C172A">
        <w:rPr>
          <w:sz w:val="24"/>
          <w:szCs w:val="24"/>
        </w:rPr>
        <w:t xml:space="preserve">In discussion with the team manager from the local Children SPOA, I was advised to research the current legislation relevant to the Child Safeguarding practice. During the self-directed study, I identified that the section 130 of the Social Services and Wellbeing (Wales) Act 2014 obligates the Local Authorities’ representatives and relevant partners to report child at risk. Furthermore, Children Act 1989 (amended in 2004) states that it is a duty to report the child at risk. </w:t>
      </w:r>
      <w:proofErr w:type="spellStart"/>
      <w:r w:rsidRPr="004C172A">
        <w:rPr>
          <w:sz w:val="24"/>
          <w:szCs w:val="24"/>
        </w:rPr>
        <w:t>Brammer</w:t>
      </w:r>
      <w:proofErr w:type="spellEnd"/>
      <w:r w:rsidRPr="004C172A">
        <w:rPr>
          <w:sz w:val="24"/>
          <w:szCs w:val="24"/>
        </w:rPr>
        <w:t xml:space="preserve"> (2015) highlights that the child welfare is a paramount in a context of child safeguarding practice. All Wales Child Protection Procedures 2008 provides comprehensive guidance and definitions in relation to children welfare, responsibilities and risks related to child</w:t>
      </w:r>
      <w:r w:rsidR="00665805">
        <w:rPr>
          <w:sz w:val="24"/>
          <w:szCs w:val="24"/>
        </w:rPr>
        <w:t xml:space="preserve"> safety. </w:t>
      </w:r>
      <w:proofErr w:type="spellStart"/>
      <w:r w:rsidR="00665805">
        <w:rPr>
          <w:sz w:val="24"/>
          <w:szCs w:val="24"/>
        </w:rPr>
        <w:t>Teater</w:t>
      </w:r>
      <w:proofErr w:type="spellEnd"/>
      <w:r w:rsidR="00665805">
        <w:rPr>
          <w:sz w:val="24"/>
          <w:szCs w:val="24"/>
        </w:rPr>
        <w:t xml:space="preserve"> (2012</w:t>
      </w:r>
      <w:r w:rsidRPr="004C172A">
        <w:rPr>
          <w:sz w:val="24"/>
          <w:szCs w:val="24"/>
        </w:rPr>
        <w:t>) suggesting that every adult citizen should be aware of the children wellbeing issues and act accordingly if abuse or neglect suspected. The legislation that applying in Wales and in rest of UK in relation to child safeguarding reflecting the United Nations’ Convention on the Rights of the Child 1989.</w:t>
      </w:r>
    </w:p>
    <w:p w:rsidR="004C172A" w:rsidRPr="004C172A" w:rsidRDefault="004C172A" w:rsidP="004C172A">
      <w:pPr>
        <w:jc w:val="both"/>
        <w:rPr>
          <w:sz w:val="24"/>
          <w:szCs w:val="24"/>
        </w:rPr>
      </w:pPr>
    </w:p>
    <w:p w:rsidR="004C172A" w:rsidRPr="004C172A" w:rsidRDefault="004C172A" w:rsidP="004C172A">
      <w:pPr>
        <w:jc w:val="both"/>
        <w:rPr>
          <w:sz w:val="24"/>
          <w:szCs w:val="24"/>
        </w:rPr>
      </w:pPr>
      <w:r w:rsidRPr="004C172A">
        <w:rPr>
          <w:sz w:val="24"/>
          <w:szCs w:val="24"/>
        </w:rPr>
        <w:t xml:space="preserve">In order to update my knowledge how to recognise the signs of abuse and neglect, I analysed the definitions of child abuse and neglect as stated by All Wales Child Protection Procedures 2008. The All Wales Child Protection Procedures 2008 identifies the following abuse and neglect forms: physical, sexual and emotional abuse; neglect and significant harm. Gross (2017) states that the abuse and neglect experienced in childhood could have detrimental effect on child development. </w:t>
      </w:r>
      <w:proofErr w:type="spellStart"/>
      <w:r w:rsidRPr="004C172A">
        <w:rPr>
          <w:sz w:val="24"/>
          <w:szCs w:val="24"/>
        </w:rPr>
        <w:t>McNicoll</w:t>
      </w:r>
      <w:proofErr w:type="spellEnd"/>
      <w:r w:rsidRPr="004C172A">
        <w:rPr>
          <w:sz w:val="24"/>
          <w:szCs w:val="24"/>
        </w:rPr>
        <w:t xml:space="preserve"> (2017) says that Baby P’s (the 17 months old boy who had been abused by his parents and died) story could be used as a very good example of what could happen if the child protection procedures are not applied as required.</w:t>
      </w:r>
    </w:p>
    <w:p w:rsidR="004C172A" w:rsidRPr="004C172A" w:rsidRDefault="004C172A" w:rsidP="004C172A">
      <w:pPr>
        <w:jc w:val="both"/>
        <w:rPr>
          <w:sz w:val="24"/>
          <w:szCs w:val="24"/>
        </w:rPr>
      </w:pPr>
    </w:p>
    <w:p w:rsidR="004C172A" w:rsidRPr="004C172A" w:rsidRDefault="004C172A" w:rsidP="004C172A">
      <w:pPr>
        <w:jc w:val="both"/>
        <w:rPr>
          <w:sz w:val="24"/>
          <w:szCs w:val="24"/>
        </w:rPr>
      </w:pPr>
      <w:r w:rsidRPr="004C172A">
        <w:rPr>
          <w:sz w:val="24"/>
          <w:szCs w:val="24"/>
        </w:rPr>
        <w:lastRenderedPageBreak/>
        <w:t xml:space="preserve">In accordance to All Wales Child Protection Procedures 2008, the referral received is screened by the appropriate team within 24 hours.  If the referral received out of hours, then the Emergency Duty Team is responsible for screening and </w:t>
      </w:r>
      <w:r w:rsidR="00B31202">
        <w:rPr>
          <w:sz w:val="24"/>
          <w:szCs w:val="24"/>
        </w:rPr>
        <w:t>taking appropriate actions (</w:t>
      </w:r>
      <w:proofErr w:type="spellStart"/>
      <w:r w:rsidR="00B31202">
        <w:rPr>
          <w:sz w:val="24"/>
          <w:szCs w:val="24"/>
        </w:rPr>
        <w:t>xxx</w:t>
      </w:r>
      <w:r w:rsidR="00455EE0">
        <w:rPr>
          <w:sz w:val="24"/>
          <w:szCs w:val="24"/>
        </w:rPr>
        <w:t>x</w:t>
      </w:r>
      <w:proofErr w:type="spellEnd"/>
      <w:r w:rsidR="00455EE0">
        <w:rPr>
          <w:sz w:val="24"/>
          <w:szCs w:val="24"/>
        </w:rPr>
        <w:t xml:space="preserve"> County Borough Council</w:t>
      </w:r>
      <w:r w:rsidRPr="004C172A">
        <w:rPr>
          <w:sz w:val="24"/>
          <w:szCs w:val="24"/>
        </w:rPr>
        <w:t xml:space="preserve">, 2019). </w:t>
      </w:r>
      <w:proofErr w:type="spellStart"/>
      <w:r w:rsidRPr="004C172A">
        <w:rPr>
          <w:sz w:val="24"/>
          <w:szCs w:val="24"/>
        </w:rPr>
        <w:t>Brammer</w:t>
      </w:r>
      <w:proofErr w:type="spellEnd"/>
      <w:r w:rsidRPr="004C172A">
        <w:rPr>
          <w:sz w:val="24"/>
          <w:szCs w:val="24"/>
        </w:rPr>
        <w:t xml:space="preserve"> (2017) states that if there is a reason to suspect that the child could be at risk of immediate danger, then Emergency Protection Order could be used. Section 46 of the Children Act 1989/2004 allows police to remove a child without reference to the court. Initial assessment should be completed within 7 days (</w:t>
      </w:r>
      <w:proofErr w:type="spellStart"/>
      <w:r w:rsidRPr="004C172A">
        <w:rPr>
          <w:sz w:val="24"/>
          <w:szCs w:val="24"/>
        </w:rPr>
        <w:t>Brammer</w:t>
      </w:r>
      <w:proofErr w:type="spellEnd"/>
      <w:r w:rsidRPr="004C172A">
        <w:rPr>
          <w:sz w:val="24"/>
          <w:szCs w:val="24"/>
        </w:rPr>
        <w:t>, 2017). Depending of the situation, strategy discussion and meeting could be held (Jack and Donnellan, 2013). As an outcome of the strategy discussion, section 47 enquiries may be completed depending on the seriousness of the case (</w:t>
      </w:r>
      <w:proofErr w:type="spellStart"/>
      <w:r w:rsidRPr="004C172A">
        <w:rPr>
          <w:sz w:val="24"/>
          <w:szCs w:val="24"/>
        </w:rPr>
        <w:t>Brammer</w:t>
      </w:r>
      <w:proofErr w:type="spellEnd"/>
      <w:r w:rsidRPr="004C172A">
        <w:rPr>
          <w:sz w:val="24"/>
          <w:szCs w:val="24"/>
        </w:rPr>
        <w:t>, 2017). The last stage is Child Protection Conference where the decision of the child safeguarding plan is agreed and implemented in accordance to All Wales Child Protection Procedures 2008.</w:t>
      </w:r>
    </w:p>
    <w:p w:rsidR="004C172A" w:rsidRPr="004C172A" w:rsidRDefault="004C172A" w:rsidP="004C172A">
      <w:pPr>
        <w:jc w:val="both"/>
        <w:rPr>
          <w:sz w:val="24"/>
          <w:szCs w:val="24"/>
        </w:rPr>
      </w:pPr>
    </w:p>
    <w:p w:rsidR="008B28E7" w:rsidRDefault="00F4278F" w:rsidP="004C172A">
      <w:pPr>
        <w:jc w:val="both"/>
        <w:rPr>
          <w:sz w:val="24"/>
          <w:szCs w:val="24"/>
        </w:rPr>
      </w:pPr>
      <w:r>
        <w:rPr>
          <w:sz w:val="24"/>
          <w:szCs w:val="24"/>
        </w:rPr>
        <w:t>Word count: 547</w:t>
      </w:r>
      <w:r w:rsidR="004C172A" w:rsidRPr="004C172A">
        <w:rPr>
          <w:sz w:val="24"/>
          <w:szCs w:val="24"/>
        </w:rPr>
        <w:t xml:space="preserve"> (min 450; optimal 500; max 550)</w:t>
      </w: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956AE9" w:rsidRDefault="00956AE9"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6108C9" w:rsidRDefault="006108C9"/>
    <w:p w:rsidR="00AA666E" w:rsidRPr="0002440E" w:rsidRDefault="00AA666E" w:rsidP="0002440E"/>
    <w:p w:rsidR="00AA666E" w:rsidRPr="008B28E7" w:rsidRDefault="00AA666E" w:rsidP="00FF7EBB">
      <w:pPr>
        <w:jc w:val="both"/>
        <w:rPr>
          <w:sz w:val="24"/>
          <w:szCs w:val="24"/>
        </w:rPr>
      </w:pPr>
    </w:p>
    <w:p w:rsidR="006108C9" w:rsidRDefault="006108C9" w:rsidP="00FF7EBB">
      <w:pPr>
        <w:jc w:val="both"/>
        <w:rPr>
          <w:sz w:val="24"/>
          <w:szCs w:val="24"/>
        </w:rPr>
      </w:pPr>
    </w:p>
    <w:p w:rsidR="006108C9" w:rsidRDefault="006108C9" w:rsidP="00FF7EBB">
      <w:pPr>
        <w:jc w:val="both"/>
        <w:rPr>
          <w:sz w:val="24"/>
          <w:szCs w:val="24"/>
        </w:rPr>
      </w:pPr>
    </w:p>
    <w:p w:rsidR="006108C9" w:rsidRDefault="006108C9" w:rsidP="00FF7EBB">
      <w:pPr>
        <w:jc w:val="both"/>
        <w:rPr>
          <w:sz w:val="24"/>
          <w:szCs w:val="24"/>
        </w:rPr>
      </w:pPr>
    </w:p>
    <w:p w:rsidR="0002440E" w:rsidRDefault="0002440E" w:rsidP="00FF7EBB">
      <w:pPr>
        <w:jc w:val="both"/>
        <w:rPr>
          <w:sz w:val="24"/>
          <w:szCs w:val="24"/>
        </w:rPr>
      </w:pPr>
    </w:p>
    <w:p w:rsidR="008B28E7" w:rsidRDefault="008B28E7" w:rsidP="00FF7EBB">
      <w:pPr>
        <w:jc w:val="both"/>
        <w:rPr>
          <w:sz w:val="24"/>
          <w:szCs w:val="24"/>
        </w:rPr>
      </w:pPr>
    </w:p>
    <w:p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278" w:type="dxa"/>
            <w:shd w:val="clear" w:color="auto" w:fill="auto"/>
          </w:tcPr>
          <w:p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rsidR="008C7770" w:rsidRDefault="008C7770" w:rsidP="00FF7EBB">
            <w:pPr>
              <w:jc w:val="both"/>
              <w:rPr>
                <w:sz w:val="24"/>
                <w:szCs w:val="24"/>
              </w:rPr>
            </w:pPr>
          </w:p>
          <w:p w:rsidR="008C7770" w:rsidRDefault="008C7770" w:rsidP="00FF7EBB">
            <w:pPr>
              <w:jc w:val="both"/>
              <w:rPr>
                <w:sz w:val="24"/>
                <w:szCs w:val="24"/>
              </w:rPr>
            </w:pPr>
          </w:p>
          <w:p w:rsidR="008C7770" w:rsidRPr="006108C9" w:rsidRDefault="008C7770" w:rsidP="00FF7EBB">
            <w:pPr>
              <w:jc w:val="both"/>
              <w:rPr>
                <w:sz w:val="24"/>
                <w:szCs w:val="24"/>
              </w:rPr>
            </w:pPr>
          </w:p>
          <w:p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rsidR="008C7770" w:rsidRPr="006108C9" w:rsidRDefault="008C7770" w:rsidP="00FF7EBB">
            <w:pPr>
              <w:jc w:val="both"/>
              <w:rPr>
                <w:sz w:val="24"/>
                <w:szCs w:val="24"/>
              </w:rPr>
            </w:pPr>
          </w:p>
        </w:tc>
      </w:tr>
    </w:tbl>
    <w:p w:rsidR="00AA666E" w:rsidRPr="008B28E7" w:rsidRDefault="00AA666E" w:rsidP="00FF7EBB">
      <w:pPr>
        <w:ind w:left="360" w:hanging="360"/>
        <w:jc w:val="both"/>
        <w:rPr>
          <w:b/>
          <w:sz w:val="24"/>
          <w:szCs w:val="24"/>
        </w:rPr>
      </w:pPr>
    </w:p>
    <w:p w:rsidR="00D3442D" w:rsidRPr="008B28E7" w:rsidRDefault="00D3442D" w:rsidP="00D3442D">
      <w:pPr>
        <w:jc w:val="both"/>
        <w:rPr>
          <w:sz w:val="24"/>
          <w:szCs w:val="24"/>
        </w:rPr>
      </w:pPr>
    </w:p>
    <w:p w:rsidR="00AA666E" w:rsidRPr="008B28E7" w:rsidRDefault="00AA666E" w:rsidP="00FF7EBB">
      <w:pPr>
        <w:ind w:left="360" w:hanging="360"/>
        <w:jc w:val="both"/>
        <w:rPr>
          <w:sz w:val="24"/>
          <w:szCs w:val="24"/>
        </w:rPr>
      </w:pPr>
    </w:p>
    <w:p w:rsidR="00796ADB" w:rsidRPr="00796ADB" w:rsidRDefault="00796ADB" w:rsidP="00796ADB">
      <w:pPr>
        <w:overflowPunct/>
        <w:autoSpaceDE/>
        <w:autoSpaceDN/>
        <w:adjustRightInd/>
        <w:jc w:val="both"/>
        <w:textAlignment w:val="auto"/>
        <w:rPr>
          <w:rFonts w:eastAsiaTheme="minorHAnsi"/>
          <w:color w:val="auto"/>
          <w:sz w:val="24"/>
          <w:szCs w:val="24"/>
          <w:lang w:eastAsia="en-US"/>
        </w:rPr>
      </w:pPr>
      <w:r w:rsidRPr="00796ADB">
        <w:rPr>
          <w:rFonts w:eastAsiaTheme="minorHAnsi"/>
          <w:color w:val="auto"/>
          <w:sz w:val="24"/>
          <w:szCs w:val="24"/>
          <w:lang w:eastAsia="en-US"/>
        </w:rPr>
        <w:t>In order to reflect on differences between child and adult safeguarding practices, I compared the relevant legislation, academic literature and my own professional experience.</w:t>
      </w:r>
    </w:p>
    <w:p w:rsidR="00796ADB" w:rsidRPr="00796ADB" w:rsidRDefault="00796ADB" w:rsidP="00796ADB">
      <w:pPr>
        <w:overflowPunct/>
        <w:autoSpaceDE/>
        <w:autoSpaceDN/>
        <w:adjustRightInd/>
        <w:jc w:val="both"/>
        <w:textAlignment w:val="auto"/>
        <w:rPr>
          <w:rFonts w:eastAsiaTheme="minorHAnsi"/>
          <w:color w:val="auto"/>
          <w:sz w:val="24"/>
          <w:szCs w:val="24"/>
          <w:lang w:eastAsia="en-US"/>
        </w:rPr>
      </w:pPr>
    </w:p>
    <w:p w:rsidR="00796ADB" w:rsidRPr="00796ADB" w:rsidRDefault="00796ADB" w:rsidP="00796ADB">
      <w:pPr>
        <w:overflowPunct/>
        <w:autoSpaceDE/>
        <w:autoSpaceDN/>
        <w:adjustRightInd/>
        <w:jc w:val="both"/>
        <w:textAlignment w:val="auto"/>
        <w:rPr>
          <w:rFonts w:eastAsiaTheme="minorHAnsi"/>
          <w:color w:val="auto"/>
          <w:sz w:val="24"/>
          <w:szCs w:val="24"/>
          <w:lang w:eastAsia="en-US"/>
        </w:rPr>
      </w:pPr>
      <w:r w:rsidRPr="00796ADB">
        <w:rPr>
          <w:rFonts w:eastAsiaTheme="minorHAnsi"/>
          <w:color w:val="auto"/>
          <w:sz w:val="24"/>
          <w:szCs w:val="24"/>
          <w:lang w:eastAsia="en-US"/>
        </w:rPr>
        <w:t xml:space="preserve">One of the significant differences that I identified it is the consent issue. Children Act 1989/2004, All Wales Child Protection Procedures 2008 and Social Services and Wellbeing (Wales) Act 2014 clearly indicate that if there is a risk of harm, abuse or neglect to child identified or noticed, then the intervention required. Jack and Donnellan (2013) states that children should be removed from the situation or place of abuse and neglect regardless their consent. According to the National Society for the Prevention of Cruelty to Children (2019), the professionals could use the </w:t>
      </w:r>
      <w:proofErr w:type="spellStart"/>
      <w:r w:rsidRPr="00796ADB">
        <w:rPr>
          <w:rFonts w:eastAsiaTheme="minorHAnsi"/>
          <w:color w:val="auto"/>
          <w:sz w:val="24"/>
          <w:szCs w:val="24"/>
          <w:lang w:eastAsia="en-US"/>
        </w:rPr>
        <w:t>Gillick</w:t>
      </w:r>
      <w:proofErr w:type="spellEnd"/>
      <w:r w:rsidRPr="00796ADB">
        <w:rPr>
          <w:rFonts w:eastAsiaTheme="minorHAnsi"/>
          <w:color w:val="auto"/>
          <w:sz w:val="24"/>
          <w:szCs w:val="24"/>
          <w:lang w:eastAsia="en-US"/>
        </w:rPr>
        <w:t xml:space="preserve"> competency and Fraser guidelines to balance the wishes of the child with the professionals’ responsibility to keep them safe. However, if there is a reason to believe the child could be at risk of abuse or neglect, then regardless children’ wishes, the appropriate actions will be taken to keep them safe, which could include removal from the family home (</w:t>
      </w:r>
      <w:proofErr w:type="spellStart"/>
      <w:r w:rsidRPr="00796ADB">
        <w:rPr>
          <w:rFonts w:eastAsiaTheme="minorHAnsi"/>
          <w:color w:val="auto"/>
          <w:sz w:val="24"/>
          <w:szCs w:val="24"/>
          <w:lang w:eastAsia="en-US"/>
        </w:rPr>
        <w:t>Barmmer</w:t>
      </w:r>
      <w:proofErr w:type="spellEnd"/>
      <w:r w:rsidRPr="00796ADB">
        <w:rPr>
          <w:rFonts w:eastAsiaTheme="minorHAnsi"/>
          <w:color w:val="auto"/>
          <w:sz w:val="24"/>
          <w:szCs w:val="24"/>
          <w:lang w:eastAsia="en-US"/>
        </w:rPr>
        <w:t xml:space="preserve">, 2015). In case of adult safeguarding, the element of informed consent is always considered (Adams, </w:t>
      </w:r>
      <w:proofErr w:type="spellStart"/>
      <w:r w:rsidRPr="00796ADB">
        <w:rPr>
          <w:rFonts w:eastAsiaTheme="minorHAnsi"/>
          <w:color w:val="auto"/>
          <w:sz w:val="24"/>
          <w:szCs w:val="24"/>
          <w:lang w:eastAsia="en-US"/>
        </w:rPr>
        <w:t>Dominelly</w:t>
      </w:r>
      <w:proofErr w:type="spellEnd"/>
      <w:r w:rsidRPr="00796ADB">
        <w:rPr>
          <w:rFonts w:eastAsiaTheme="minorHAnsi"/>
          <w:color w:val="auto"/>
          <w:sz w:val="24"/>
          <w:szCs w:val="24"/>
          <w:lang w:eastAsia="en-US"/>
        </w:rPr>
        <w:t xml:space="preserve"> and Payne, 2009). According to Archambeault (2009), if the adult at risk has full mental capacity to make informed decisions, then their consent to be subjected to adult safeguarding procedures should be considered. </w:t>
      </w:r>
      <w:proofErr w:type="spellStart"/>
      <w:r w:rsidRPr="00796ADB">
        <w:rPr>
          <w:rFonts w:eastAsiaTheme="minorHAnsi"/>
          <w:color w:val="auto"/>
          <w:sz w:val="24"/>
          <w:szCs w:val="24"/>
          <w:lang w:eastAsia="en-US"/>
        </w:rPr>
        <w:t>Brammer</w:t>
      </w:r>
      <w:proofErr w:type="spellEnd"/>
      <w:r w:rsidRPr="00796ADB">
        <w:rPr>
          <w:rFonts w:eastAsiaTheme="minorHAnsi"/>
          <w:color w:val="auto"/>
          <w:sz w:val="24"/>
          <w:szCs w:val="24"/>
          <w:lang w:eastAsia="en-US"/>
        </w:rPr>
        <w:t xml:space="preserve"> (2017) states that if an adult at risk will make informed decision to stay with the abuser, then Local Authority has no rights to force protection on the citizen. However, Horner (2012) advises that the practitioner should make sure that an adult at risk’s decision is not made under the influence of the coercive and controlling behaviour of their oppressors.</w:t>
      </w:r>
    </w:p>
    <w:p w:rsidR="00796ADB" w:rsidRPr="00796ADB" w:rsidRDefault="00796ADB" w:rsidP="00796ADB">
      <w:pPr>
        <w:overflowPunct/>
        <w:autoSpaceDE/>
        <w:autoSpaceDN/>
        <w:adjustRightInd/>
        <w:jc w:val="both"/>
        <w:textAlignment w:val="auto"/>
        <w:rPr>
          <w:rFonts w:eastAsiaTheme="minorHAnsi"/>
          <w:color w:val="auto"/>
          <w:sz w:val="24"/>
          <w:szCs w:val="24"/>
          <w:lang w:eastAsia="en-US"/>
        </w:rPr>
      </w:pPr>
    </w:p>
    <w:p w:rsidR="00796ADB" w:rsidRPr="00796ADB" w:rsidRDefault="00796ADB" w:rsidP="00796ADB">
      <w:pPr>
        <w:overflowPunct/>
        <w:autoSpaceDE/>
        <w:autoSpaceDN/>
        <w:adjustRightInd/>
        <w:jc w:val="both"/>
        <w:textAlignment w:val="auto"/>
        <w:rPr>
          <w:rFonts w:eastAsiaTheme="minorHAnsi"/>
          <w:color w:val="auto"/>
          <w:sz w:val="24"/>
          <w:szCs w:val="24"/>
          <w:lang w:eastAsia="en-US"/>
        </w:rPr>
      </w:pPr>
      <w:r w:rsidRPr="00796ADB">
        <w:rPr>
          <w:rFonts w:eastAsiaTheme="minorHAnsi"/>
          <w:color w:val="auto"/>
          <w:sz w:val="24"/>
          <w:szCs w:val="24"/>
          <w:lang w:eastAsia="en-US"/>
        </w:rPr>
        <w:t>Milner and O’Byrne (2009) states the children wellbeing should be considered as paramount. Gross (2017) states that abuse and neglect has detrimental influence on children’ development and wellbeing. Crawford and Walker (2011) saying than children should be protected due to their vulnerability, developing perception and inability to make informed decisions to protect themselves.</w:t>
      </w:r>
    </w:p>
    <w:p w:rsidR="00796ADB" w:rsidRPr="00796ADB" w:rsidRDefault="00796ADB" w:rsidP="00796ADB">
      <w:pPr>
        <w:overflowPunct/>
        <w:autoSpaceDE/>
        <w:autoSpaceDN/>
        <w:adjustRightInd/>
        <w:jc w:val="both"/>
        <w:textAlignment w:val="auto"/>
        <w:rPr>
          <w:rFonts w:eastAsiaTheme="minorHAnsi"/>
          <w:color w:val="auto"/>
          <w:sz w:val="24"/>
          <w:szCs w:val="24"/>
          <w:lang w:eastAsia="en-US"/>
        </w:rPr>
      </w:pPr>
    </w:p>
    <w:p w:rsidR="00796ADB" w:rsidRPr="00796ADB" w:rsidRDefault="00796ADB" w:rsidP="00796ADB">
      <w:pPr>
        <w:overflowPunct/>
        <w:autoSpaceDE/>
        <w:autoSpaceDN/>
        <w:adjustRightInd/>
        <w:jc w:val="both"/>
        <w:textAlignment w:val="auto"/>
        <w:rPr>
          <w:rFonts w:eastAsiaTheme="minorHAnsi"/>
          <w:color w:val="auto"/>
          <w:sz w:val="24"/>
          <w:szCs w:val="24"/>
          <w:lang w:eastAsia="en-US"/>
        </w:rPr>
      </w:pPr>
      <w:r w:rsidRPr="00796ADB">
        <w:rPr>
          <w:rFonts w:eastAsiaTheme="minorHAnsi"/>
          <w:color w:val="auto"/>
          <w:sz w:val="24"/>
          <w:szCs w:val="24"/>
          <w:lang w:eastAsia="en-US"/>
        </w:rPr>
        <w:t xml:space="preserve">In relation to types of abuse, </w:t>
      </w:r>
      <w:proofErr w:type="spellStart"/>
      <w:r w:rsidRPr="00796ADB">
        <w:rPr>
          <w:rFonts w:eastAsiaTheme="minorHAnsi"/>
          <w:color w:val="auto"/>
          <w:sz w:val="24"/>
          <w:szCs w:val="24"/>
          <w:lang w:eastAsia="en-US"/>
        </w:rPr>
        <w:t>Brammer</w:t>
      </w:r>
      <w:proofErr w:type="spellEnd"/>
      <w:r w:rsidRPr="00796ADB">
        <w:rPr>
          <w:rFonts w:eastAsiaTheme="minorHAnsi"/>
          <w:color w:val="auto"/>
          <w:sz w:val="24"/>
          <w:szCs w:val="24"/>
          <w:lang w:eastAsia="en-US"/>
        </w:rPr>
        <w:t xml:space="preserve"> (2017) recognises the financial abuse as additional to categories of adult abuse. Moreover, </w:t>
      </w:r>
      <w:proofErr w:type="spellStart"/>
      <w:r w:rsidRPr="00796ADB">
        <w:rPr>
          <w:rFonts w:eastAsiaTheme="minorHAnsi"/>
          <w:color w:val="auto"/>
          <w:sz w:val="24"/>
          <w:szCs w:val="24"/>
          <w:lang w:eastAsia="en-US"/>
        </w:rPr>
        <w:t>Turbett</w:t>
      </w:r>
      <w:proofErr w:type="spellEnd"/>
      <w:r w:rsidRPr="00796ADB">
        <w:rPr>
          <w:rFonts w:eastAsiaTheme="minorHAnsi"/>
          <w:color w:val="auto"/>
          <w:sz w:val="24"/>
          <w:szCs w:val="24"/>
          <w:lang w:eastAsia="en-US"/>
        </w:rPr>
        <w:t xml:space="preserve"> (2014) suggesting that the adults are more at risk to be abused by their assistants in care home and supported living settings. Jack and Donnellan (2013) saying that the children are more at risk of abuse from their parents/caregivers side.</w:t>
      </w:r>
    </w:p>
    <w:p w:rsidR="00796ADB" w:rsidRPr="00796ADB" w:rsidRDefault="00796ADB" w:rsidP="00796ADB">
      <w:pPr>
        <w:overflowPunct/>
        <w:autoSpaceDE/>
        <w:autoSpaceDN/>
        <w:adjustRightInd/>
        <w:jc w:val="both"/>
        <w:textAlignment w:val="auto"/>
        <w:rPr>
          <w:rFonts w:eastAsiaTheme="minorHAnsi"/>
          <w:color w:val="auto"/>
          <w:sz w:val="24"/>
          <w:szCs w:val="24"/>
          <w:lang w:eastAsia="en-US"/>
        </w:rPr>
      </w:pPr>
    </w:p>
    <w:p w:rsidR="00796ADB" w:rsidRPr="00796ADB" w:rsidRDefault="00796ADB" w:rsidP="00796ADB">
      <w:pPr>
        <w:overflowPunct/>
        <w:autoSpaceDE/>
        <w:autoSpaceDN/>
        <w:adjustRightInd/>
        <w:jc w:val="both"/>
        <w:textAlignment w:val="auto"/>
        <w:rPr>
          <w:rFonts w:eastAsiaTheme="minorHAnsi"/>
          <w:color w:val="auto"/>
          <w:sz w:val="24"/>
          <w:szCs w:val="24"/>
          <w:lang w:eastAsia="en-US"/>
        </w:rPr>
      </w:pPr>
      <w:r w:rsidRPr="00796ADB">
        <w:rPr>
          <w:rFonts w:eastAsiaTheme="minorHAnsi"/>
          <w:color w:val="auto"/>
          <w:sz w:val="24"/>
          <w:szCs w:val="24"/>
          <w:lang w:eastAsia="en-US"/>
        </w:rPr>
        <w:t>Fr</w:t>
      </w:r>
      <w:r w:rsidR="00091C2C">
        <w:rPr>
          <w:rFonts w:eastAsiaTheme="minorHAnsi"/>
          <w:color w:val="auto"/>
          <w:sz w:val="24"/>
          <w:szCs w:val="24"/>
          <w:lang w:eastAsia="en-US"/>
        </w:rPr>
        <w:t>om my work experience with C</w:t>
      </w:r>
      <w:r w:rsidRPr="00796ADB">
        <w:rPr>
          <w:rFonts w:eastAsiaTheme="minorHAnsi"/>
          <w:color w:val="auto"/>
          <w:sz w:val="24"/>
          <w:szCs w:val="24"/>
          <w:lang w:eastAsia="en-US"/>
        </w:rPr>
        <w:t>itizen 2, I noticed that the adult safeguarding practice requires from the social worker to use motivational interviewing methods in order to enable an adult at risk to recognise the risks around them.</w:t>
      </w:r>
    </w:p>
    <w:p w:rsidR="00796ADB" w:rsidRPr="00796ADB" w:rsidRDefault="00796ADB" w:rsidP="00796ADB">
      <w:pPr>
        <w:overflowPunct/>
        <w:autoSpaceDE/>
        <w:autoSpaceDN/>
        <w:adjustRightInd/>
        <w:jc w:val="both"/>
        <w:textAlignment w:val="auto"/>
        <w:rPr>
          <w:rFonts w:eastAsiaTheme="minorHAnsi"/>
          <w:color w:val="auto"/>
          <w:sz w:val="24"/>
          <w:szCs w:val="24"/>
          <w:lang w:eastAsia="en-US"/>
        </w:rPr>
      </w:pPr>
    </w:p>
    <w:p w:rsidR="00796ADB" w:rsidRPr="00796ADB" w:rsidRDefault="00796ADB" w:rsidP="00796ADB">
      <w:pPr>
        <w:overflowPunct/>
        <w:autoSpaceDE/>
        <w:autoSpaceDN/>
        <w:adjustRightInd/>
        <w:jc w:val="both"/>
        <w:textAlignment w:val="auto"/>
        <w:rPr>
          <w:rFonts w:eastAsiaTheme="minorHAnsi"/>
          <w:color w:val="auto"/>
          <w:sz w:val="24"/>
          <w:szCs w:val="24"/>
          <w:lang w:eastAsia="en-US"/>
        </w:rPr>
      </w:pPr>
      <w:r w:rsidRPr="00796ADB">
        <w:rPr>
          <w:rFonts w:eastAsiaTheme="minorHAnsi"/>
          <w:color w:val="auto"/>
          <w:sz w:val="24"/>
          <w:szCs w:val="24"/>
          <w:lang w:eastAsia="en-US"/>
        </w:rPr>
        <w:t>Word count: 440 (min 360; optimal 400; max 440)</w:t>
      </w:r>
    </w:p>
    <w:p w:rsidR="00AA666E" w:rsidRPr="008B28E7" w:rsidRDefault="00AA666E" w:rsidP="00FF7EBB">
      <w:pPr>
        <w:ind w:left="360" w:hanging="360"/>
        <w:jc w:val="both"/>
        <w:rPr>
          <w:sz w:val="24"/>
          <w:szCs w:val="24"/>
        </w:rPr>
      </w:pPr>
    </w:p>
    <w:p w:rsidR="00AA666E" w:rsidRPr="008B28E7" w:rsidRDefault="00AA666E" w:rsidP="00FF7EBB">
      <w:pPr>
        <w:ind w:left="360" w:hanging="360"/>
        <w:jc w:val="both"/>
        <w:rPr>
          <w:b/>
          <w:sz w:val="24"/>
          <w:szCs w:val="24"/>
        </w:rPr>
      </w:pPr>
    </w:p>
    <w:p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rsidR="00B17FA0" w:rsidRPr="008B28E7" w:rsidRDefault="00B17FA0" w:rsidP="00FF7EBB">
      <w:pPr>
        <w:jc w:val="both"/>
        <w:rPr>
          <w:b/>
          <w:sz w:val="24"/>
          <w:szCs w:val="24"/>
        </w:rPr>
      </w:pPr>
    </w:p>
    <w:p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rsidTr="00B17FA0">
        <w:tc>
          <w:tcPr>
            <w:tcW w:w="10188" w:type="dxa"/>
            <w:shd w:val="clear" w:color="auto" w:fill="auto"/>
          </w:tcPr>
          <w:p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rsidR="00B17FA0" w:rsidRPr="008B28E7" w:rsidRDefault="00B17FA0" w:rsidP="00FF7EBB">
            <w:pPr>
              <w:jc w:val="both"/>
              <w:rPr>
                <w:sz w:val="24"/>
                <w:szCs w:val="24"/>
              </w:rPr>
            </w:pPr>
          </w:p>
          <w:p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3D46E0" w:rsidRPr="003D46E0" w:rsidRDefault="003D46E0" w:rsidP="003D46E0">
      <w:pPr>
        <w:overflowPunct/>
        <w:autoSpaceDE/>
        <w:autoSpaceDN/>
        <w:adjustRightInd/>
        <w:jc w:val="both"/>
        <w:textAlignment w:val="auto"/>
        <w:rPr>
          <w:rFonts w:eastAsiaTheme="minorHAnsi"/>
          <w:color w:val="auto"/>
          <w:sz w:val="24"/>
          <w:szCs w:val="24"/>
          <w:lang w:eastAsia="en-US"/>
        </w:rPr>
      </w:pPr>
      <w:r w:rsidRPr="003D46E0">
        <w:rPr>
          <w:rFonts w:eastAsiaTheme="minorHAnsi"/>
          <w:color w:val="auto"/>
          <w:sz w:val="24"/>
          <w:szCs w:val="24"/>
          <w:lang w:eastAsia="en-US"/>
        </w:rPr>
        <w:t>Working collaboratively with citizens aided my development since qualification. I am now more confident in applying analysis of the presenting information to aid decisions and by allocating the resources required for the citizens to meet their needs. This has been further achieved by working collaboratively with other professionals and learning organisational boundaries. Development includes drawing on expertise from other agencies and recognising/valuing collaborative working provides strength and greater outcomes for the citizens.</w:t>
      </w:r>
    </w:p>
    <w:p w:rsidR="003D46E0" w:rsidRPr="003D46E0" w:rsidRDefault="003D46E0" w:rsidP="003D46E0">
      <w:pPr>
        <w:overflowPunct/>
        <w:autoSpaceDE/>
        <w:autoSpaceDN/>
        <w:adjustRightInd/>
        <w:jc w:val="both"/>
        <w:textAlignment w:val="auto"/>
        <w:rPr>
          <w:rFonts w:eastAsiaTheme="minorHAnsi"/>
          <w:color w:val="auto"/>
          <w:sz w:val="24"/>
          <w:szCs w:val="24"/>
          <w:lang w:eastAsia="en-US"/>
        </w:rPr>
      </w:pPr>
    </w:p>
    <w:p w:rsidR="003D46E0" w:rsidRPr="003D46E0" w:rsidRDefault="00C614C8" w:rsidP="003D46E0">
      <w:pPr>
        <w:overflowPunct/>
        <w:autoSpaceDE/>
        <w:autoSpaceDN/>
        <w:adjustRightInd/>
        <w:jc w:val="both"/>
        <w:textAlignment w:val="auto"/>
        <w:rPr>
          <w:rFonts w:eastAsiaTheme="minorHAnsi"/>
          <w:color w:val="auto"/>
          <w:sz w:val="24"/>
          <w:szCs w:val="24"/>
          <w:lang w:eastAsia="en-US"/>
        </w:rPr>
      </w:pPr>
      <w:r>
        <w:rPr>
          <w:rFonts w:eastAsiaTheme="minorHAnsi"/>
          <w:color w:val="auto"/>
          <w:sz w:val="24"/>
          <w:szCs w:val="24"/>
          <w:lang w:eastAsia="en-US"/>
        </w:rPr>
        <w:t>Through the work with C</w:t>
      </w:r>
      <w:r w:rsidR="003D46E0" w:rsidRPr="003D46E0">
        <w:rPr>
          <w:rFonts w:eastAsiaTheme="minorHAnsi"/>
          <w:color w:val="auto"/>
          <w:sz w:val="24"/>
          <w:szCs w:val="24"/>
          <w:lang w:eastAsia="en-US"/>
        </w:rPr>
        <w:t xml:space="preserve">itizen 2, I updated my knowledge in relation to safeguarding issues and developed further my professional decision making skills. The challenges I dealt with required from me confidence and evidence-based approach. Collaborative working with the practitioners from other agencies, who attempted emotionally influence me to make decisions that would undermine my professionalism, helped me to understand the significance of assertiveness and resilience. As it was outlined in my learning plan, I developed further my critical thinking and analysis skills. Fine and </w:t>
      </w:r>
      <w:proofErr w:type="spellStart"/>
      <w:r w:rsidR="003D46E0" w:rsidRPr="003D46E0">
        <w:rPr>
          <w:rFonts w:eastAsiaTheme="minorHAnsi"/>
          <w:color w:val="auto"/>
          <w:sz w:val="24"/>
          <w:szCs w:val="24"/>
          <w:lang w:eastAsia="en-US"/>
        </w:rPr>
        <w:t>Teram</w:t>
      </w:r>
      <w:proofErr w:type="spellEnd"/>
      <w:r w:rsidR="003D46E0" w:rsidRPr="003D46E0">
        <w:rPr>
          <w:rFonts w:eastAsiaTheme="minorHAnsi"/>
          <w:color w:val="auto"/>
          <w:sz w:val="24"/>
          <w:szCs w:val="24"/>
          <w:lang w:eastAsia="en-US"/>
        </w:rPr>
        <w:t xml:space="preserve"> (2013) suggesting that social workers should demonstrate creativity and courage in responding on moral injustice. The similar concepts were proposed by Banks (2006) and </w:t>
      </w:r>
      <w:proofErr w:type="spellStart"/>
      <w:r w:rsidR="003D46E0" w:rsidRPr="003D46E0">
        <w:rPr>
          <w:rFonts w:eastAsiaTheme="minorHAnsi"/>
          <w:color w:val="auto"/>
          <w:sz w:val="24"/>
          <w:szCs w:val="24"/>
          <w:lang w:eastAsia="en-US"/>
        </w:rPr>
        <w:t>Turbett</w:t>
      </w:r>
      <w:proofErr w:type="spellEnd"/>
      <w:r w:rsidR="003D46E0" w:rsidRPr="003D46E0">
        <w:rPr>
          <w:rFonts w:eastAsiaTheme="minorHAnsi"/>
          <w:color w:val="auto"/>
          <w:sz w:val="24"/>
          <w:szCs w:val="24"/>
          <w:lang w:eastAsia="en-US"/>
        </w:rPr>
        <w:t xml:space="preserve"> (2014) stating that the core value of social work profession is a human being’s dignity. Fa</w:t>
      </w:r>
      <w:r>
        <w:rPr>
          <w:rFonts w:eastAsiaTheme="minorHAnsi"/>
          <w:color w:val="auto"/>
          <w:sz w:val="24"/>
          <w:szCs w:val="24"/>
          <w:lang w:eastAsia="en-US"/>
        </w:rPr>
        <w:t>cing obstacles in my work with C</w:t>
      </w:r>
      <w:r w:rsidR="003D46E0" w:rsidRPr="003D46E0">
        <w:rPr>
          <w:rFonts w:eastAsiaTheme="minorHAnsi"/>
          <w:color w:val="auto"/>
          <w:sz w:val="24"/>
          <w:szCs w:val="24"/>
          <w:lang w:eastAsia="en-US"/>
        </w:rPr>
        <w:t>itizen 2, I learned how to conduct the challenging conversations. Furthermore, I developed my advocacy skills. The development of my confidence in decision making, advocacy and assertiveness is evidenced via my supervisor feedback</w:t>
      </w:r>
      <w:r>
        <w:rPr>
          <w:rFonts w:eastAsiaTheme="minorHAnsi"/>
          <w:color w:val="auto"/>
          <w:sz w:val="24"/>
          <w:szCs w:val="24"/>
          <w:lang w:eastAsia="en-US"/>
        </w:rPr>
        <w:t xml:space="preserve"> and positive outcomes for C</w:t>
      </w:r>
      <w:r w:rsidR="003D46E0" w:rsidRPr="003D46E0">
        <w:rPr>
          <w:rFonts w:eastAsiaTheme="minorHAnsi"/>
          <w:color w:val="auto"/>
          <w:sz w:val="24"/>
          <w:szCs w:val="24"/>
          <w:lang w:eastAsia="en-US"/>
        </w:rPr>
        <w:t xml:space="preserve">itizen 2. I managed to place </w:t>
      </w:r>
      <w:r w:rsidR="001F3246">
        <w:rPr>
          <w:rFonts w:eastAsiaTheme="minorHAnsi"/>
          <w:color w:val="auto"/>
          <w:sz w:val="24"/>
          <w:szCs w:val="24"/>
          <w:lang w:eastAsia="en-US"/>
        </w:rPr>
        <w:t>C</w:t>
      </w:r>
      <w:r w:rsidR="003D46E0" w:rsidRPr="003D46E0">
        <w:rPr>
          <w:rFonts w:eastAsiaTheme="minorHAnsi"/>
          <w:color w:val="auto"/>
          <w:sz w:val="24"/>
          <w:szCs w:val="24"/>
          <w:lang w:eastAsia="en-US"/>
        </w:rPr>
        <w:t>itizen 2’s needs in the cent</w:t>
      </w:r>
      <w:r w:rsidR="00870AE9">
        <w:rPr>
          <w:rFonts w:eastAsiaTheme="minorHAnsi"/>
          <w:color w:val="auto"/>
          <w:sz w:val="24"/>
          <w:szCs w:val="24"/>
          <w:lang w:eastAsia="en-US"/>
        </w:rPr>
        <w:t>re of this case. Moreover, C</w:t>
      </w:r>
      <w:r w:rsidR="003D46E0" w:rsidRPr="003D46E0">
        <w:rPr>
          <w:rFonts w:eastAsiaTheme="minorHAnsi"/>
          <w:color w:val="auto"/>
          <w:sz w:val="24"/>
          <w:szCs w:val="24"/>
          <w:lang w:eastAsia="en-US"/>
        </w:rPr>
        <w:t>itizen 2’s case helped me understand the need of further practice and development in handling challenging conversations and behaviour.</w:t>
      </w:r>
    </w:p>
    <w:p w:rsidR="003D46E0" w:rsidRPr="003D46E0" w:rsidRDefault="003D46E0" w:rsidP="003D46E0">
      <w:pPr>
        <w:overflowPunct/>
        <w:autoSpaceDE/>
        <w:autoSpaceDN/>
        <w:adjustRightInd/>
        <w:jc w:val="both"/>
        <w:textAlignment w:val="auto"/>
        <w:rPr>
          <w:rFonts w:eastAsiaTheme="minorHAnsi"/>
          <w:color w:val="auto"/>
          <w:sz w:val="24"/>
          <w:szCs w:val="24"/>
          <w:lang w:eastAsia="en-US"/>
        </w:rPr>
      </w:pPr>
    </w:p>
    <w:p w:rsidR="003D46E0" w:rsidRPr="003D46E0" w:rsidRDefault="00DD3214" w:rsidP="003D46E0">
      <w:pPr>
        <w:overflowPunct/>
        <w:autoSpaceDE/>
        <w:autoSpaceDN/>
        <w:adjustRightInd/>
        <w:jc w:val="both"/>
        <w:textAlignment w:val="auto"/>
        <w:rPr>
          <w:rFonts w:eastAsiaTheme="minorHAnsi"/>
          <w:color w:val="auto"/>
          <w:sz w:val="24"/>
          <w:szCs w:val="24"/>
          <w:lang w:eastAsia="en-US"/>
        </w:rPr>
      </w:pPr>
      <w:r>
        <w:rPr>
          <w:rFonts w:eastAsiaTheme="minorHAnsi"/>
          <w:color w:val="auto"/>
          <w:sz w:val="24"/>
          <w:szCs w:val="24"/>
          <w:lang w:eastAsia="en-US"/>
        </w:rPr>
        <w:t>Through the work with C</w:t>
      </w:r>
      <w:r w:rsidR="003D46E0" w:rsidRPr="003D46E0">
        <w:rPr>
          <w:rFonts w:eastAsiaTheme="minorHAnsi"/>
          <w:color w:val="auto"/>
          <w:sz w:val="24"/>
          <w:szCs w:val="24"/>
          <w:lang w:eastAsia="en-US"/>
        </w:rPr>
        <w:t>itizen 1, I developed further my communication and priority management skills. I developed further in my understanding of importance of reflective observation and abstract conceptualization. In order to understand citizen 1’s situation and chose the appropriate communication methods, I used Kolb’s (1984) reflective learning cycle. Reflective</w:t>
      </w:r>
      <w:r>
        <w:rPr>
          <w:rFonts w:eastAsiaTheme="minorHAnsi"/>
          <w:color w:val="auto"/>
          <w:sz w:val="24"/>
          <w:szCs w:val="24"/>
          <w:lang w:eastAsia="en-US"/>
        </w:rPr>
        <w:t xml:space="preserve"> learning helped me to extract C</w:t>
      </w:r>
      <w:r w:rsidR="003D46E0" w:rsidRPr="003D46E0">
        <w:rPr>
          <w:rFonts w:eastAsiaTheme="minorHAnsi"/>
          <w:color w:val="auto"/>
          <w:sz w:val="24"/>
          <w:szCs w:val="24"/>
          <w:lang w:eastAsia="en-US"/>
        </w:rPr>
        <w:t>itizen 1’s needs and identify the s</w:t>
      </w:r>
      <w:r>
        <w:rPr>
          <w:rFonts w:eastAsiaTheme="minorHAnsi"/>
          <w:color w:val="auto"/>
          <w:sz w:val="24"/>
          <w:szCs w:val="24"/>
          <w:lang w:eastAsia="en-US"/>
        </w:rPr>
        <w:t>olution options available. C</w:t>
      </w:r>
      <w:r w:rsidR="003D46E0" w:rsidRPr="003D46E0">
        <w:rPr>
          <w:rFonts w:eastAsiaTheme="minorHAnsi"/>
          <w:color w:val="auto"/>
          <w:sz w:val="24"/>
          <w:szCs w:val="24"/>
          <w:lang w:eastAsia="en-US"/>
        </w:rPr>
        <w:t xml:space="preserve">itizen 1’s feedback evidencing that the methods I chose were effective. Citizen 1 in his feedback states that I explained things clearly making sure that the individual is following the conversation (see </w:t>
      </w:r>
      <w:r w:rsidR="003D46E0" w:rsidRPr="003D46E0">
        <w:rPr>
          <w:rFonts w:eastAsiaTheme="minorHAnsi"/>
          <w:color w:val="auto"/>
          <w:sz w:val="24"/>
          <w:szCs w:val="24"/>
          <w:lang w:eastAsia="en-US"/>
        </w:rPr>
        <w:lastRenderedPageBreak/>
        <w:t xml:space="preserve">citizen’s feedback section). As advised by Trevithick (2012), in my future practice I will continue to use active engagement approach that </w:t>
      </w:r>
      <w:r w:rsidR="003A23F2">
        <w:rPr>
          <w:rFonts w:eastAsiaTheme="minorHAnsi"/>
          <w:color w:val="auto"/>
          <w:sz w:val="24"/>
          <w:szCs w:val="24"/>
          <w:lang w:eastAsia="en-US"/>
        </w:rPr>
        <w:t>I used in my work with C</w:t>
      </w:r>
      <w:r w:rsidR="003D46E0" w:rsidRPr="003D46E0">
        <w:rPr>
          <w:rFonts w:eastAsiaTheme="minorHAnsi"/>
          <w:color w:val="auto"/>
          <w:sz w:val="24"/>
          <w:szCs w:val="24"/>
          <w:lang w:eastAsia="en-US"/>
        </w:rPr>
        <w:t>itizen 1. In relation to priority management, I learned how to make decisions basing on critical analysis of the evidence. Beckett (2007) advises that the experienced practitioner should be able to make decisions basing on factual knowledge and professional use of self. Trevithick (2012) describes ‘the professional use of self’ as activation of inner resources, such knowledge, intuition, personal experience and</w:t>
      </w:r>
      <w:r w:rsidR="003A23F2">
        <w:rPr>
          <w:rFonts w:eastAsiaTheme="minorHAnsi"/>
          <w:color w:val="auto"/>
          <w:sz w:val="24"/>
          <w:szCs w:val="24"/>
          <w:lang w:eastAsia="en-US"/>
        </w:rPr>
        <w:t xml:space="preserve"> values. Through the work with C</w:t>
      </w:r>
      <w:r w:rsidR="003D46E0" w:rsidRPr="003D46E0">
        <w:rPr>
          <w:rFonts w:eastAsiaTheme="minorHAnsi"/>
          <w:color w:val="auto"/>
          <w:sz w:val="24"/>
          <w:szCs w:val="24"/>
          <w:lang w:eastAsia="en-US"/>
        </w:rPr>
        <w:t>itizen 1, I learned to be more aware of my personal values and how this might affect others.</w:t>
      </w:r>
    </w:p>
    <w:p w:rsidR="003D46E0" w:rsidRPr="003D46E0" w:rsidRDefault="003D46E0" w:rsidP="003D46E0">
      <w:pPr>
        <w:overflowPunct/>
        <w:autoSpaceDE/>
        <w:autoSpaceDN/>
        <w:adjustRightInd/>
        <w:jc w:val="both"/>
        <w:textAlignment w:val="auto"/>
        <w:rPr>
          <w:rFonts w:eastAsiaTheme="minorHAnsi"/>
          <w:color w:val="auto"/>
          <w:sz w:val="24"/>
          <w:szCs w:val="24"/>
          <w:lang w:eastAsia="en-US"/>
        </w:rPr>
      </w:pPr>
    </w:p>
    <w:p w:rsidR="003D46E0" w:rsidRPr="003D46E0" w:rsidRDefault="003D46E0" w:rsidP="003D46E0">
      <w:pPr>
        <w:overflowPunct/>
        <w:autoSpaceDE/>
        <w:autoSpaceDN/>
        <w:adjustRightInd/>
        <w:jc w:val="both"/>
        <w:textAlignment w:val="auto"/>
        <w:rPr>
          <w:rFonts w:eastAsiaTheme="minorHAnsi"/>
          <w:color w:val="auto"/>
          <w:sz w:val="24"/>
          <w:szCs w:val="24"/>
          <w:lang w:eastAsia="en-US"/>
        </w:rPr>
      </w:pPr>
      <w:r w:rsidRPr="003D46E0">
        <w:rPr>
          <w:rFonts w:eastAsiaTheme="minorHAnsi"/>
          <w:color w:val="auto"/>
          <w:sz w:val="24"/>
          <w:szCs w:val="24"/>
          <w:lang w:eastAsia="en-US"/>
        </w:rPr>
        <w:t>While researching the legislation relevant to Child Safeguarding practice, I reflected that I should have regular training and self-directed study about the social work with groups of individuals I am not directly involved with. In relation to Child Safeguarding, I updated my knowledge in relation to abuse and neglect signs recognition and safeguarding pathways. In order to inform my future practice, I will attend all child safeguarding related trainings available and will continue to update my knowledge via accessing academic research materials.</w:t>
      </w:r>
    </w:p>
    <w:p w:rsidR="003D46E0" w:rsidRPr="003D46E0" w:rsidRDefault="003D46E0" w:rsidP="003D46E0">
      <w:pPr>
        <w:overflowPunct/>
        <w:autoSpaceDE/>
        <w:autoSpaceDN/>
        <w:adjustRightInd/>
        <w:jc w:val="both"/>
        <w:textAlignment w:val="auto"/>
        <w:rPr>
          <w:rFonts w:eastAsiaTheme="minorHAnsi"/>
          <w:color w:val="auto"/>
          <w:sz w:val="24"/>
          <w:szCs w:val="24"/>
          <w:lang w:eastAsia="en-US"/>
        </w:rPr>
      </w:pPr>
    </w:p>
    <w:p w:rsidR="003D46E0" w:rsidRPr="003D46E0" w:rsidRDefault="003D46E0" w:rsidP="003D46E0">
      <w:pPr>
        <w:overflowPunct/>
        <w:autoSpaceDE/>
        <w:autoSpaceDN/>
        <w:adjustRightInd/>
        <w:jc w:val="both"/>
        <w:textAlignment w:val="auto"/>
        <w:rPr>
          <w:rFonts w:eastAsiaTheme="minorHAnsi"/>
          <w:color w:val="auto"/>
          <w:sz w:val="24"/>
          <w:szCs w:val="24"/>
          <w:lang w:eastAsia="en-US"/>
        </w:rPr>
      </w:pPr>
      <w:r w:rsidRPr="003D46E0">
        <w:rPr>
          <w:rFonts w:eastAsiaTheme="minorHAnsi"/>
          <w:color w:val="auto"/>
          <w:sz w:val="24"/>
          <w:szCs w:val="24"/>
          <w:lang w:eastAsia="en-US"/>
        </w:rPr>
        <w:t>The completion of this ‘Consolidation Programme</w:t>
      </w:r>
      <w:r w:rsidR="00351785">
        <w:rPr>
          <w:rFonts w:eastAsiaTheme="minorHAnsi"/>
          <w:color w:val="auto"/>
          <w:sz w:val="24"/>
          <w:szCs w:val="24"/>
          <w:lang w:eastAsia="en-US"/>
        </w:rPr>
        <w:t xml:space="preserve"> for Newly Qualified Social Workers</w:t>
      </w:r>
      <w:r w:rsidRPr="003D46E0">
        <w:rPr>
          <w:rFonts w:eastAsiaTheme="minorHAnsi"/>
          <w:color w:val="auto"/>
          <w:sz w:val="24"/>
          <w:szCs w:val="24"/>
          <w:lang w:eastAsia="en-US"/>
        </w:rPr>
        <w:t>’ enabled me to recognise the developmental needs I shall achieve in my future practice. Moreover, this learning opportunity encouraged me to outline the future developmental goals. Reflecting on the progress made so far, and analysing potential developmental needs, in discussion with my supervisor it was agreed for me to seek further learning opportunity to develop my confidence in professional decision-making. Citizen 2’s situation demonstrated that I should maintain and develop further assertiveness skills. It was identified that I do not feel comfortable to conduct the challenging conversation with other professionals. In discussion with my supervisor, it was agreed for me to increase the expose to challenging situations via being assigned to the relevant cases. The desired professional development outcomes could also be achieved via attending relevant trainings and self-directed study. Archambeault (2009) states that the continuing learning is an essential requirement for safe practice and successful career.</w:t>
      </w:r>
    </w:p>
    <w:p w:rsidR="003D46E0" w:rsidRPr="003D46E0" w:rsidRDefault="003D46E0" w:rsidP="003D46E0">
      <w:pPr>
        <w:overflowPunct/>
        <w:autoSpaceDE/>
        <w:autoSpaceDN/>
        <w:adjustRightInd/>
        <w:jc w:val="both"/>
        <w:textAlignment w:val="auto"/>
        <w:rPr>
          <w:rFonts w:eastAsiaTheme="minorHAnsi"/>
          <w:color w:val="auto"/>
          <w:sz w:val="24"/>
          <w:szCs w:val="24"/>
          <w:lang w:eastAsia="en-US"/>
        </w:rPr>
      </w:pPr>
    </w:p>
    <w:p w:rsidR="003D46E0" w:rsidRPr="003D46E0" w:rsidRDefault="001F620F" w:rsidP="003D46E0">
      <w:pPr>
        <w:overflowPunct/>
        <w:autoSpaceDE/>
        <w:autoSpaceDN/>
        <w:adjustRightInd/>
        <w:jc w:val="both"/>
        <w:textAlignment w:val="auto"/>
        <w:rPr>
          <w:rFonts w:eastAsiaTheme="minorHAnsi"/>
          <w:color w:val="auto"/>
          <w:sz w:val="24"/>
          <w:szCs w:val="24"/>
          <w:lang w:eastAsia="en-US"/>
        </w:rPr>
      </w:pPr>
      <w:r>
        <w:rPr>
          <w:rFonts w:eastAsiaTheme="minorHAnsi"/>
          <w:color w:val="auto"/>
          <w:sz w:val="24"/>
          <w:szCs w:val="24"/>
          <w:lang w:eastAsia="en-US"/>
        </w:rPr>
        <w:t>Word count: 723</w:t>
      </w:r>
      <w:r w:rsidR="003D46E0" w:rsidRPr="003D46E0">
        <w:rPr>
          <w:rFonts w:eastAsiaTheme="minorHAnsi"/>
          <w:color w:val="auto"/>
          <w:sz w:val="24"/>
          <w:szCs w:val="24"/>
          <w:lang w:eastAsia="en-US"/>
        </w:rPr>
        <w:t xml:space="preserve"> (min 720; optimal 800; max 880)</w:t>
      </w: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DF0A69" w:rsidP="00B94443">
            <w:pPr>
              <w:jc w:val="both"/>
              <w:rPr>
                <w:sz w:val="24"/>
                <w:szCs w:val="24"/>
              </w:rPr>
            </w:pPr>
            <w:r>
              <w:rPr>
                <w:sz w:val="24"/>
                <w:szCs w:val="24"/>
              </w:rPr>
              <w:t>12/11/2018</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DF0A69" w:rsidP="00B94443">
            <w:pPr>
              <w:jc w:val="both"/>
              <w:rPr>
                <w:sz w:val="24"/>
                <w:szCs w:val="24"/>
              </w:rPr>
            </w:pPr>
            <w:r>
              <w:rPr>
                <w:sz w:val="24"/>
                <w:szCs w:val="24"/>
              </w:rPr>
              <w:t>23/01/2019</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DF0A69" w:rsidP="00B94443">
            <w:pPr>
              <w:jc w:val="both"/>
              <w:rPr>
                <w:sz w:val="24"/>
                <w:szCs w:val="24"/>
              </w:rPr>
            </w:pPr>
            <w:r>
              <w:rPr>
                <w:sz w:val="24"/>
                <w:szCs w:val="24"/>
              </w:rPr>
              <w:t>06/03/2019</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DF0A69" w:rsidP="00B94443">
            <w:pPr>
              <w:jc w:val="both"/>
              <w:rPr>
                <w:sz w:val="24"/>
                <w:szCs w:val="24"/>
              </w:rPr>
            </w:pPr>
            <w:r>
              <w:rPr>
                <w:sz w:val="24"/>
                <w:szCs w:val="24"/>
              </w:rPr>
              <w:t>22/05/2019</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000E38C3" w:rsidRDefault="008D3FB2" w:rsidP="00E559CE">
      <w:pPr>
        <w:jc w:val="both"/>
        <w:rPr>
          <w:sz w:val="24"/>
          <w:szCs w:val="24"/>
        </w:rPr>
      </w:pPr>
      <w:r>
        <w:rPr>
          <w:sz w:val="24"/>
          <w:szCs w:val="24"/>
        </w:rPr>
        <w:t>09/10/2018 - Induction</w:t>
      </w:r>
    </w:p>
    <w:p w:rsidR="000E38C3" w:rsidRDefault="000E38C3" w:rsidP="00E559CE">
      <w:pPr>
        <w:jc w:val="both"/>
        <w:rPr>
          <w:sz w:val="24"/>
          <w:szCs w:val="24"/>
        </w:rPr>
      </w:pPr>
    </w:p>
    <w:p w:rsidR="008C7770" w:rsidRDefault="008C7770" w:rsidP="00E559CE">
      <w:pPr>
        <w:jc w:val="both"/>
        <w:rPr>
          <w:sz w:val="24"/>
          <w:szCs w:val="24"/>
        </w:rPr>
      </w:pPr>
    </w:p>
    <w:p w:rsidR="008C7770" w:rsidRDefault="008C7770" w:rsidP="00E559CE">
      <w:pPr>
        <w:jc w:val="both"/>
        <w:rPr>
          <w:sz w:val="24"/>
          <w:szCs w:val="24"/>
        </w:rPr>
      </w:pPr>
    </w:p>
    <w:p w:rsidR="008C7770" w:rsidRDefault="008C7770" w:rsidP="00E559CE">
      <w:pPr>
        <w:jc w:val="both"/>
        <w:rPr>
          <w:sz w:val="24"/>
          <w:szCs w:val="24"/>
        </w:rPr>
      </w:pPr>
    </w:p>
    <w:p w:rsidR="000E38C3" w:rsidRDefault="000E38C3" w:rsidP="00E559CE">
      <w:pPr>
        <w:jc w:val="both"/>
        <w:rPr>
          <w:sz w:val="24"/>
          <w:szCs w:val="24"/>
        </w:rPr>
      </w:pPr>
    </w:p>
    <w:p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93018C">
        <w:tc>
          <w:tcPr>
            <w:tcW w:w="10188" w:type="dxa"/>
          </w:tcPr>
          <w:p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rsidR="00B17FA0" w:rsidRPr="008B28E7" w:rsidRDefault="00B17FA0" w:rsidP="00FF7EBB">
            <w:pPr>
              <w:jc w:val="both"/>
              <w:rPr>
                <w:sz w:val="24"/>
                <w:szCs w:val="24"/>
              </w:rPr>
            </w:pPr>
          </w:p>
        </w:tc>
      </w:tr>
      <w:tr w:rsidR="0065276E" w:rsidRPr="008B28E7" w:rsidTr="0093018C">
        <w:tc>
          <w:tcPr>
            <w:tcW w:w="10188" w:type="dxa"/>
          </w:tcPr>
          <w:p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rsidR="00092970" w:rsidRDefault="00092970" w:rsidP="00FF7EBB">
      <w:pPr>
        <w:jc w:val="both"/>
        <w:rPr>
          <w:sz w:val="24"/>
          <w:szCs w:val="24"/>
        </w:rPr>
      </w:pPr>
    </w:p>
    <w:p w:rsidR="00352C70" w:rsidRPr="00352C70" w:rsidRDefault="00352C70" w:rsidP="00352C70">
      <w:pPr>
        <w:shd w:val="clear" w:color="auto" w:fill="FFFFFF"/>
        <w:overflowPunct/>
        <w:autoSpaceDE/>
        <w:autoSpaceDN/>
        <w:adjustRightInd/>
        <w:jc w:val="both"/>
        <w:textAlignment w:val="auto"/>
        <w:rPr>
          <w:color w:val="auto"/>
          <w:sz w:val="24"/>
          <w:szCs w:val="24"/>
        </w:rPr>
      </w:pPr>
      <w:r w:rsidRPr="00352C70">
        <w:rPr>
          <w:color w:val="auto"/>
          <w:sz w:val="24"/>
          <w:szCs w:val="24"/>
        </w:rPr>
        <w:t xml:space="preserve">Since Ervins joined the team, and more so over the last 12 months, I have seen a significant development in his practice since he joined the team as a newly qualified practitioner and since undertaking the consolidation programme. Ervin’s is a hard working enthusiastic practitioner with a strong value base which is evident in all of his produced work/intervention. He is committed to his professional continual learning and development which is demonstrated this through means of self-directed learning, effective supervision and case work.  Ervins utilises supervision </w:t>
      </w:r>
      <w:r w:rsidRPr="00352C70">
        <w:rPr>
          <w:color w:val="auto"/>
          <w:sz w:val="24"/>
          <w:szCs w:val="24"/>
        </w:rPr>
        <w:lastRenderedPageBreak/>
        <w:t>effectively both with the managers in the team and also with his peers, and to his credit he seeks out learning opportunities outside of the team/sector structure in order to inform his practice – Ervins demonstrates his capabilities and utilises self-directed studies to inform his practice which in turn enhances his learning outcomes.</w:t>
      </w:r>
    </w:p>
    <w:p w:rsidR="00352C70" w:rsidRPr="00352C70" w:rsidRDefault="00352C70" w:rsidP="00352C70">
      <w:pPr>
        <w:shd w:val="clear" w:color="auto" w:fill="FFFFFF"/>
        <w:overflowPunct/>
        <w:autoSpaceDE/>
        <w:autoSpaceDN/>
        <w:adjustRightInd/>
        <w:jc w:val="both"/>
        <w:textAlignment w:val="auto"/>
        <w:rPr>
          <w:color w:val="auto"/>
          <w:sz w:val="24"/>
          <w:szCs w:val="24"/>
        </w:rPr>
      </w:pPr>
      <w:r w:rsidRPr="00352C70">
        <w:rPr>
          <w:color w:val="auto"/>
          <w:sz w:val="24"/>
          <w:szCs w:val="24"/>
        </w:rPr>
        <w:t> </w:t>
      </w:r>
    </w:p>
    <w:p w:rsidR="00352C70" w:rsidRPr="00352C70" w:rsidRDefault="00352C70" w:rsidP="00352C70">
      <w:pPr>
        <w:shd w:val="clear" w:color="auto" w:fill="FFFFFF"/>
        <w:overflowPunct/>
        <w:autoSpaceDE/>
        <w:autoSpaceDN/>
        <w:adjustRightInd/>
        <w:jc w:val="both"/>
        <w:textAlignment w:val="auto"/>
        <w:rPr>
          <w:color w:val="auto"/>
          <w:sz w:val="24"/>
          <w:szCs w:val="24"/>
        </w:rPr>
      </w:pPr>
      <w:r w:rsidRPr="00352C70">
        <w:rPr>
          <w:color w:val="auto"/>
          <w:sz w:val="24"/>
          <w:szCs w:val="24"/>
        </w:rPr>
        <w:t>Ervins demonstrates professional capabilities and critical self-awareness, it was identified that dealing with professional confrontation can be at times challenging for him.  In the case of Citizen 2, this was a particularly challenging case with many contentious issues. An example of this, other professionals strongly vocalised their opinion directly to Ervin’s that they believed the sole responsibility of the case was for social work. Ervins utilised his consolidated learning and his application of the Law to effectively maintain/sustain professional boundaries. Ervins is adaptable in his practice and accepts/welcomes constructive criticism, embracing advice given in order to adapt practice accordingly. He recognises his own strengths and identifies any areas he needs to work on – He has a ‘give it a go’ approach which I believe has added to his growth as a social worker.</w:t>
      </w:r>
    </w:p>
    <w:p w:rsidR="00352C70" w:rsidRPr="00352C70" w:rsidRDefault="00352C70" w:rsidP="00352C70">
      <w:pPr>
        <w:shd w:val="clear" w:color="auto" w:fill="FFFFFF"/>
        <w:overflowPunct/>
        <w:autoSpaceDE/>
        <w:autoSpaceDN/>
        <w:adjustRightInd/>
        <w:jc w:val="both"/>
        <w:textAlignment w:val="auto"/>
        <w:rPr>
          <w:color w:val="auto"/>
          <w:sz w:val="24"/>
          <w:szCs w:val="24"/>
        </w:rPr>
      </w:pPr>
      <w:r w:rsidRPr="00352C70">
        <w:rPr>
          <w:color w:val="auto"/>
          <w:sz w:val="24"/>
          <w:szCs w:val="24"/>
        </w:rPr>
        <w:t> </w:t>
      </w:r>
    </w:p>
    <w:p w:rsidR="00352C70" w:rsidRPr="00352C70" w:rsidRDefault="00352C70" w:rsidP="00352C70">
      <w:pPr>
        <w:shd w:val="clear" w:color="auto" w:fill="FFFFFF"/>
        <w:overflowPunct/>
        <w:autoSpaceDE/>
        <w:autoSpaceDN/>
        <w:adjustRightInd/>
        <w:jc w:val="both"/>
        <w:textAlignment w:val="auto"/>
        <w:rPr>
          <w:color w:val="auto"/>
          <w:sz w:val="24"/>
          <w:szCs w:val="24"/>
        </w:rPr>
      </w:pPr>
      <w:r w:rsidRPr="00352C70">
        <w:rPr>
          <w:color w:val="auto"/>
          <w:sz w:val="24"/>
          <w:szCs w:val="24"/>
        </w:rPr>
        <w:t>Ervins aware of the need to continue to develop resilience and he discusses any issues he may have in this area to avoid overload. He’s an active participant in supervision, and always completes any tasks within appropriate timescales. There is clear evidence the growth of his professional judgements in evaluating evidence, appraising the situation, relating theory to practice thus demonstrating abilities to draw sound conclusions in his practice. Ervins has developed further whilst working in a secure estate which brings about its own challenges. He’s adapted well in this type of environment and developed his skills in risk analysis, assertiveness and knowledge of the SSWB (W) A 2014 particularly Part 11. Working in this type of environment I feel has enabled Ervins to grow as a practitioner working collectively with others to ensure the citizens’ needs are met without prejudice.</w:t>
      </w:r>
    </w:p>
    <w:p w:rsidR="00352C70" w:rsidRPr="00352C70" w:rsidRDefault="00352C70" w:rsidP="00352C70">
      <w:pPr>
        <w:shd w:val="clear" w:color="auto" w:fill="FFFFFF"/>
        <w:overflowPunct/>
        <w:autoSpaceDE/>
        <w:autoSpaceDN/>
        <w:adjustRightInd/>
        <w:jc w:val="both"/>
        <w:textAlignment w:val="auto"/>
        <w:rPr>
          <w:color w:val="auto"/>
          <w:sz w:val="24"/>
          <w:szCs w:val="24"/>
        </w:rPr>
      </w:pPr>
      <w:r w:rsidRPr="00352C70">
        <w:rPr>
          <w:color w:val="auto"/>
          <w:sz w:val="24"/>
          <w:szCs w:val="24"/>
        </w:rPr>
        <w:t> </w:t>
      </w:r>
    </w:p>
    <w:p w:rsidR="00352C70" w:rsidRPr="00352C70" w:rsidRDefault="00352C70" w:rsidP="00352C70">
      <w:pPr>
        <w:shd w:val="clear" w:color="auto" w:fill="FFFFFF"/>
        <w:overflowPunct/>
        <w:autoSpaceDE/>
        <w:autoSpaceDN/>
        <w:adjustRightInd/>
        <w:jc w:val="both"/>
        <w:textAlignment w:val="auto"/>
        <w:rPr>
          <w:color w:val="auto"/>
          <w:sz w:val="24"/>
          <w:szCs w:val="24"/>
        </w:rPr>
      </w:pPr>
      <w:r w:rsidRPr="00352C70">
        <w:rPr>
          <w:color w:val="auto"/>
          <w:sz w:val="24"/>
          <w:szCs w:val="24"/>
        </w:rPr>
        <w:t>Ervins has identified development areas he would like to undertake in the future one of which is the Applied Mental Health Professional (AMHP). Ervins was on placement in a Community Mental Health team whilst being a student, this has always been something that he wanted to pursue in his career as a social worker. I believe due to his commitment to his role as a social worker, continued commitment to his studies and continued/ongoing growth as a social worker he would perform well in this area</w:t>
      </w:r>
      <w:r w:rsidR="00920ABD">
        <w:rPr>
          <w:color w:val="auto"/>
          <w:sz w:val="24"/>
          <w:szCs w:val="24"/>
        </w:rPr>
        <w:t>.</w:t>
      </w: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Pr="008B28E7" w:rsidRDefault="008B28E7" w:rsidP="00FF7EBB">
      <w:pPr>
        <w:jc w:val="both"/>
        <w:rPr>
          <w:sz w:val="24"/>
          <w:szCs w:val="24"/>
        </w:rPr>
      </w:pPr>
    </w:p>
    <w:p w:rsidR="004376C0" w:rsidRDefault="000E38C3" w:rsidP="0093018C">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rsidR="004923DA" w:rsidRDefault="004923DA" w:rsidP="00FF7EBB">
      <w:pPr>
        <w:keepNext/>
        <w:spacing w:before="240" w:after="60"/>
        <w:jc w:val="both"/>
        <w:rPr>
          <w:b/>
          <w:sz w:val="24"/>
          <w:szCs w:val="24"/>
        </w:rPr>
      </w:pPr>
      <w:r w:rsidRPr="008B28E7">
        <w:rPr>
          <w:b/>
          <w:sz w:val="24"/>
          <w:szCs w:val="24"/>
        </w:rPr>
        <w:t>Bibliography</w:t>
      </w:r>
    </w:p>
    <w:p w:rsidR="004923DA"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w:t>
      </w:r>
      <w:r w:rsidR="00511C27">
        <w:rPr>
          <w:sz w:val="24"/>
          <w:szCs w:val="24"/>
        </w:rPr>
        <w:t>ubmitted is your original work.</w:t>
      </w:r>
    </w:p>
    <w:p w:rsidR="002F272C" w:rsidRDefault="002F272C" w:rsidP="00FF7EBB">
      <w:pPr>
        <w:keepNext/>
        <w:spacing w:before="240" w:after="60"/>
        <w:jc w:val="both"/>
        <w:rPr>
          <w:sz w:val="24"/>
          <w:szCs w:val="24"/>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Adams, R., </w:t>
      </w:r>
      <w:proofErr w:type="spellStart"/>
      <w:r w:rsidRPr="00855854">
        <w:rPr>
          <w:rFonts w:eastAsiaTheme="minorHAnsi"/>
          <w:color w:val="auto"/>
          <w:sz w:val="24"/>
          <w:szCs w:val="24"/>
          <w:lang w:eastAsia="en-US"/>
        </w:rPr>
        <w:t>Dominelli</w:t>
      </w:r>
      <w:proofErr w:type="spellEnd"/>
      <w:r w:rsidRPr="00855854">
        <w:rPr>
          <w:rFonts w:eastAsiaTheme="minorHAnsi"/>
          <w:color w:val="auto"/>
          <w:sz w:val="24"/>
          <w:szCs w:val="24"/>
          <w:lang w:eastAsia="en-US"/>
        </w:rPr>
        <w:t xml:space="preserve">, L. and Payne M. (2009), </w:t>
      </w:r>
      <w:r w:rsidRPr="00855854">
        <w:rPr>
          <w:rFonts w:eastAsiaTheme="minorHAnsi"/>
          <w:i/>
          <w:color w:val="auto"/>
          <w:sz w:val="24"/>
          <w:szCs w:val="24"/>
          <w:lang w:eastAsia="en-US"/>
        </w:rPr>
        <w:t>Critical Practice in Social Work</w:t>
      </w:r>
      <w:r w:rsidRPr="00855854">
        <w:rPr>
          <w:rFonts w:eastAsiaTheme="minorHAnsi"/>
          <w:color w:val="auto"/>
          <w:sz w:val="24"/>
          <w:szCs w:val="24"/>
          <w:lang w:eastAsia="en-US"/>
        </w:rPr>
        <w:t>. 2</w:t>
      </w:r>
      <w:r w:rsidRPr="00855854">
        <w:rPr>
          <w:rFonts w:eastAsiaTheme="minorHAnsi"/>
          <w:color w:val="auto"/>
          <w:sz w:val="24"/>
          <w:szCs w:val="24"/>
          <w:vertAlign w:val="superscript"/>
          <w:lang w:eastAsia="en-US"/>
        </w:rPr>
        <w:t>nd</w:t>
      </w:r>
      <w:r w:rsidRPr="00855854">
        <w:rPr>
          <w:rFonts w:eastAsiaTheme="minorHAnsi"/>
          <w:color w:val="auto"/>
          <w:sz w:val="24"/>
          <w:szCs w:val="24"/>
          <w:lang w:eastAsia="en-US"/>
        </w:rPr>
        <w:t xml:space="preserve"> ed. London: Macmillan Press.</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roofErr w:type="spellStart"/>
      <w:r w:rsidRPr="00855854">
        <w:rPr>
          <w:rFonts w:eastAsiaTheme="minorHAnsi"/>
          <w:color w:val="auto"/>
          <w:sz w:val="24"/>
          <w:szCs w:val="24"/>
          <w:lang w:eastAsia="en-US"/>
        </w:rPr>
        <w:t>Albery</w:t>
      </w:r>
      <w:proofErr w:type="spellEnd"/>
      <w:r w:rsidRPr="00855854">
        <w:rPr>
          <w:rFonts w:eastAsiaTheme="minorHAnsi"/>
          <w:color w:val="auto"/>
          <w:sz w:val="24"/>
          <w:szCs w:val="24"/>
          <w:lang w:eastAsia="en-US"/>
        </w:rPr>
        <w:t xml:space="preserve">, I. P., Chandler, C., Field, A., Hammond, N., Jones, D., Messer, D., Moore, S., Sterling, C., Sutton, J. and Trapp, A. (2008), </w:t>
      </w:r>
      <w:r w:rsidRPr="00855854">
        <w:rPr>
          <w:rFonts w:eastAsiaTheme="minorHAnsi"/>
          <w:i/>
          <w:color w:val="auto"/>
          <w:sz w:val="24"/>
          <w:szCs w:val="24"/>
          <w:lang w:eastAsia="en-US"/>
        </w:rPr>
        <w:t>Complete Psychology</w:t>
      </w:r>
      <w:r w:rsidRPr="00855854">
        <w:rPr>
          <w:rFonts w:eastAsiaTheme="minorHAnsi"/>
          <w:color w:val="auto"/>
          <w:sz w:val="24"/>
          <w:szCs w:val="24"/>
          <w:lang w:eastAsia="en-US"/>
        </w:rPr>
        <w:t>. 2nd ed. Oxon: Hodder Education.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Archambeault, J. (2009), </w:t>
      </w:r>
      <w:r w:rsidRPr="00855854">
        <w:rPr>
          <w:rFonts w:eastAsiaTheme="minorHAnsi"/>
          <w:i/>
          <w:color w:val="auto"/>
          <w:sz w:val="24"/>
          <w:szCs w:val="24"/>
          <w:lang w:eastAsia="en-US"/>
        </w:rPr>
        <w:t>Reflective Reader: Social Work and Mental Health</w:t>
      </w:r>
      <w:r w:rsidRPr="00855854">
        <w:rPr>
          <w:rFonts w:eastAsiaTheme="minorHAnsi"/>
          <w:color w:val="auto"/>
          <w:sz w:val="24"/>
          <w:szCs w:val="24"/>
          <w:lang w:eastAsia="en-US"/>
        </w:rPr>
        <w:t>. Exeter: Learning Matters.</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Banks, S. (2006), </w:t>
      </w:r>
      <w:r w:rsidRPr="00855854">
        <w:rPr>
          <w:rFonts w:eastAsiaTheme="minorHAnsi"/>
          <w:i/>
          <w:color w:val="auto"/>
          <w:sz w:val="24"/>
          <w:szCs w:val="24"/>
          <w:lang w:eastAsia="en-US"/>
        </w:rPr>
        <w:t>Ethics and Values in Social Work.</w:t>
      </w:r>
      <w:r w:rsidRPr="00855854">
        <w:rPr>
          <w:rFonts w:eastAsiaTheme="minorHAnsi"/>
          <w:color w:val="auto"/>
          <w:sz w:val="24"/>
          <w:szCs w:val="24"/>
          <w:lang w:eastAsia="en-US"/>
        </w:rPr>
        <w:t xml:space="preserve"> 3rd ed. Basingstoke: Palgrave Macmillan.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Barber, P., Brown, R. and Martin, D. (2012), </w:t>
      </w:r>
      <w:r w:rsidRPr="00855854">
        <w:rPr>
          <w:rFonts w:eastAsiaTheme="minorHAnsi"/>
          <w:i/>
          <w:color w:val="auto"/>
          <w:sz w:val="24"/>
          <w:szCs w:val="24"/>
          <w:lang w:eastAsia="en-US"/>
        </w:rPr>
        <w:t>Mental Health Law in England and Wales</w:t>
      </w:r>
      <w:r w:rsidRPr="00855854">
        <w:rPr>
          <w:rFonts w:eastAsiaTheme="minorHAnsi"/>
          <w:color w:val="auto"/>
          <w:sz w:val="24"/>
          <w:szCs w:val="24"/>
          <w:lang w:eastAsia="en-US"/>
        </w:rPr>
        <w:t>. 2nd ed. London: Learning Matters.</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Beckett, C. (2007), </w:t>
      </w:r>
      <w:r w:rsidRPr="00855854">
        <w:rPr>
          <w:rFonts w:eastAsiaTheme="minorHAnsi"/>
          <w:i/>
          <w:color w:val="auto"/>
          <w:sz w:val="24"/>
          <w:szCs w:val="24"/>
          <w:lang w:eastAsia="en-US"/>
        </w:rPr>
        <w:t>Essential Theory for Social Work Practice</w:t>
      </w:r>
      <w:r w:rsidRPr="00855854">
        <w:rPr>
          <w:rFonts w:eastAsiaTheme="minorHAnsi"/>
          <w:color w:val="auto"/>
          <w:sz w:val="24"/>
          <w:szCs w:val="24"/>
          <w:lang w:eastAsia="en-US"/>
        </w:rPr>
        <w:t>. London: Sage.</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Berk, L. E. (2010), </w:t>
      </w:r>
      <w:r w:rsidRPr="00855854">
        <w:rPr>
          <w:rFonts w:eastAsiaTheme="minorHAnsi"/>
          <w:i/>
          <w:color w:val="auto"/>
          <w:sz w:val="24"/>
          <w:szCs w:val="24"/>
          <w:lang w:eastAsia="en-US"/>
        </w:rPr>
        <w:t>Development through the Lifespan</w:t>
      </w:r>
      <w:r w:rsidRPr="00855854">
        <w:rPr>
          <w:rFonts w:eastAsiaTheme="minorHAnsi"/>
          <w:color w:val="auto"/>
          <w:sz w:val="24"/>
          <w:szCs w:val="24"/>
          <w:lang w:eastAsia="en-US"/>
        </w:rPr>
        <w:t xml:space="preserve">. 5th ed. London: </w:t>
      </w:r>
      <w:proofErr w:type="spellStart"/>
      <w:r w:rsidRPr="00855854">
        <w:rPr>
          <w:rFonts w:eastAsiaTheme="minorHAnsi"/>
          <w:color w:val="auto"/>
          <w:sz w:val="24"/>
          <w:szCs w:val="24"/>
          <w:lang w:eastAsia="en-US"/>
        </w:rPr>
        <w:t>Allyn</w:t>
      </w:r>
      <w:proofErr w:type="spellEnd"/>
      <w:r w:rsidRPr="00855854">
        <w:rPr>
          <w:rFonts w:eastAsiaTheme="minorHAnsi"/>
          <w:color w:val="auto"/>
          <w:sz w:val="24"/>
          <w:szCs w:val="24"/>
          <w:lang w:eastAsia="en-US"/>
        </w:rPr>
        <w:t xml:space="preserve"> and Bacon.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roofErr w:type="spellStart"/>
      <w:r w:rsidRPr="00855854">
        <w:rPr>
          <w:rFonts w:eastAsiaTheme="minorHAnsi"/>
          <w:color w:val="auto"/>
          <w:sz w:val="24"/>
          <w:szCs w:val="24"/>
          <w:lang w:eastAsia="en-US"/>
        </w:rPr>
        <w:t>Borton</w:t>
      </w:r>
      <w:proofErr w:type="spellEnd"/>
      <w:r w:rsidRPr="00855854">
        <w:rPr>
          <w:rFonts w:eastAsiaTheme="minorHAnsi"/>
          <w:color w:val="auto"/>
          <w:sz w:val="24"/>
          <w:szCs w:val="24"/>
          <w:lang w:eastAsia="en-US"/>
        </w:rPr>
        <w:t xml:space="preserve">, T. (1970), </w:t>
      </w:r>
      <w:r w:rsidRPr="00855854">
        <w:rPr>
          <w:rFonts w:eastAsiaTheme="minorHAnsi"/>
          <w:i/>
          <w:color w:val="auto"/>
          <w:sz w:val="24"/>
          <w:szCs w:val="24"/>
          <w:lang w:eastAsia="en-US"/>
        </w:rPr>
        <w:t>Reach, Touch and Teach</w:t>
      </w:r>
      <w:r w:rsidRPr="00855854">
        <w:rPr>
          <w:rFonts w:eastAsiaTheme="minorHAnsi"/>
          <w:color w:val="auto"/>
          <w:sz w:val="24"/>
          <w:szCs w:val="24"/>
          <w:lang w:eastAsia="en-US"/>
        </w:rPr>
        <w:t>. Washington: McGraw Hill Paperback.</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roofErr w:type="spellStart"/>
      <w:r w:rsidRPr="00855854">
        <w:rPr>
          <w:rFonts w:eastAsiaTheme="minorHAnsi"/>
          <w:color w:val="auto"/>
          <w:sz w:val="24"/>
          <w:szCs w:val="24"/>
          <w:lang w:eastAsia="en-US"/>
        </w:rPr>
        <w:t>Brammer</w:t>
      </w:r>
      <w:proofErr w:type="spellEnd"/>
      <w:r w:rsidRPr="00855854">
        <w:rPr>
          <w:rFonts w:eastAsiaTheme="minorHAnsi"/>
          <w:color w:val="auto"/>
          <w:sz w:val="24"/>
          <w:szCs w:val="24"/>
          <w:lang w:eastAsia="en-US"/>
        </w:rPr>
        <w:t xml:space="preserve">, A. (2015), </w:t>
      </w:r>
      <w:r w:rsidRPr="00855854">
        <w:rPr>
          <w:rFonts w:eastAsiaTheme="minorHAnsi"/>
          <w:i/>
          <w:color w:val="auto"/>
          <w:sz w:val="24"/>
          <w:szCs w:val="24"/>
          <w:lang w:eastAsia="en-US"/>
        </w:rPr>
        <w:t>Social Work Law</w:t>
      </w:r>
      <w:r w:rsidRPr="00855854">
        <w:rPr>
          <w:rFonts w:eastAsiaTheme="minorHAnsi"/>
          <w:color w:val="auto"/>
          <w:sz w:val="24"/>
          <w:szCs w:val="24"/>
          <w:lang w:eastAsia="en-US"/>
        </w:rPr>
        <w:t>. 4th ed. Cambridge: Pearson.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British Government (2007), </w:t>
      </w:r>
      <w:r w:rsidRPr="00855854">
        <w:rPr>
          <w:rFonts w:eastAsiaTheme="minorHAnsi"/>
          <w:i/>
          <w:color w:val="auto"/>
          <w:sz w:val="24"/>
          <w:szCs w:val="24"/>
          <w:lang w:eastAsia="en-US"/>
        </w:rPr>
        <w:t xml:space="preserve">Mental Capacity Act 2005. Code of Practice. </w:t>
      </w:r>
      <w:r w:rsidRPr="00855854">
        <w:rPr>
          <w:rFonts w:eastAsiaTheme="minorHAnsi"/>
          <w:color w:val="auto"/>
          <w:sz w:val="24"/>
          <w:szCs w:val="24"/>
          <w:lang w:eastAsia="en-US"/>
        </w:rPr>
        <w:t>London: HMSO</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Care Council for Wales (2015), </w:t>
      </w:r>
      <w:r w:rsidRPr="00855854">
        <w:rPr>
          <w:rFonts w:eastAsiaTheme="minorHAnsi"/>
          <w:i/>
          <w:color w:val="auto"/>
          <w:sz w:val="24"/>
          <w:szCs w:val="24"/>
          <w:lang w:eastAsia="en-US"/>
        </w:rPr>
        <w:t>Code of Professional Practice for Social Care</w:t>
      </w:r>
      <w:r w:rsidRPr="00855854">
        <w:rPr>
          <w:rFonts w:eastAsiaTheme="minorHAnsi"/>
          <w:color w:val="auto"/>
          <w:sz w:val="24"/>
          <w:szCs w:val="24"/>
          <w:lang w:eastAsia="en-US"/>
        </w:rPr>
        <w:t>. Cardiff: Welsh Assembly Government.</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Clifford, D. and Burke B. (2009), </w:t>
      </w:r>
      <w:r w:rsidRPr="00855854">
        <w:rPr>
          <w:rFonts w:eastAsiaTheme="minorHAnsi"/>
          <w:i/>
          <w:color w:val="auto"/>
          <w:sz w:val="24"/>
          <w:szCs w:val="24"/>
          <w:lang w:eastAsia="en-US"/>
        </w:rPr>
        <w:t>Anti-oppressive Ethics and Values in Social Work.</w:t>
      </w:r>
      <w:r w:rsidRPr="00855854">
        <w:rPr>
          <w:rFonts w:eastAsiaTheme="minorHAnsi"/>
          <w:color w:val="auto"/>
          <w:sz w:val="24"/>
          <w:szCs w:val="24"/>
          <w:lang w:eastAsia="en-US"/>
        </w:rPr>
        <w:t xml:space="preserve"> Basingstoke: Palgrave Macmillan.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Crawford, K. and Walker, J. (2011), </w:t>
      </w:r>
      <w:r w:rsidRPr="00855854">
        <w:rPr>
          <w:rFonts w:eastAsiaTheme="minorHAnsi"/>
          <w:i/>
          <w:color w:val="auto"/>
          <w:sz w:val="24"/>
          <w:szCs w:val="24"/>
          <w:lang w:eastAsia="en-US"/>
        </w:rPr>
        <w:t>Social Work and Human Development</w:t>
      </w:r>
      <w:r w:rsidRPr="00855854">
        <w:rPr>
          <w:rFonts w:eastAsiaTheme="minorHAnsi"/>
          <w:color w:val="auto"/>
          <w:sz w:val="24"/>
          <w:szCs w:val="24"/>
          <w:lang w:eastAsia="en-US"/>
        </w:rPr>
        <w:t>. 3rd ed. Exeter: Learning Matters.</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Fine, M. and </w:t>
      </w:r>
      <w:proofErr w:type="spellStart"/>
      <w:r w:rsidRPr="00855854">
        <w:rPr>
          <w:rFonts w:eastAsiaTheme="minorHAnsi"/>
          <w:color w:val="auto"/>
          <w:sz w:val="24"/>
          <w:szCs w:val="24"/>
          <w:lang w:eastAsia="en-US"/>
        </w:rPr>
        <w:t>Teram</w:t>
      </w:r>
      <w:proofErr w:type="spellEnd"/>
      <w:r w:rsidRPr="00855854">
        <w:rPr>
          <w:rFonts w:eastAsiaTheme="minorHAnsi"/>
          <w:color w:val="auto"/>
          <w:sz w:val="24"/>
          <w:szCs w:val="24"/>
          <w:lang w:eastAsia="en-US"/>
        </w:rPr>
        <w:t xml:space="preserve">, E. (2013), ‘Overt and covert ways of responding to moral injustices in social work practice: heroes and mild-mannered social work bipeds’, </w:t>
      </w:r>
      <w:r w:rsidRPr="00855854">
        <w:rPr>
          <w:rFonts w:eastAsiaTheme="minorHAnsi"/>
          <w:i/>
          <w:color w:val="auto"/>
          <w:sz w:val="24"/>
          <w:szCs w:val="24"/>
          <w:lang w:eastAsia="en-US"/>
        </w:rPr>
        <w:t>The British Journal of Social Work</w:t>
      </w:r>
      <w:r w:rsidRPr="00855854">
        <w:rPr>
          <w:rFonts w:eastAsiaTheme="minorHAnsi"/>
          <w:color w:val="auto"/>
          <w:sz w:val="24"/>
          <w:szCs w:val="24"/>
          <w:lang w:eastAsia="en-US"/>
        </w:rPr>
        <w:t>, Vol. 43, No. 7, pp. 1312 – 1329.</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Default="00855854" w:rsidP="00855854">
      <w:pPr>
        <w:overflowPunct/>
        <w:autoSpaceDE/>
        <w:autoSpaceDN/>
        <w:adjustRightInd/>
        <w:jc w:val="both"/>
        <w:textAlignment w:val="auto"/>
        <w:rPr>
          <w:rFonts w:eastAsiaTheme="minorHAnsi"/>
          <w:color w:val="auto"/>
          <w:sz w:val="24"/>
          <w:szCs w:val="24"/>
          <w:lang w:eastAsia="en-US"/>
        </w:rPr>
      </w:pPr>
      <w:proofErr w:type="spellStart"/>
      <w:r w:rsidRPr="00855854">
        <w:rPr>
          <w:rFonts w:eastAsiaTheme="minorHAnsi"/>
          <w:color w:val="auto"/>
          <w:sz w:val="24"/>
          <w:szCs w:val="24"/>
          <w:lang w:eastAsia="en-US"/>
        </w:rPr>
        <w:lastRenderedPageBreak/>
        <w:t>Fook</w:t>
      </w:r>
      <w:proofErr w:type="spellEnd"/>
      <w:r w:rsidRPr="00855854">
        <w:rPr>
          <w:rFonts w:eastAsiaTheme="minorHAnsi"/>
          <w:color w:val="auto"/>
          <w:sz w:val="24"/>
          <w:szCs w:val="24"/>
          <w:lang w:eastAsia="en-US"/>
        </w:rPr>
        <w:t xml:space="preserve">, J. (2002), </w:t>
      </w:r>
      <w:r w:rsidRPr="00855854">
        <w:rPr>
          <w:rFonts w:eastAsiaTheme="minorHAnsi"/>
          <w:i/>
          <w:color w:val="auto"/>
          <w:sz w:val="24"/>
          <w:szCs w:val="24"/>
          <w:lang w:eastAsia="en-US"/>
        </w:rPr>
        <w:t>Social Work: Critical Theory and Practice</w:t>
      </w:r>
      <w:r w:rsidRPr="00855854">
        <w:rPr>
          <w:rFonts w:eastAsiaTheme="minorHAnsi"/>
          <w:color w:val="auto"/>
          <w:sz w:val="24"/>
          <w:szCs w:val="24"/>
          <w:lang w:eastAsia="en-US"/>
        </w:rPr>
        <w:t>. London: SAGE Publications Ltd.</w:t>
      </w:r>
    </w:p>
    <w:p w:rsidR="0012513A" w:rsidRPr="00855854" w:rsidRDefault="0012513A"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Garett, P. M. (2014), ‘Re-enacting social work? The emerging ‘spirit’ of social work in an age of economic </w:t>
      </w:r>
      <w:proofErr w:type="gramStart"/>
      <w:r w:rsidRPr="00855854">
        <w:rPr>
          <w:rFonts w:eastAsiaTheme="minorHAnsi"/>
          <w:color w:val="auto"/>
          <w:sz w:val="24"/>
          <w:szCs w:val="24"/>
          <w:lang w:eastAsia="en-US"/>
        </w:rPr>
        <w:t>crisis’</w:t>
      </w:r>
      <w:proofErr w:type="gramEnd"/>
      <w:r w:rsidRPr="00855854">
        <w:rPr>
          <w:rFonts w:eastAsiaTheme="minorHAnsi"/>
          <w:color w:val="auto"/>
          <w:sz w:val="24"/>
          <w:szCs w:val="24"/>
          <w:lang w:eastAsia="en-US"/>
        </w:rPr>
        <w:t xml:space="preserve">. </w:t>
      </w:r>
      <w:r w:rsidRPr="00855854">
        <w:rPr>
          <w:rFonts w:eastAsiaTheme="minorHAnsi"/>
          <w:i/>
          <w:color w:val="auto"/>
          <w:sz w:val="24"/>
          <w:szCs w:val="24"/>
          <w:lang w:eastAsia="en-US"/>
        </w:rPr>
        <w:t>The British Journal of Social Work</w:t>
      </w:r>
      <w:r w:rsidRPr="00855854">
        <w:rPr>
          <w:rFonts w:eastAsiaTheme="minorHAnsi"/>
          <w:color w:val="auto"/>
          <w:sz w:val="24"/>
          <w:szCs w:val="24"/>
          <w:lang w:eastAsia="en-US"/>
        </w:rPr>
        <w:t>, Vol. 44, Number 3, pp. 503 - 521.</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Gross, R. (2019), </w:t>
      </w:r>
      <w:r w:rsidRPr="00855854">
        <w:rPr>
          <w:rFonts w:eastAsiaTheme="minorHAnsi"/>
          <w:i/>
          <w:color w:val="auto"/>
          <w:sz w:val="24"/>
          <w:szCs w:val="24"/>
          <w:lang w:eastAsia="en-US"/>
        </w:rPr>
        <w:t>Psychology. The Science of the Mind and Behaviour.</w:t>
      </w:r>
      <w:r w:rsidRPr="00855854">
        <w:rPr>
          <w:rFonts w:eastAsiaTheme="minorHAnsi"/>
          <w:color w:val="auto"/>
          <w:sz w:val="24"/>
          <w:szCs w:val="24"/>
          <w:lang w:eastAsia="en-US"/>
        </w:rPr>
        <w:t xml:space="preserve"> 7</w:t>
      </w:r>
      <w:r w:rsidRPr="00855854">
        <w:rPr>
          <w:rFonts w:eastAsiaTheme="minorHAnsi"/>
          <w:color w:val="auto"/>
          <w:sz w:val="24"/>
          <w:szCs w:val="24"/>
          <w:vertAlign w:val="superscript"/>
          <w:lang w:eastAsia="en-US"/>
        </w:rPr>
        <w:t>th</w:t>
      </w:r>
      <w:r w:rsidRPr="00855854">
        <w:rPr>
          <w:rFonts w:eastAsiaTheme="minorHAnsi"/>
          <w:color w:val="auto"/>
          <w:sz w:val="24"/>
          <w:szCs w:val="24"/>
          <w:lang w:eastAsia="en-US"/>
        </w:rPr>
        <w:t xml:space="preserve"> ed. London: Hodder Education.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Healy, K. (2005), </w:t>
      </w:r>
      <w:r w:rsidRPr="00855854">
        <w:rPr>
          <w:rFonts w:eastAsiaTheme="minorHAnsi"/>
          <w:i/>
          <w:color w:val="auto"/>
          <w:sz w:val="24"/>
          <w:szCs w:val="24"/>
          <w:lang w:eastAsia="en-US"/>
        </w:rPr>
        <w:t>Social Work Theories in Context</w:t>
      </w:r>
      <w:r w:rsidRPr="00855854">
        <w:rPr>
          <w:rFonts w:eastAsiaTheme="minorHAnsi"/>
          <w:color w:val="auto"/>
          <w:sz w:val="24"/>
          <w:szCs w:val="24"/>
          <w:lang w:eastAsia="en-US"/>
        </w:rPr>
        <w:t>. Basingstoke: Palgrave Macmillan.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Home Office (2015), </w:t>
      </w:r>
      <w:r w:rsidRPr="00855854">
        <w:rPr>
          <w:rFonts w:eastAsiaTheme="minorHAnsi"/>
          <w:i/>
          <w:color w:val="auto"/>
          <w:sz w:val="24"/>
          <w:szCs w:val="24"/>
          <w:lang w:eastAsia="en-US"/>
        </w:rPr>
        <w:t>Controlling or Coercive Behaviour in an Intimate or Family Relationship Statutory Guidance Framework</w:t>
      </w:r>
      <w:r w:rsidRPr="00855854">
        <w:rPr>
          <w:rFonts w:eastAsiaTheme="minorHAnsi"/>
          <w:color w:val="auto"/>
          <w:sz w:val="24"/>
          <w:szCs w:val="24"/>
          <w:lang w:eastAsia="en-US"/>
        </w:rPr>
        <w:t>. London: HSMO</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Horner, N. (2012), </w:t>
      </w:r>
      <w:proofErr w:type="gramStart"/>
      <w:r w:rsidRPr="00855854">
        <w:rPr>
          <w:rFonts w:eastAsiaTheme="minorHAnsi"/>
          <w:i/>
          <w:color w:val="auto"/>
          <w:sz w:val="24"/>
          <w:szCs w:val="24"/>
          <w:lang w:eastAsia="en-US"/>
        </w:rPr>
        <w:t>What</w:t>
      </w:r>
      <w:proofErr w:type="gramEnd"/>
      <w:r w:rsidRPr="00855854">
        <w:rPr>
          <w:rFonts w:eastAsiaTheme="minorHAnsi"/>
          <w:i/>
          <w:color w:val="auto"/>
          <w:sz w:val="24"/>
          <w:szCs w:val="24"/>
          <w:lang w:eastAsia="en-US"/>
        </w:rPr>
        <w:t xml:space="preserve"> is Social Work?</w:t>
      </w:r>
      <w:r w:rsidRPr="00855854">
        <w:rPr>
          <w:rFonts w:eastAsiaTheme="minorHAnsi"/>
          <w:color w:val="auto"/>
          <w:sz w:val="24"/>
          <w:szCs w:val="24"/>
          <w:lang w:eastAsia="en-US"/>
        </w:rPr>
        <w:t xml:space="preserve"> 4th ed. London: Learning Matters.</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Howe, D. (2008), </w:t>
      </w:r>
      <w:proofErr w:type="gramStart"/>
      <w:r w:rsidRPr="00855854">
        <w:rPr>
          <w:rFonts w:eastAsiaTheme="minorHAnsi"/>
          <w:i/>
          <w:color w:val="auto"/>
          <w:sz w:val="24"/>
          <w:szCs w:val="24"/>
          <w:lang w:eastAsia="en-US"/>
        </w:rPr>
        <w:t>The</w:t>
      </w:r>
      <w:proofErr w:type="gramEnd"/>
      <w:r w:rsidRPr="00855854">
        <w:rPr>
          <w:rFonts w:eastAsiaTheme="minorHAnsi"/>
          <w:i/>
          <w:color w:val="auto"/>
          <w:sz w:val="24"/>
          <w:szCs w:val="24"/>
          <w:lang w:eastAsia="en-US"/>
        </w:rPr>
        <w:t xml:space="preserve"> Emotionally Intelligent Social Worker</w:t>
      </w:r>
      <w:r w:rsidRPr="00855854">
        <w:rPr>
          <w:rFonts w:eastAsiaTheme="minorHAnsi"/>
          <w:color w:val="auto"/>
          <w:sz w:val="24"/>
          <w:szCs w:val="24"/>
          <w:lang w:eastAsia="en-US"/>
        </w:rPr>
        <w:t>. Basingstoke: Palgrave Macmillan.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Jack, G. and Donnellan, H. (2013), </w:t>
      </w:r>
      <w:r w:rsidRPr="00855854">
        <w:rPr>
          <w:rFonts w:eastAsiaTheme="minorHAnsi"/>
          <w:i/>
          <w:color w:val="auto"/>
          <w:sz w:val="24"/>
          <w:szCs w:val="24"/>
          <w:lang w:eastAsia="en-US"/>
        </w:rPr>
        <w:t>Social Work with Children</w:t>
      </w:r>
      <w:r w:rsidRPr="00855854">
        <w:rPr>
          <w:rFonts w:eastAsiaTheme="minorHAnsi"/>
          <w:color w:val="auto"/>
          <w:sz w:val="24"/>
          <w:szCs w:val="24"/>
          <w:lang w:eastAsia="en-US"/>
        </w:rPr>
        <w:t>. Basingstoke: Palgrave Macmillan.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Kolb D. A. (1984), </w:t>
      </w:r>
      <w:r w:rsidRPr="00855854">
        <w:rPr>
          <w:rFonts w:eastAsiaTheme="minorHAnsi"/>
          <w:i/>
          <w:color w:val="auto"/>
          <w:sz w:val="24"/>
          <w:szCs w:val="24"/>
          <w:lang w:eastAsia="en-US"/>
        </w:rPr>
        <w:t xml:space="preserve">Experiential Learning: Experience as the Source of Learning and Development. </w:t>
      </w:r>
      <w:r w:rsidRPr="00855854">
        <w:rPr>
          <w:rFonts w:eastAsiaTheme="minorHAnsi"/>
          <w:color w:val="auto"/>
          <w:sz w:val="24"/>
          <w:szCs w:val="24"/>
          <w:lang w:eastAsia="en-US"/>
        </w:rPr>
        <w:t>New Jersey: Prentice Hall.</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roofErr w:type="spellStart"/>
      <w:r w:rsidRPr="00855854">
        <w:rPr>
          <w:rFonts w:eastAsiaTheme="minorHAnsi"/>
          <w:color w:val="auto"/>
          <w:sz w:val="24"/>
          <w:szCs w:val="24"/>
          <w:lang w:eastAsia="en-US"/>
        </w:rPr>
        <w:t>Kondrat</w:t>
      </w:r>
      <w:proofErr w:type="spellEnd"/>
      <w:r w:rsidRPr="00855854">
        <w:rPr>
          <w:rFonts w:eastAsiaTheme="minorHAnsi"/>
          <w:color w:val="auto"/>
          <w:sz w:val="24"/>
          <w:szCs w:val="24"/>
          <w:lang w:eastAsia="en-US"/>
        </w:rPr>
        <w:t xml:space="preserve">, D. C. (2012), </w:t>
      </w:r>
      <w:r w:rsidRPr="00855854">
        <w:rPr>
          <w:rFonts w:eastAsiaTheme="minorHAnsi"/>
          <w:i/>
          <w:color w:val="auto"/>
          <w:sz w:val="24"/>
          <w:szCs w:val="24"/>
          <w:lang w:eastAsia="en-US"/>
        </w:rPr>
        <w:t>Person-centred Approach</w:t>
      </w:r>
      <w:r w:rsidRPr="00855854">
        <w:rPr>
          <w:rFonts w:eastAsiaTheme="minorHAnsi"/>
          <w:color w:val="auto"/>
          <w:sz w:val="24"/>
          <w:szCs w:val="24"/>
          <w:lang w:eastAsia="en-US"/>
        </w:rPr>
        <w:t xml:space="preserve">. In: ed. </w:t>
      </w:r>
      <w:proofErr w:type="spellStart"/>
      <w:r w:rsidRPr="00855854">
        <w:rPr>
          <w:rFonts w:eastAsiaTheme="minorHAnsi"/>
          <w:color w:val="auto"/>
          <w:sz w:val="24"/>
          <w:szCs w:val="24"/>
          <w:lang w:eastAsia="en-US"/>
        </w:rPr>
        <w:t>Teater</w:t>
      </w:r>
      <w:proofErr w:type="spellEnd"/>
      <w:r w:rsidRPr="00855854">
        <w:rPr>
          <w:rFonts w:eastAsiaTheme="minorHAnsi"/>
          <w:color w:val="auto"/>
          <w:sz w:val="24"/>
          <w:szCs w:val="24"/>
          <w:lang w:eastAsia="en-US"/>
        </w:rPr>
        <w:t xml:space="preserve">, B. (2012), </w:t>
      </w:r>
      <w:proofErr w:type="gramStart"/>
      <w:r w:rsidRPr="00855854">
        <w:rPr>
          <w:rFonts w:eastAsiaTheme="minorHAnsi"/>
          <w:color w:val="auto"/>
          <w:sz w:val="24"/>
          <w:szCs w:val="24"/>
          <w:lang w:eastAsia="en-US"/>
        </w:rPr>
        <w:t>An</w:t>
      </w:r>
      <w:proofErr w:type="gramEnd"/>
      <w:r w:rsidRPr="00855854">
        <w:rPr>
          <w:rFonts w:eastAsiaTheme="minorHAnsi"/>
          <w:color w:val="auto"/>
          <w:sz w:val="24"/>
          <w:szCs w:val="24"/>
          <w:lang w:eastAsia="en-US"/>
        </w:rPr>
        <w:t xml:space="preserve"> Introduction To Applying Social Work Theories And Methods. Maidenhead: Open University Press.</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roofErr w:type="spellStart"/>
      <w:r w:rsidRPr="00855854">
        <w:rPr>
          <w:rFonts w:eastAsiaTheme="minorHAnsi"/>
          <w:color w:val="auto"/>
          <w:sz w:val="24"/>
          <w:szCs w:val="24"/>
          <w:lang w:eastAsia="en-US"/>
        </w:rPr>
        <w:t>Koprowska</w:t>
      </w:r>
      <w:proofErr w:type="spellEnd"/>
      <w:r w:rsidRPr="00855854">
        <w:rPr>
          <w:rFonts w:eastAsiaTheme="minorHAnsi"/>
          <w:color w:val="auto"/>
          <w:sz w:val="24"/>
          <w:szCs w:val="24"/>
          <w:lang w:eastAsia="en-US"/>
        </w:rPr>
        <w:t xml:space="preserve">, J. (2006), </w:t>
      </w:r>
      <w:r w:rsidRPr="00855854">
        <w:rPr>
          <w:rFonts w:eastAsiaTheme="minorHAnsi"/>
          <w:i/>
          <w:color w:val="auto"/>
          <w:sz w:val="24"/>
          <w:szCs w:val="24"/>
          <w:lang w:eastAsia="en-US"/>
        </w:rPr>
        <w:t>Communication and Interpersonal Skills in Social Work</w:t>
      </w:r>
      <w:r w:rsidRPr="00855854">
        <w:rPr>
          <w:rFonts w:eastAsiaTheme="minorHAnsi"/>
          <w:color w:val="auto"/>
          <w:sz w:val="24"/>
          <w:szCs w:val="24"/>
          <w:lang w:eastAsia="en-US"/>
        </w:rPr>
        <w:t>. London: Learning Matters.</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Korthagen, F.A.J. &amp; </w:t>
      </w:r>
      <w:proofErr w:type="spellStart"/>
      <w:r w:rsidRPr="00855854">
        <w:rPr>
          <w:rFonts w:eastAsiaTheme="minorHAnsi"/>
          <w:color w:val="auto"/>
          <w:sz w:val="24"/>
          <w:szCs w:val="24"/>
          <w:lang w:eastAsia="en-US"/>
        </w:rPr>
        <w:t>Nuijten</w:t>
      </w:r>
      <w:proofErr w:type="spellEnd"/>
      <w:r w:rsidRPr="00855854">
        <w:rPr>
          <w:rFonts w:eastAsiaTheme="minorHAnsi"/>
          <w:color w:val="auto"/>
          <w:sz w:val="24"/>
          <w:szCs w:val="24"/>
          <w:lang w:eastAsia="en-US"/>
        </w:rPr>
        <w:t xml:space="preserve">, E.E. (2017). </w:t>
      </w:r>
      <w:r w:rsidRPr="00855854">
        <w:rPr>
          <w:rFonts w:eastAsiaTheme="minorHAnsi"/>
          <w:i/>
          <w:color w:val="auto"/>
          <w:sz w:val="24"/>
          <w:szCs w:val="24"/>
          <w:lang w:eastAsia="en-US"/>
        </w:rPr>
        <w:t>Core reflection approach in teacher education</w:t>
      </w:r>
      <w:r w:rsidRPr="00855854">
        <w:rPr>
          <w:rFonts w:eastAsiaTheme="minorHAnsi"/>
          <w:color w:val="auto"/>
          <w:sz w:val="24"/>
          <w:szCs w:val="24"/>
          <w:lang w:eastAsia="en-US"/>
        </w:rPr>
        <w:t>. In: J. Lampert (Ed.), Oxford research encyclopaedia of education. New York: Oxford University Press.</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Maclean, S. and Harrison, R. (2015), </w:t>
      </w:r>
      <w:r w:rsidRPr="00855854">
        <w:rPr>
          <w:rFonts w:eastAsiaTheme="minorHAnsi"/>
          <w:i/>
          <w:color w:val="auto"/>
          <w:sz w:val="24"/>
          <w:szCs w:val="24"/>
          <w:lang w:eastAsia="en-US"/>
        </w:rPr>
        <w:t>Social Work Theory</w:t>
      </w:r>
      <w:r w:rsidRPr="00855854">
        <w:rPr>
          <w:rFonts w:eastAsiaTheme="minorHAnsi"/>
          <w:color w:val="auto"/>
          <w:sz w:val="24"/>
          <w:szCs w:val="24"/>
          <w:lang w:eastAsia="en-US"/>
        </w:rPr>
        <w:t xml:space="preserve">. 2nd ed. Lichfield: </w:t>
      </w:r>
      <w:proofErr w:type="spellStart"/>
      <w:r w:rsidRPr="00855854">
        <w:rPr>
          <w:rFonts w:eastAsiaTheme="minorHAnsi"/>
          <w:color w:val="auto"/>
          <w:sz w:val="24"/>
          <w:szCs w:val="24"/>
          <w:lang w:eastAsia="en-US"/>
        </w:rPr>
        <w:t>Kirwin</w:t>
      </w:r>
      <w:proofErr w:type="spellEnd"/>
      <w:r w:rsidRPr="00855854">
        <w:rPr>
          <w:rFonts w:eastAsiaTheme="minorHAnsi"/>
          <w:color w:val="auto"/>
          <w:sz w:val="24"/>
          <w:szCs w:val="24"/>
          <w:lang w:eastAsia="en-US"/>
        </w:rPr>
        <w:t xml:space="preserve"> Maclean Associates Limited.</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roofErr w:type="spellStart"/>
      <w:r w:rsidRPr="00855854">
        <w:rPr>
          <w:rFonts w:eastAsiaTheme="minorHAnsi"/>
          <w:color w:val="auto"/>
          <w:sz w:val="24"/>
          <w:szCs w:val="24"/>
          <w:lang w:eastAsia="en-US"/>
        </w:rPr>
        <w:t>McNicoll</w:t>
      </w:r>
      <w:proofErr w:type="spellEnd"/>
      <w:r w:rsidRPr="00855854">
        <w:rPr>
          <w:rFonts w:eastAsiaTheme="minorHAnsi"/>
          <w:color w:val="auto"/>
          <w:sz w:val="24"/>
          <w:szCs w:val="24"/>
          <w:lang w:eastAsia="en-US"/>
        </w:rPr>
        <w:t xml:space="preserve">, A. 2017. ‘Ten years on from Baby P: social work’s story’ [online]. Available at: &lt; </w:t>
      </w:r>
      <w:hyperlink r:id="rId9" w:history="1">
        <w:r w:rsidRPr="00855854">
          <w:rPr>
            <w:rFonts w:eastAsiaTheme="minorHAnsi"/>
            <w:color w:val="0563C1" w:themeColor="hyperlink"/>
            <w:sz w:val="24"/>
            <w:szCs w:val="24"/>
            <w:u w:val="single"/>
            <w:lang w:eastAsia="en-US"/>
          </w:rPr>
          <w:t>https://www.communitycare.co.uk/2017/08/03/ten-years-baby-p-social-works-story/</w:t>
        </w:r>
      </w:hyperlink>
      <w:r w:rsidRPr="00855854">
        <w:rPr>
          <w:rFonts w:eastAsiaTheme="minorHAnsi"/>
          <w:color w:val="auto"/>
          <w:sz w:val="24"/>
          <w:szCs w:val="24"/>
          <w:lang w:eastAsia="en-US"/>
        </w:rPr>
        <w:t>&gt; [Accessed 1 September 2019].</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Milner, J. and O’Byrne, P. (2002), </w:t>
      </w:r>
      <w:r w:rsidRPr="00855854">
        <w:rPr>
          <w:rFonts w:eastAsiaTheme="minorHAnsi"/>
          <w:i/>
          <w:color w:val="auto"/>
          <w:sz w:val="24"/>
          <w:szCs w:val="24"/>
          <w:lang w:eastAsia="en-US"/>
        </w:rPr>
        <w:t>Assessment in Social Work</w:t>
      </w:r>
      <w:r w:rsidRPr="00855854">
        <w:rPr>
          <w:rFonts w:eastAsiaTheme="minorHAnsi"/>
          <w:color w:val="auto"/>
          <w:sz w:val="24"/>
          <w:szCs w:val="24"/>
          <w:lang w:eastAsia="en-US"/>
        </w:rPr>
        <w:t>. 2nd ed. Basingstoke: Palgrave Macmillan.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Ministry of Housing, Communities and Local Government and Ministry of Justice 2019. ‘Prison Release Protocol Guidance’ [online]. Available at: &lt; </w:t>
      </w:r>
      <w:hyperlink r:id="rId10" w:history="1">
        <w:r w:rsidRPr="00855854">
          <w:rPr>
            <w:rFonts w:eastAsiaTheme="minorHAnsi"/>
            <w:color w:val="0563C1" w:themeColor="hyperlink"/>
            <w:sz w:val="24"/>
            <w:szCs w:val="24"/>
            <w:u w:val="single"/>
            <w:lang w:eastAsia="en-US"/>
          </w:rPr>
          <w:t>https://assets.publishing.service.gov.uk/government/uploads/system/uploads/attachment_data/file/814964/Prison_Release_Protocol_research_report_FINAL.pdf</w:t>
        </w:r>
      </w:hyperlink>
      <w:r w:rsidRPr="00855854">
        <w:rPr>
          <w:rFonts w:eastAsiaTheme="minorHAnsi"/>
          <w:color w:val="auto"/>
          <w:sz w:val="24"/>
          <w:szCs w:val="24"/>
          <w:lang w:eastAsia="en-US"/>
        </w:rPr>
        <w:t>&gt; [Accessed 1 September 2019].</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Moss, B. (2007), </w:t>
      </w:r>
      <w:r w:rsidRPr="00855854">
        <w:rPr>
          <w:rFonts w:eastAsiaTheme="minorHAnsi"/>
          <w:i/>
          <w:color w:val="auto"/>
          <w:sz w:val="24"/>
          <w:szCs w:val="24"/>
          <w:lang w:eastAsia="en-US"/>
        </w:rPr>
        <w:t>Values</w:t>
      </w:r>
      <w:r w:rsidRPr="00855854">
        <w:rPr>
          <w:rFonts w:eastAsiaTheme="minorHAnsi"/>
          <w:color w:val="auto"/>
          <w:sz w:val="24"/>
          <w:szCs w:val="24"/>
          <w:lang w:eastAsia="en-US"/>
        </w:rPr>
        <w:t>. Dorset: Russell House Publishing.</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Munro, E. (2011a), </w:t>
      </w:r>
      <w:r w:rsidRPr="00855854">
        <w:rPr>
          <w:rFonts w:eastAsiaTheme="minorHAnsi"/>
          <w:i/>
          <w:color w:val="auto"/>
          <w:sz w:val="24"/>
          <w:szCs w:val="24"/>
          <w:lang w:eastAsia="en-US"/>
        </w:rPr>
        <w:t xml:space="preserve">The Munro Report of Child Protection Interim Report: The Child’s Journey. </w:t>
      </w:r>
      <w:r w:rsidRPr="00855854">
        <w:rPr>
          <w:rFonts w:eastAsiaTheme="minorHAnsi"/>
          <w:color w:val="auto"/>
          <w:sz w:val="24"/>
          <w:szCs w:val="24"/>
          <w:lang w:eastAsia="en-US"/>
        </w:rPr>
        <w:t>London: Department for Education.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Default="00855854" w:rsidP="00855854">
      <w:pPr>
        <w:overflowPunct/>
        <w:autoSpaceDE/>
        <w:autoSpaceDN/>
        <w:adjustRightInd/>
        <w:jc w:val="both"/>
        <w:textAlignment w:val="auto"/>
        <w:rPr>
          <w:rFonts w:eastAsiaTheme="minorHAnsi"/>
          <w:color w:val="auto"/>
          <w:sz w:val="24"/>
          <w:szCs w:val="24"/>
          <w:lang w:eastAsia="en-US"/>
        </w:rPr>
      </w:pPr>
      <w:proofErr w:type="spellStart"/>
      <w:proofErr w:type="gramStart"/>
      <w:r w:rsidRPr="00855854">
        <w:rPr>
          <w:rFonts w:eastAsiaTheme="minorHAnsi"/>
          <w:color w:val="auto"/>
          <w:sz w:val="24"/>
          <w:szCs w:val="24"/>
          <w:lang w:eastAsia="en-US"/>
        </w:rPr>
        <w:t>xxxx</w:t>
      </w:r>
      <w:proofErr w:type="spellEnd"/>
      <w:proofErr w:type="gramEnd"/>
      <w:r w:rsidRPr="00855854">
        <w:rPr>
          <w:rFonts w:eastAsiaTheme="minorHAnsi"/>
          <w:color w:val="auto"/>
          <w:sz w:val="24"/>
          <w:szCs w:val="24"/>
          <w:lang w:eastAsia="en-US"/>
        </w:rPr>
        <w:t xml:space="preserve"> Wales Safeguarding Board (2016)</w:t>
      </w:r>
      <w:r w:rsidRPr="00855854">
        <w:rPr>
          <w:rFonts w:eastAsiaTheme="minorHAnsi"/>
          <w:i/>
          <w:color w:val="auto"/>
          <w:sz w:val="24"/>
          <w:szCs w:val="24"/>
          <w:lang w:eastAsia="en-US"/>
        </w:rPr>
        <w:t xml:space="preserve">, Making Sense of Definitions of Risks, Abuse and Neglect. </w:t>
      </w:r>
      <w:r w:rsidRPr="00855854">
        <w:rPr>
          <w:rFonts w:eastAsiaTheme="minorHAnsi"/>
          <w:color w:val="auto"/>
          <w:sz w:val="24"/>
          <w:szCs w:val="24"/>
          <w:lang w:eastAsia="en-US"/>
        </w:rPr>
        <w:t>Cardiff: Welsh Government</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roofErr w:type="spellStart"/>
      <w:proofErr w:type="gramStart"/>
      <w:r w:rsidRPr="00855854">
        <w:rPr>
          <w:rFonts w:eastAsiaTheme="minorHAnsi"/>
          <w:color w:val="auto"/>
          <w:sz w:val="24"/>
          <w:szCs w:val="24"/>
          <w:lang w:eastAsia="en-US"/>
        </w:rPr>
        <w:t>xxxx</w:t>
      </w:r>
      <w:proofErr w:type="spellEnd"/>
      <w:proofErr w:type="gramEnd"/>
      <w:r w:rsidRPr="00855854">
        <w:rPr>
          <w:rFonts w:eastAsiaTheme="minorHAnsi"/>
          <w:color w:val="auto"/>
          <w:sz w:val="24"/>
          <w:szCs w:val="24"/>
          <w:lang w:eastAsia="en-US"/>
        </w:rPr>
        <w:t xml:space="preserve"> Wales Safeguarding Board (2016), </w:t>
      </w:r>
      <w:proofErr w:type="spellStart"/>
      <w:r w:rsidR="00D74018">
        <w:rPr>
          <w:rFonts w:eastAsiaTheme="minorHAnsi"/>
          <w:i/>
          <w:color w:val="auto"/>
          <w:sz w:val="24"/>
          <w:szCs w:val="24"/>
          <w:lang w:eastAsia="en-US"/>
        </w:rPr>
        <w:t>xxxx</w:t>
      </w:r>
      <w:proofErr w:type="spellEnd"/>
      <w:r w:rsidRPr="00855854">
        <w:rPr>
          <w:rFonts w:eastAsiaTheme="minorHAnsi"/>
          <w:i/>
          <w:color w:val="auto"/>
          <w:sz w:val="24"/>
          <w:szCs w:val="24"/>
          <w:lang w:eastAsia="en-US"/>
        </w:rPr>
        <w:t xml:space="preserve"> Wales Safeguarding Board Regional Thresholds Guidance 2016</w:t>
      </w:r>
      <w:r w:rsidRPr="00855854">
        <w:rPr>
          <w:rFonts w:eastAsiaTheme="minorHAnsi"/>
          <w:color w:val="auto"/>
          <w:sz w:val="24"/>
          <w:szCs w:val="24"/>
          <w:lang w:eastAsia="en-US"/>
        </w:rPr>
        <w:t>. Cardiff: Welsh Government</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NSPCC 2019. ‘</w:t>
      </w:r>
      <w:proofErr w:type="spellStart"/>
      <w:r w:rsidRPr="00855854">
        <w:rPr>
          <w:rFonts w:eastAsiaTheme="minorHAnsi"/>
          <w:color w:val="auto"/>
          <w:sz w:val="24"/>
          <w:szCs w:val="24"/>
          <w:lang w:eastAsia="en-US"/>
        </w:rPr>
        <w:t>Gillick</w:t>
      </w:r>
      <w:proofErr w:type="spellEnd"/>
      <w:r w:rsidRPr="00855854">
        <w:rPr>
          <w:rFonts w:eastAsiaTheme="minorHAnsi"/>
          <w:color w:val="auto"/>
          <w:sz w:val="24"/>
          <w:szCs w:val="24"/>
          <w:lang w:eastAsia="en-US"/>
        </w:rPr>
        <w:t xml:space="preserve"> competency and Fraser guidelines. Balancing children’s rights with the responsibility to keep them safe from harm’ [online]. Available at: &lt; </w:t>
      </w:r>
      <w:hyperlink r:id="rId11" w:history="1">
        <w:r w:rsidRPr="00855854">
          <w:rPr>
            <w:rFonts w:eastAsiaTheme="minorHAnsi"/>
            <w:color w:val="0563C1" w:themeColor="hyperlink"/>
            <w:sz w:val="24"/>
            <w:szCs w:val="24"/>
            <w:u w:val="single"/>
            <w:lang w:eastAsia="en-US"/>
          </w:rPr>
          <w:t>https://learning.nspcc.org.uk/media/1541/gillick-competency-factsheet.pdf</w:t>
        </w:r>
      </w:hyperlink>
      <w:r w:rsidRPr="00855854">
        <w:rPr>
          <w:rFonts w:eastAsiaTheme="minorHAnsi"/>
          <w:color w:val="auto"/>
          <w:sz w:val="24"/>
          <w:szCs w:val="24"/>
          <w:lang w:eastAsia="en-US"/>
        </w:rPr>
        <w:t>&gt; [Accessed 1 September 2019].</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Pack, M.J. (2013), ‘Building safe communities: teaching social work students about the importance of comprehensive strength-based approaches of offender rehabilitation’, </w:t>
      </w:r>
      <w:r w:rsidRPr="00855854">
        <w:rPr>
          <w:rFonts w:eastAsiaTheme="minorHAnsi"/>
          <w:i/>
          <w:color w:val="auto"/>
          <w:sz w:val="24"/>
          <w:szCs w:val="24"/>
          <w:lang w:eastAsia="en-US"/>
        </w:rPr>
        <w:t>Practice: Social Work in Action</w:t>
      </w:r>
      <w:r w:rsidRPr="00855854">
        <w:rPr>
          <w:rFonts w:eastAsiaTheme="minorHAnsi"/>
          <w:color w:val="auto"/>
          <w:sz w:val="24"/>
          <w:szCs w:val="24"/>
          <w:lang w:eastAsia="en-US"/>
        </w:rPr>
        <w:t>, Vol. 25, Number 4, pp. 221 – 231.</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Parker, J. and Bradley, G. (2010), </w:t>
      </w:r>
      <w:r w:rsidRPr="00855854">
        <w:rPr>
          <w:rFonts w:eastAsiaTheme="minorHAnsi"/>
          <w:i/>
          <w:color w:val="auto"/>
          <w:sz w:val="24"/>
          <w:szCs w:val="24"/>
          <w:lang w:eastAsia="en-US"/>
        </w:rPr>
        <w:t>Social Work Practice: Assessment, Planning, Intervention and Review</w:t>
      </w:r>
      <w:r w:rsidRPr="00855854">
        <w:rPr>
          <w:rFonts w:eastAsiaTheme="minorHAnsi"/>
          <w:color w:val="auto"/>
          <w:sz w:val="24"/>
          <w:szCs w:val="24"/>
          <w:lang w:eastAsia="en-US"/>
        </w:rPr>
        <w:t>. 3rd ed. Exeter: Learning Matters.</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roofErr w:type="spellStart"/>
      <w:r w:rsidRPr="00855854">
        <w:rPr>
          <w:rFonts w:eastAsiaTheme="minorHAnsi"/>
          <w:color w:val="auto"/>
          <w:sz w:val="24"/>
          <w:szCs w:val="24"/>
          <w:lang w:eastAsia="en-US"/>
        </w:rPr>
        <w:t>Pavlickova</w:t>
      </w:r>
      <w:proofErr w:type="spellEnd"/>
      <w:r w:rsidRPr="00855854">
        <w:rPr>
          <w:rFonts w:eastAsiaTheme="minorHAnsi"/>
          <w:color w:val="auto"/>
          <w:sz w:val="24"/>
          <w:szCs w:val="24"/>
          <w:lang w:eastAsia="en-US"/>
        </w:rPr>
        <w:t xml:space="preserve">, H., Turnbull, O. and </w:t>
      </w:r>
      <w:proofErr w:type="spellStart"/>
      <w:r w:rsidRPr="00855854">
        <w:rPr>
          <w:rFonts w:eastAsiaTheme="minorHAnsi"/>
          <w:color w:val="auto"/>
          <w:sz w:val="24"/>
          <w:szCs w:val="24"/>
          <w:lang w:eastAsia="en-US"/>
        </w:rPr>
        <w:t>Bentall</w:t>
      </w:r>
      <w:proofErr w:type="spellEnd"/>
      <w:r w:rsidRPr="00855854">
        <w:rPr>
          <w:rFonts w:eastAsiaTheme="minorHAnsi"/>
          <w:color w:val="auto"/>
          <w:sz w:val="24"/>
          <w:szCs w:val="24"/>
          <w:lang w:eastAsia="en-US"/>
        </w:rPr>
        <w:t xml:space="preserve">, R. P. (2014), ‘Cognitive vulnerability to bipolar disorder in offspring of parents with bipolar disorder’, </w:t>
      </w:r>
      <w:r w:rsidRPr="00855854">
        <w:rPr>
          <w:rFonts w:eastAsiaTheme="minorHAnsi"/>
          <w:i/>
          <w:color w:val="auto"/>
          <w:sz w:val="24"/>
          <w:szCs w:val="24"/>
          <w:lang w:eastAsia="en-US"/>
        </w:rPr>
        <w:t>The British Journal of Clinical Psychology</w:t>
      </w:r>
      <w:r w:rsidRPr="00855854">
        <w:rPr>
          <w:rFonts w:eastAsiaTheme="minorHAnsi"/>
          <w:color w:val="auto"/>
          <w:sz w:val="24"/>
          <w:szCs w:val="24"/>
          <w:lang w:eastAsia="en-US"/>
        </w:rPr>
        <w:t>, Vol. 53, Part 4, November, pp.386 – 401.</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spacing w:after="160" w:line="360" w:lineRule="auto"/>
        <w:jc w:val="both"/>
        <w:textAlignment w:val="auto"/>
        <w:rPr>
          <w:rFonts w:eastAsia="Calibri"/>
          <w:color w:val="auto"/>
          <w:sz w:val="24"/>
          <w:szCs w:val="24"/>
          <w:lang w:eastAsia="en-US"/>
        </w:rPr>
      </w:pPr>
      <w:r w:rsidRPr="00855854">
        <w:rPr>
          <w:rFonts w:eastAsia="Calibri"/>
          <w:color w:val="auto"/>
          <w:sz w:val="24"/>
          <w:szCs w:val="24"/>
          <w:lang w:eastAsia="en-US"/>
        </w:rPr>
        <w:t xml:space="preserve">Payne, M. (2011), </w:t>
      </w:r>
      <w:r w:rsidRPr="00855854">
        <w:rPr>
          <w:rFonts w:eastAsia="Calibri"/>
          <w:i/>
          <w:color w:val="auto"/>
          <w:sz w:val="24"/>
          <w:szCs w:val="24"/>
          <w:lang w:eastAsia="en-US"/>
        </w:rPr>
        <w:t>Humanistic Social Work: Core Principles in Practice</w:t>
      </w:r>
      <w:r w:rsidRPr="00855854">
        <w:rPr>
          <w:rFonts w:eastAsia="Calibri"/>
          <w:color w:val="auto"/>
          <w:sz w:val="24"/>
          <w:szCs w:val="24"/>
          <w:lang w:eastAsia="en-US"/>
        </w:rPr>
        <w:t>. Basingstoke: Palgrave Macmillan.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Prison Advice and Care Trust 2019. ‘Who we are’ [online]. Available at: &lt; </w:t>
      </w:r>
      <w:hyperlink r:id="rId12" w:history="1">
        <w:r w:rsidRPr="00855854">
          <w:rPr>
            <w:rFonts w:eastAsiaTheme="minorHAnsi"/>
            <w:color w:val="0563C1" w:themeColor="hyperlink"/>
            <w:sz w:val="24"/>
            <w:szCs w:val="24"/>
            <w:u w:val="single"/>
            <w:lang w:eastAsia="en-US"/>
          </w:rPr>
          <w:t>https://www.prisonadvice.org.uk/</w:t>
        </w:r>
      </w:hyperlink>
      <w:r w:rsidRPr="00855854">
        <w:rPr>
          <w:rFonts w:eastAsiaTheme="minorHAnsi"/>
          <w:color w:val="auto"/>
          <w:sz w:val="24"/>
          <w:szCs w:val="24"/>
          <w:lang w:eastAsia="en-US"/>
        </w:rPr>
        <w:t>&gt; [Accessed 1 September 2019].</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Prison Reform Trust 2019. ‘What we do. Project and Research. Resettlement’ [online]. Available at: &lt; </w:t>
      </w:r>
      <w:hyperlink r:id="rId13" w:history="1">
        <w:r w:rsidRPr="00855854">
          <w:rPr>
            <w:rFonts w:eastAsiaTheme="minorHAnsi"/>
            <w:color w:val="0000FF"/>
            <w:sz w:val="24"/>
            <w:szCs w:val="24"/>
            <w:u w:val="single"/>
            <w:lang w:eastAsia="en-US"/>
          </w:rPr>
          <w:t>http://www.prisonreformtrust.org.uk/WhatWeDo/Projectsresearch/Resettlement</w:t>
        </w:r>
      </w:hyperlink>
      <w:r w:rsidRPr="00855854">
        <w:rPr>
          <w:rFonts w:eastAsiaTheme="minorHAnsi"/>
          <w:color w:val="auto"/>
          <w:sz w:val="24"/>
          <w:szCs w:val="24"/>
          <w:lang w:eastAsia="en-US"/>
        </w:rPr>
        <w:t>&gt; [Accessed 1 September 2019]</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roofErr w:type="spellStart"/>
      <w:r w:rsidRPr="00855854">
        <w:rPr>
          <w:rFonts w:eastAsiaTheme="minorHAnsi"/>
          <w:color w:val="auto"/>
          <w:sz w:val="24"/>
          <w:szCs w:val="24"/>
          <w:lang w:eastAsia="en-US"/>
        </w:rPr>
        <w:t>Schon</w:t>
      </w:r>
      <w:proofErr w:type="spellEnd"/>
      <w:r w:rsidRPr="00855854">
        <w:rPr>
          <w:rFonts w:eastAsiaTheme="minorHAnsi"/>
          <w:color w:val="auto"/>
          <w:sz w:val="24"/>
          <w:szCs w:val="24"/>
          <w:lang w:eastAsia="en-US"/>
        </w:rPr>
        <w:t xml:space="preserve">, D. A. (1983), </w:t>
      </w:r>
      <w:r w:rsidRPr="00855854">
        <w:rPr>
          <w:rFonts w:eastAsiaTheme="minorHAnsi"/>
          <w:i/>
          <w:color w:val="auto"/>
          <w:sz w:val="24"/>
          <w:szCs w:val="24"/>
          <w:lang w:eastAsia="en-US"/>
        </w:rPr>
        <w:t xml:space="preserve">The Reflective Practitioner: How Professionals Think in Action. </w:t>
      </w:r>
      <w:r w:rsidRPr="00855854">
        <w:rPr>
          <w:rFonts w:eastAsiaTheme="minorHAnsi"/>
          <w:color w:val="auto"/>
          <w:sz w:val="24"/>
          <w:szCs w:val="24"/>
          <w:lang w:eastAsia="en-US"/>
        </w:rPr>
        <w:t>New York: Basic Books.</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Seidman, S. (2004), </w:t>
      </w:r>
      <w:r w:rsidRPr="00855854">
        <w:rPr>
          <w:rFonts w:eastAsiaTheme="minorHAnsi"/>
          <w:i/>
          <w:color w:val="auto"/>
          <w:sz w:val="24"/>
          <w:szCs w:val="24"/>
          <w:lang w:eastAsia="en-US"/>
        </w:rPr>
        <w:t>Contested Knowledge: Social Theory Today</w:t>
      </w:r>
      <w:r w:rsidRPr="00855854">
        <w:rPr>
          <w:rFonts w:eastAsiaTheme="minorHAnsi"/>
          <w:color w:val="auto"/>
          <w:sz w:val="24"/>
          <w:szCs w:val="24"/>
          <w:lang w:eastAsia="en-US"/>
        </w:rPr>
        <w:t xml:space="preserve">. 3rd ed. </w:t>
      </w:r>
      <w:proofErr w:type="spellStart"/>
      <w:r w:rsidRPr="00855854">
        <w:rPr>
          <w:rFonts w:eastAsiaTheme="minorHAnsi"/>
          <w:color w:val="auto"/>
          <w:sz w:val="24"/>
          <w:szCs w:val="24"/>
          <w:lang w:eastAsia="en-US"/>
        </w:rPr>
        <w:t>Malde</w:t>
      </w:r>
      <w:proofErr w:type="spellEnd"/>
      <w:r w:rsidRPr="00855854">
        <w:rPr>
          <w:rFonts w:eastAsiaTheme="minorHAnsi"/>
          <w:color w:val="auto"/>
          <w:sz w:val="24"/>
          <w:szCs w:val="24"/>
          <w:lang w:eastAsia="en-US"/>
        </w:rPr>
        <w:t>: Blackwell.</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Shelter (2015), </w:t>
      </w:r>
      <w:r w:rsidRPr="00855854">
        <w:rPr>
          <w:rFonts w:eastAsiaTheme="minorHAnsi"/>
          <w:i/>
          <w:color w:val="auto"/>
          <w:sz w:val="24"/>
          <w:szCs w:val="24"/>
          <w:lang w:eastAsia="en-US"/>
        </w:rPr>
        <w:t xml:space="preserve">Settled: Good Practice in Homelessness Prevention </w:t>
      </w:r>
      <w:proofErr w:type="gramStart"/>
      <w:r w:rsidRPr="00855854">
        <w:rPr>
          <w:rFonts w:eastAsiaTheme="minorHAnsi"/>
          <w:i/>
          <w:color w:val="auto"/>
          <w:sz w:val="24"/>
          <w:szCs w:val="24"/>
          <w:lang w:eastAsia="en-US"/>
        </w:rPr>
        <w:t>Among</w:t>
      </w:r>
      <w:proofErr w:type="gramEnd"/>
      <w:r w:rsidRPr="00855854">
        <w:rPr>
          <w:rFonts w:eastAsiaTheme="minorHAnsi"/>
          <w:i/>
          <w:color w:val="auto"/>
          <w:sz w:val="24"/>
          <w:szCs w:val="24"/>
          <w:lang w:eastAsia="en-US"/>
        </w:rPr>
        <w:t xml:space="preserve"> Prison Leavers</w:t>
      </w:r>
      <w:r w:rsidRPr="00855854">
        <w:rPr>
          <w:rFonts w:eastAsiaTheme="minorHAnsi"/>
          <w:color w:val="auto"/>
          <w:sz w:val="24"/>
          <w:szCs w:val="24"/>
          <w:lang w:eastAsia="en-US"/>
        </w:rPr>
        <w:t xml:space="preserve">. Cardiff: Shelter </w:t>
      </w:r>
      <w:proofErr w:type="spellStart"/>
      <w:r w:rsidRPr="00855854">
        <w:rPr>
          <w:rFonts w:eastAsiaTheme="minorHAnsi"/>
          <w:color w:val="auto"/>
          <w:sz w:val="24"/>
          <w:szCs w:val="24"/>
          <w:lang w:eastAsia="en-US"/>
        </w:rPr>
        <w:t>Cymru</w:t>
      </w:r>
      <w:proofErr w:type="spellEnd"/>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lastRenderedPageBreak/>
        <w:t xml:space="preserve">Sheppard, M. and Charles, M. (2014), ‘Critical thinking and interpersonal dispositions in those commencing social work training’, </w:t>
      </w:r>
      <w:r w:rsidRPr="00855854">
        <w:rPr>
          <w:rFonts w:eastAsiaTheme="minorHAnsi"/>
          <w:i/>
          <w:color w:val="auto"/>
          <w:sz w:val="24"/>
          <w:szCs w:val="24"/>
          <w:lang w:eastAsia="en-US"/>
        </w:rPr>
        <w:t>The British Journal of Social Work</w:t>
      </w:r>
      <w:r w:rsidRPr="00855854">
        <w:rPr>
          <w:rFonts w:eastAsiaTheme="minorHAnsi"/>
          <w:color w:val="auto"/>
          <w:sz w:val="24"/>
          <w:szCs w:val="24"/>
          <w:lang w:eastAsia="en-US"/>
        </w:rPr>
        <w:t>, Vol. 44, Number 7, pp. 2057 – 2066.</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roofErr w:type="spellStart"/>
      <w:r w:rsidRPr="00855854">
        <w:rPr>
          <w:rFonts w:eastAsiaTheme="minorHAnsi"/>
          <w:color w:val="auto"/>
          <w:sz w:val="24"/>
          <w:szCs w:val="24"/>
          <w:lang w:eastAsia="en-US"/>
        </w:rPr>
        <w:t>Teater</w:t>
      </w:r>
      <w:proofErr w:type="spellEnd"/>
      <w:r w:rsidRPr="00855854">
        <w:rPr>
          <w:rFonts w:eastAsiaTheme="minorHAnsi"/>
          <w:color w:val="auto"/>
          <w:sz w:val="24"/>
          <w:szCs w:val="24"/>
          <w:lang w:eastAsia="en-US"/>
        </w:rPr>
        <w:t xml:space="preserve">, B. (2012), </w:t>
      </w:r>
      <w:proofErr w:type="gramStart"/>
      <w:r w:rsidRPr="00855854">
        <w:rPr>
          <w:rFonts w:eastAsiaTheme="minorHAnsi"/>
          <w:i/>
          <w:color w:val="auto"/>
          <w:sz w:val="24"/>
          <w:szCs w:val="24"/>
          <w:lang w:eastAsia="en-US"/>
        </w:rPr>
        <w:t>An</w:t>
      </w:r>
      <w:proofErr w:type="gramEnd"/>
      <w:r w:rsidRPr="00855854">
        <w:rPr>
          <w:rFonts w:eastAsiaTheme="minorHAnsi"/>
          <w:i/>
          <w:color w:val="auto"/>
          <w:sz w:val="24"/>
          <w:szCs w:val="24"/>
          <w:lang w:eastAsia="en-US"/>
        </w:rPr>
        <w:t xml:space="preserve"> Introduction To Applying Social Work Theories And Methods.</w:t>
      </w:r>
      <w:r w:rsidRPr="00855854">
        <w:rPr>
          <w:rFonts w:eastAsiaTheme="minorHAnsi"/>
          <w:color w:val="auto"/>
          <w:sz w:val="24"/>
          <w:szCs w:val="24"/>
          <w:lang w:eastAsia="en-US"/>
        </w:rPr>
        <w:t xml:space="preserve"> Maidenhead: Open University Press.</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Thompson, N. (2012), </w:t>
      </w:r>
      <w:r w:rsidRPr="00855854">
        <w:rPr>
          <w:rFonts w:eastAsiaTheme="minorHAnsi"/>
          <w:i/>
          <w:color w:val="auto"/>
          <w:sz w:val="24"/>
          <w:szCs w:val="24"/>
          <w:lang w:eastAsia="en-US"/>
        </w:rPr>
        <w:t>Anti-Discriminatory Practice</w:t>
      </w:r>
      <w:r w:rsidRPr="00855854">
        <w:rPr>
          <w:rFonts w:eastAsiaTheme="minorHAnsi"/>
          <w:color w:val="auto"/>
          <w:sz w:val="24"/>
          <w:szCs w:val="24"/>
          <w:lang w:eastAsia="en-US"/>
        </w:rPr>
        <w:t>. 5th ed. Basingstoke: Palgrave Macmillan.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Trevithick, P. (2012), </w:t>
      </w:r>
      <w:r w:rsidRPr="00855854">
        <w:rPr>
          <w:rFonts w:eastAsiaTheme="minorHAnsi"/>
          <w:i/>
          <w:color w:val="auto"/>
          <w:sz w:val="24"/>
          <w:szCs w:val="24"/>
          <w:lang w:eastAsia="en-US"/>
        </w:rPr>
        <w:t>Social Work Skills: A Practice Handbook</w:t>
      </w:r>
      <w:r w:rsidRPr="00855854">
        <w:rPr>
          <w:rFonts w:eastAsiaTheme="minorHAnsi"/>
          <w:color w:val="auto"/>
          <w:sz w:val="24"/>
          <w:szCs w:val="24"/>
          <w:lang w:eastAsia="en-US"/>
        </w:rPr>
        <w:t>. 3rd ed. Maidenhead: Open University Press.</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roofErr w:type="spellStart"/>
      <w:r w:rsidRPr="00855854">
        <w:rPr>
          <w:rFonts w:eastAsiaTheme="minorHAnsi"/>
          <w:color w:val="auto"/>
          <w:sz w:val="24"/>
          <w:szCs w:val="24"/>
          <w:lang w:eastAsia="en-US"/>
        </w:rPr>
        <w:t>Turbett</w:t>
      </w:r>
      <w:proofErr w:type="spellEnd"/>
      <w:r w:rsidRPr="00855854">
        <w:rPr>
          <w:rFonts w:eastAsiaTheme="minorHAnsi"/>
          <w:color w:val="auto"/>
          <w:sz w:val="24"/>
          <w:szCs w:val="24"/>
          <w:lang w:eastAsia="en-US"/>
        </w:rPr>
        <w:t xml:space="preserve">, C. (2014), </w:t>
      </w:r>
      <w:r w:rsidRPr="00855854">
        <w:rPr>
          <w:rFonts w:eastAsiaTheme="minorHAnsi"/>
          <w:i/>
          <w:color w:val="auto"/>
          <w:sz w:val="24"/>
          <w:szCs w:val="24"/>
          <w:lang w:eastAsia="en-US"/>
        </w:rPr>
        <w:t>Doing Radical Social Work</w:t>
      </w:r>
      <w:r w:rsidRPr="00855854">
        <w:rPr>
          <w:rFonts w:eastAsiaTheme="minorHAnsi"/>
          <w:color w:val="auto"/>
          <w:sz w:val="24"/>
          <w:szCs w:val="24"/>
          <w:lang w:eastAsia="en-US"/>
        </w:rPr>
        <w:t>. Basingstoke: Palgrave Macmillan.</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Welsh Government (2016),</w:t>
      </w:r>
      <w:r w:rsidRPr="00855854">
        <w:rPr>
          <w:rFonts w:eastAsiaTheme="minorHAnsi"/>
          <w:i/>
          <w:color w:val="auto"/>
          <w:sz w:val="24"/>
          <w:szCs w:val="24"/>
          <w:lang w:eastAsia="en-US"/>
        </w:rPr>
        <w:t xml:space="preserve"> </w:t>
      </w:r>
      <w:proofErr w:type="gramStart"/>
      <w:r w:rsidRPr="00855854">
        <w:rPr>
          <w:rFonts w:eastAsiaTheme="minorHAnsi"/>
          <w:i/>
          <w:color w:val="auto"/>
          <w:sz w:val="24"/>
          <w:szCs w:val="24"/>
          <w:lang w:eastAsia="en-US"/>
        </w:rPr>
        <w:t>The</w:t>
      </w:r>
      <w:proofErr w:type="gramEnd"/>
      <w:r w:rsidRPr="00855854">
        <w:rPr>
          <w:rFonts w:eastAsiaTheme="minorHAnsi"/>
          <w:i/>
          <w:color w:val="auto"/>
          <w:sz w:val="24"/>
          <w:szCs w:val="24"/>
          <w:lang w:eastAsia="en-US"/>
        </w:rPr>
        <w:t xml:space="preserve"> guidance to Social Services and Wellbeing (Wales) Act 2014: Working Together to Safeguard People.</w:t>
      </w:r>
      <w:r w:rsidRPr="00855854">
        <w:rPr>
          <w:rFonts w:eastAsiaTheme="minorHAnsi"/>
          <w:color w:val="auto"/>
          <w:sz w:val="24"/>
          <w:szCs w:val="24"/>
          <w:lang w:eastAsia="en-US"/>
        </w:rPr>
        <w:t xml:space="preserve"> Cardiff: Welsh Government</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Welsh Government (2018), </w:t>
      </w:r>
      <w:r w:rsidRPr="00855854">
        <w:rPr>
          <w:rFonts w:eastAsiaTheme="minorHAnsi"/>
          <w:i/>
          <w:color w:val="auto"/>
          <w:sz w:val="24"/>
          <w:szCs w:val="24"/>
          <w:lang w:eastAsia="en-US"/>
        </w:rPr>
        <w:t>All Wales Child Protection Procedures 2008</w:t>
      </w:r>
      <w:r w:rsidRPr="00855854">
        <w:rPr>
          <w:rFonts w:eastAsiaTheme="minorHAnsi"/>
          <w:color w:val="auto"/>
          <w:sz w:val="24"/>
          <w:szCs w:val="24"/>
          <w:lang w:eastAsia="en-US"/>
        </w:rPr>
        <w:t>. Cardiff: Welsh Government</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r w:rsidRPr="00855854">
        <w:rPr>
          <w:rFonts w:eastAsiaTheme="minorHAnsi"/>
          <w:color w:val="auto"/>
          <w:sz w:val="24"/>
          <w:szCs w:val="24"/>
          <w:lang w:eastAsia="en-US"/>
        </w:rPr>
        <w:t xml:space="preserve">Williams, J. 2018. ‘Adult safeguarding and the Social Services and Well-being (Wales) Act 2014’ [online]. Available at: &lt; </w:t>
      </w:r>
      <w:hyperlink r:id="rId14" w:history="1">
        <w:r w:rsidRPr="00855854">
          <w:rPr>
            <w:rFonts w:eastAsiaTheme="minorHAnsi"/>
            <w:color w:val="0563C1" w:themeColor="hyperlink"/>
            <w:sz w:val="24"/>
            <w:szCs w:val="24"/>
            <w:u w:val="single"/>
            <w:lang w:eastAsia="en-US"/>
          </w:rPr>
          <w:t>https://adults.ccinform.co.uk/practice-guidance/adult-safeguarding-and-the-social-services-and-well-being-wales-act-2014/</w:t>
        </w:r>
      </w:hyperlink>
      <w:r w:rsidRPr="00855854">
        <w:rPr>
          <w:rFonts w:eastAsiaTheme="minorHAnsi"/>
          <w:color w:val="auto"/>
          <w:sz w:val="24"/>
          <w:szCs w:val="24"/>
          <w:lang w:eastAsia="en-US"/>
        </w:rPr>
        <w:t>&gt; [Accessed 1 September 2019].</w:t>
      </w:r>
    </w:p>
    <w:p w:rsidR="00855854" w:rsidRPr="00855854" w:rsidRDefault="00855854" w:rsidP="00855854">
      <w:pPr>
        <w:overflowPunct/>
        <w:autoSpaceDE/>
        <w:autoSpaceDN/>
        <w:adjustRightInd/>
        <w:jc w:val="both"/>
        <w:textAlignment w:val="auto"/>
        <w:rPr>
          <w:rFonts w:eastAsiaTheme="minorHAnsi"/>
          <w:color w:val="auto"/>
          <w:sz w:val="24"/>
          <w:szCs w:val="24"/>
          <w:lang w:eastAsia="en-US"/>
        </w:rPr>
      </w:pPr>
    </w:p>
    <w:p w:rsidR="00855854" w:rsidRDefault="00D05041" w:rsidP="00855854">
      <w:pPr>
        <w:overflowPunct/>
        <w:autoSpaceDE/>
        <w:autoSpaceDN/>
        <w:adjustRightInd/>
        <w:jc w:val="both"/>
        <w:textAlignment w:val="auto"/>
        <w:rPr>
          <w:rFonts w:eastAsiaTheme="minorHAnsi"/>
          <w:color w:val="auto"/>
          <w:sz w:val="24"/>
          <w:szCs w:val="24"/>
          <w:lang w:eastAsia="en-US"/>
        </w:rPr>
      </w:pPr>
      <w:proofErr w:type="spellStart"/>
      <w:proofErr w:type="gramStart"/>
      <w:r>
        <w:rPr>
          <w:rFonts w:eastAsiaTheme="minorHAnsi"/>
          <w:color w:val="auto"/>
          <w:sz w:val="24"/>
          <w:szCs w:val="24"/>
          <w:lang w:eastAsia="en-US"/>
        </w:rPr>
        <w:t>x</w:t>
      </w:r>
      <w:r w:rsidR="00855854" w:rsidRPr="00855854">
        <w:rPr>
          <w:rFonts w:eastAsiaTheme="minorHAnsi"/>
          <w:color w:val="auto"/>
          <w:sz w:val="24"/>
          <w:szCs w:val="24"/>
          <w:lang w:eastAsia="en-US"/>
        </w:rPr>
        <w:t>xxx</w:t>
      </w:r>
      <w:proofErr w:type="spellEnd"/>
      <w:proofErr w:type="gramEnd"/>
      <w:r w:rsidR="00855854" w:rsidRPr="00855854">
        <w:rPr>
          <w:rFonts w:eastAsiaTheme="minorHAnsi"/>
          <w:color w:val="auto"/>
          <w:sz w:val="24"/>
          <w:szCs w:val="24"/>
          <w:lang w:eastAsia="en-US"/>
        </w:rPr>
        <w:t xml:space="preserve"> County Borough Council 2019. ‘Adult Social Care Department – Emergency Duty Service’ [online]. Available at: &lt; </w:t>
      </w:r>
      <w:hyperlink r:id="rId15" w:history="1">
        <w:r w:rsidRPr="008909FA">
          <w:rPr>
            <w:rStyle w:val="Hyperlink"/>
            <w:rFonts w:eastAsiaTheme="minorHAnsi"/>
            <w:sz w:val="24"/>
            <w:szCs w:val="24"/>
            <w:lang w:eastAsia="en-US"/>
          </w:rPr>
          <w:t>https://www.xxxx.gov.uk/english/council/social_services/emergency_duty_team.htm</w:t>
        </w:r>
      </w:hyperlink>
      <w:r w:rsidR="00855854" w:rsidRPr="00855854">
        <w:rPr>
          <w:rFonts w:eastAsiaTheme="minorHAnsi"/>
          <w:color w:val="auto"/>
          <w:sz w:val="24"/>
          <w:szCs w:val="24"/>
          <w:lang w:eastAsia="en-US"/>
        </w:rPr>
        <w:t>&gt; [Accessed at 1 September 2019].</w:t>
      </w:r>
    </w:p>
    <w:p w:rsidR="0015541E" w:rsidRDefault="0015541E" w:rsidP="00855854">
      <w:pPr>
        <w:overflowPunct/>
        <w:autoSpaceDE/>
        <w:autoSpaceDN/>
        <w:adjustRightInd/>
        <w:jc w:val="both"/>
        <w:textAlignment w:val="auto"/>
        <w:rPr>
          <w:rFonts w:eastAsiaTheme="minorHAnsi"/>
          <w:color w:val="auto"/>
          <w:sz w:val="24"/>
          <w:szCs w:val="24"/>
          <w:lang w:eastAsia="en-US"/>
        </w:rPr>
      </w:pPr>
    </w:p>
    <w:p w:rsidR="0015541E" w:rsidRPr="00855854" w:rsidRDefault="0015541E" w:rsidP="00855854">
      <w:pPr>
        <w:overflowPunct/>
        <w:autoSpaceDE/>
        <w:autoSpaceDN/>
        <w:adjustRightInd/>
        <w:jc w:val="both"/>
        <w:textAlignment w:val="auto"/>
        <w:rPr>
          <w:rFonts w:eastAsiaTheme="minorHAnsi"/>
          <w:color w:val="auto"/>
          <w:sz w:val="24"/>
          <w:szCs w:val="24"/>
          <w:lang w:eastAsia="en-US"/>
        </w:rPr>
      </w:pPr>
    </w:p>
    <w:p w:rsidR="0015541E" w:rsidRPr="0015541E" w:rsidRDefault="0015541E" w:rsidP="0015541E">
      <w:pPr>
        <w:overflowPunct/>
        <w:autoSpaceDE/>
        <w:autoSpaceDN/>
        <w:adjustRightInd/>
        <w:jc w:val="both"/>
        <w:textAlignment w:val="auto"/>
        <w:rPr>
          <w:rFonts w:eastAsiaTheme="minorHAnsi"/>
          <w:b/>
          <w:color w:val="auto"/>
          <w:sz w:val="24"/>
          <w:szCs w:val="24"/>
          <w:lang w:eastAsia="en-US"/>
        </w:rPr>
      </w:pPr>
      <w:r w:rsidRPr="0015541E">
        <w:rPr>
          <w:rFonts w:eastAsiaTheme="minorHAnsi"/>
          <w:b/>
          <w:color w:val="auto"/>
          <w:sz w:val="24"/>
          <w:szCs w:val="24"/>
          <w:lang w:eastAsia="en-US"/>
        </w:rPr>
        <w:t>Statutes</w:t>
      </w: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r w:rsidRPr="0015541E">
        <w:rPr>
          <w:rFonts w:eastAsiaTheme="minorHAnsi"/>
          <w:color w:val="auto"/>
          <w:sz w:val="24"/>
          <w:szCs w:val="24"/>
          <w:lang w:eastAsia="en-US"/>
        </w:rPr>
        <w:t>Children Act 1989/2004, London: HMSO</w:t>
      </w: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r w:rsidRPr="0015541E">
        <w:rPr>
          <w:rFonts w:eastAsiaTheme="minorHAnsi"/>
          <w:color w:val="auto"/>
          <w:sz w:val="24"/>
          <w:szCs w:val="24"/>
          <w:lang w:eastAsia="en-US"/>
        </w:rPr>
        <w:t>Criminal Justice Act 1967, London: HMSO</w:t>
      </w: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r w:rsidRPr="0015541E">
        <w:rPr>
          <w:rFonts w:eastAsiaTheme="minorHAnsi"/>
          <w:color w:val="auto"/>
          <w:sz w:val="24"/>
          <w:szCs w:val="24"/>
          <w:lang w:eastAsia="en-US"/>
        </w:rPr>
        <w:t>Data Protection Act 2018, London: HMSO</w:t>
      </w: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r w:rsidRPr="0015541E">
        <w:rPr>
          <w:rFonts w:eastAsiaTheme="minorHAnsi"/>
          <w:color w:val="auto"/>
          <w:sz w:val="24"/>
          <w:szCs w:val="24"/>
          <w:lang w:eastAsia="en-US"/>
        </w:rPr>
        <w:t>Housing (Wales) Act 2014, London: HMSO</w:t>
      </w: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r w:rsidRPr="0015541E">
        <w:rPr>
          <w:rFonts w:eastAsiaTheme="minorHAnsi"/>
          <w:color w:val="auto"/>
          <w:sz w:val="24"/>
          <w:szCs w:val="24"/>
          <w:lang w:eastAsia="en-US"/>
        </w:rPr>
        <w:t>Human Rights Act 1998, London: HMSO</w:t>
      </w: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r w:rsidRPr="0015541E">
        <w:rPr>
          <w:rFonts w:eastAsiaTheme="minorHAnsi"/>
          <w:color w:val="auto"/>
          <w:sz w:val="24"/>
          <w:szCs w:val="24"/>
          <w:lang w:eastAsia="en-US"/>
        </w:rPr>
        <w:t>Mental Capacity Act 2005, London: HMSO</w:t>
      </w: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p>
    <w:p w:rsidR="0015541E" w:rsidRDefault="0015541E" w:rsidP="0015541E">
      <w:pPr>
        <w:overflowPunct/>
        <w:autoSpaceDE/>
        <w:autoSpaceDN/>
        <w:adjustRightInd/>
        <w:jc w:val="both"/>
        <w:textAlignment w:val="auto"/>
        <w:rPr>
          <w:rFonts w:eastAsiaTheme="minorHAnsi"/>
          <w:color w:val="auto"/>
          <w:sz w:val="24"/>
          <w:szCs w:val="24"/>
          <w:lang w:eastAsia="en-US"/>
        </w:rPr>
      </w:pPr>
      <w:r w:rsidRPr="0015541E">
        <w:rPr>
          <w:rFonts w:eastAsiaTheme="minorHAnsi"/>
          <w:color w:val="auto"/>
          <w:sz w:val="24"/>
          <w:szCs w:val="24"/>
          <w:lang w:eastAsia="en-US"/>
        </w:rPr>
        <w:t>Social Services and Wellbeing (Wales) Act 2014, London: HMSO</w:t>
      </w: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p>
    <w:p w:rsidR="0015541E" w:rsidRPr="0015541E" w:rsidRDefault="0015541E" w:rsidP="0015541E">
      <w:pPr>
        <w:overflowPunct/>
        <w:autoSpaceDE/>
        <w:autoSpaceDN/>
        <w:adjustRightInd/>
        <w:jc w:val="both"/>
        <w:textAlignment w:val="auto"/>
        <w:rPr>
          <w:rFonts w:eastAsiaTheme="minorHAnsi"/>
          <w:color w:val="auto"/>
          <w:sz w:val="24"/>
          <w:szCs w:val="24"/>
          <w:lang w:eastAsia="en-US"/>
        </w:rPr>
      </w:pPr>
      <w:r w:rsidRPr="0015541E">
        <w:rPr>
          <w:rFonts w:eastAsiaTheme="minorHAnsi"/>
          <w:color w:val="auto"/>
          <w:sz w:val="24"/>
          <w:szCs w:val="24"/>
          <w:lang w:eastAsia="en-US"/>
        </w:rPr>
        <w:t>United Nations Convention on the Right of the Child 1989, London: UNICEF UK</w:t>
      </w:r>
    </w:p>
    <w:p w:rsidR="00500748" w:rsidRDefault="00500748" w:rsidP="0093018C">
      <w:pPr>
        <w:keepNext/>
        <w:jc w:val="center"/>
        <w:rPr>
          <w:b/>
          <w:sz w:val="24"/>
          <w:szCs w:val="24"/>
        </w:rPr>
      </w:pPr>
      <w:r w:rsidRPr="008B28E7">
        <w:rPr>
          <w:b/>
          <w:sz w:val="24"/>
          <w:szCs w:val="24"/>
        </w:rPr>
        <w:lastRenderedPageBreak/>
        <w:t xml:space="preserve">Section </w:t>
      </w:r>
      <w:r w:rsidR="00AE134C">
        <w:rPr>
          <w:b/>
          <w:sz w:val="24"/>
          <w:szCs w:val="24"/>
        </w:rPr>
        <w:t>8</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A61EB4">
        <w:rPr>
          <w:b/>
          <w:sz w:val="24"/>
          <w:szCs w:val="24"/>
        </w:rPr>
        <w:t>Ervins Jaudzems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61EB4">
        <w:rPr>
          <w:b/>
          <w:sz w:val="24"/>
          <w:szCs w:val="24"/>
        </w:rPr>
        <w:t xml:space="preserve"> 1811101</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rsidR="00DC4863" w:rsidRDefault="00DC4863" w:rsidP="00FF7EBB">
      <w:pPr>
        <w:pBdr>
          <w:top w:val="single" w:sz="6" w:space="1" w:color="auto"/>
          <w:left w:val="single" w:sz="6" w:space="1" w:color="auto"/>
          <w:bottom w:val="single" w:sz="6" w:space="1" w:color="auto"/>
          <w:right w:val="single" w:sz="6" w:space="1" w:color="auto"/>
        </w:pBdr>
        <w:jc w:val="both"/>
        <w:rPr>
          <w:b/>
          <w:sz w:val="24"/>
          <w:szCs w:val="24"/>
        </w:rPr>
      </w:pPr>
    </w:p>
    <w:p w:rsidR="00DC4863" w:rsidRDefault="00DC486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16 </w:t>
      </w:r>
      <w:proofErr w:type="spellStart"/>
      <w:r>
        <w:rPr>
          <w:b/>
          <w:sz w:val="24"/>
          <w:szCs w:val="24"/>
        </w:rPr>
        <w:t>Llys</w:t>
      </w:r>
      <w:proofErr w:type="spellEnd"/>
      <w:r>
        <w:rPr>
          <w:b/>
          <w:sz w:val="24"/>
          <w:szCs w:val="24"/>
        </w:rPr>
        <w:t xml:space="preserve"> </w:t>
      </w:r>
      <w:proofErr w:type="spellStart"/>
      <w:r>
        <w:rPr>
          <w:b/>
          <w:sz w:val="24"/>
          <w:szCs w:val="24"/>
        </w:rPr>
        <w:t>Nantgarw</w:t>
      </w:r>
      <w:proofErr w:type="spellEnd"/>
    </w:p>
    <w:p w:rsidR="00DC4863" w:rsidRDefault="00DC486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w:t>
      </w:r>
    </w:p>
    <w:p w:rsidR="00DC4863" w:rsidRPr="008B28E7" w:rsidRDefault="00DC486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7 SZ</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DC4863">
        <w:rPr>
          <w:b/>
          <w:sz w:val="24"/>
          <w:szCs w:val="24"/>
        </w:rPr>
        <w:t xml:space="preserve"> 07535495751</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DC4863">
        <w:rPr>
          <w:b/>
          <w:sz w:val="24"/>
          <w:szCs w:val="24"/>
        </w:rPr>
        <w:t xml:space="preserve"> ervinjaudzems@gmail.com</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C4863">
        <w:rPr>
          <w:b/>
          <w:sz w:val="24"/>
          <w:szCs w:val="24"/>
        </w:rPr>
        <w:t>26/10/2016</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C4863">
        <w:rPr>
          <w:b/>
          <w:sz w:val="24"/>
          <w:szCs w:val="24"/>
        </w:rPr>
        <w:t xml:space="preserve"> 23/09/2016</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rsidR="00CA01D1" w:rsidRDefault="00CA01D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Initial Response Team</w:t>
      </w:r>
    </w:p>
    <w:p w:rsidR="00CA01D1" w:rsidRDefault="00CA01D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Adult Social Care</w:t>
      </w:r>
    </w:p>
    <w:p w:rsidR="00CA01D1" w:rsidRDefault="00CA01D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 County Brought Council</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rsidR="00CA01D1" w:rsidRDefault="00CA01D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31 Chester Street</w:t>
      </w:r>
    </w:p>
    <w:p w:rsidR="00CA01D1" w:rsidRDefault="00CA01D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LL13 8BG</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A01D1">
        <w:rPr>
          <w:b/>
          <w:sz w:val="24"/>
          <w:szCs w:val="24"/>
        </w:rPr>
        <w:t xml:space="preserve"> 01978 298248</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CA01D1">
        <w:rPr>
          <w:b/>
          <w:sz w:val="24"/>
          <w:szCs w:val="24"/>
        </w:rPr>
        <w:t>irt@wrexham.gov.uk</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502B3">
        <w:rPr>
          <w:b/>
          <w:sz w:val="24"/>
          <w:szCs w:val="24"/>
        </w:rPr>
        <w:t>x</w:t>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r w:rsidR="00CA01D1">
        <w:rPr>
          <w:b/>
          <w:sz w:val="24"/>
          <w:szCs w:val="24"/>
        </w:rPr>
        <w:t xml:space="preserv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1254C">
        <w:rPr>
          <w:b/>
          <w:sz w:val="24"/>
          <w:szCs w:val="24"/>
        </w:rPr>
        <w:t xml:space="preserve"> Debra </w:t>
      </w:r>
      <w:proofErr w:type="spellStart"/>
      <w:r w:rsidR="00C1254C">
        <w:rPr>
          <w:b/>
          <w:sz w:val="24"/>
          <w:szCs w:val="24"/>
        </w:rPr>
        <w:t>Gonczarow</w:t>
      </w:r>
      <w:proofErr w:type="spellEnd"/>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rsidR="00C1254C" w:rsidRDefault="00C1254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31 Chester Street</w:t>
      </w:r>
    </w:p>
    <w:p w:rsidR="00C1254C" w:rsidRDefault="00C1254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w:t>
      </w:r>
    </w:p>
    <w:p w:rsidR="00C1254C" w:rsidRPr="008B28E7" w:rsidRDefault="00C1254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8BG</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C1254C">
        <w:rPr>
          <w:b/>
          <w:sz w:val="24"/>
          <w:szCs w:val="24"/>
        </w:rPr>
        <w:t xml:space="preserve"> 01978 298248</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C1254C">
        <w:rPr>
          <w:b/>
          <w:sz w:val="24"/>
          <w:szCs w:val="24"/>
        </w:rPr>
        <w:t xml:space="preserve"> debra.gonczarow@wrexham.gov.uk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r w:rsidR="00D03022">
              <w:rPr>
                <w:b/>
                <w:sz w:val="24"/>
                <w:szCs w:val="24"/>
              </w:rPr>
              <w:t xml:space="preserve">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D03022">
              <w:rPr>
                <w:b/>
                <w:sz w:val="24"/>
                <w:szCs w:val="24"/>
              </w:rPr>
              <w:t xml:space="preserve"> Debra </w:t>
            </w:r>
            <w:proofErr w:type="spellStart"/>
            <w:r w:rsidR="00D03022">
              <w:rPr>
                <w:b/>
                <w:sz w:val="24"/>
                <w:szCs w:val="24"/>
              </w:rPr>
              <w:t>Gonczarow</w:t>
            </w:r>
            <w:proofErr w:type="spellEnd"/>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p>
          <w:p w:rsidR="00D03022" w:rsidRDefault="00D03022" w:rsidP="00FF7EBB">
            <w:pPr>
              <w:jc w:val="both"/>
              <w:rPr>
                <w:b/>
                <w:sz w:val="24"/>
                <w:szCs w:val="24"/>
              </w:rPr>
            </w:pPr>
          </w:p>
          <w:p w:rsidR="00D03022" w:rsidRDefault="00D03022" w:rsidP="00FF7EBB">
            <w:pPr>
              <w:jc w:val="both"/>
              <w:rPr>
                <w:b/>
                <w:sz w:val="24"/>
                <w:szCs w:val="24"/>
              </w:rPr>
            </w:pPr>
            <w:r>
              <w:rPr>
                <w:b/>
                <w:sz w:val="24"/>
                <w:szCs w:val="24"/>
              </w:rPr>
              <w:t>Initial Response Team</w:t>
            </w:r>
          </w:p>
          <w:p w:rsidR="00D03022" w:rsidRDefault="00D03022" w:rsidP="00FF7EBB">
            <w:pPr>
              <w:jc w:val="both"/>
              <w:rPr>
                <w:b/>
                <w:sz w:val="24"/>
                <w:szCs w:val="24"/>
              </w:rPr>
            </w:pPr>
            <w:r>
              <w:rPr>
                <w:b/>
                <w:sz w:val="24"/>
                <w:szCs w:val="24"/>
              </w:rPr>
              <w:t>Adult Social Care</w:t>
            </w:r>
          </w:p>
          <w:p w:rsidR="00D03022" w:rsidRDefault="00D03022" w:rsidP="00FF7EBB">
            <w:pPr>
              <w:jc w:val="both"/>
              <w:rPr>
                <w:b/>
                <w:sz w:val="24"/>
                <w:szCs w:val="24"/>
              </w:rPr>
            </w:pPr>
            <w:r>
              <w:rPr>
                <w:b/>
                <w:sz w:val="24"/>
                <w:szCs w:val="24"/>
              </w:rPr>
              <w:t>WCBC</w:t>
            </w:r>
          </w:p>
          <w:p w:rsidR="00D03022" w:rsidRDefault="00D03022" w:rsidP="00FF7EBB">
            <w:pPr>
              <w:jc w:val="both"/>
              <w:rPr>
                <w:b/>
                <w:sz w:val="24"/>
                <w:szCs w:val="24"/>
              </w:rPr>
            </w:pPr>
            <w:r>
              <w:rPr>
                <w:b/>
                <w:sz w:val="24"/>
                <w:szCs w:val="24"/>
              </w:rPr>
              <w:t>31 Chester Street</w:t>
            </w:r>
          </w:p>
          <w:p w:rsidR="00D03022" w:rsidRDefault="00D03022" w:rsidP="00FF7EBB">
            <w:pPr>
              <w:jc w:val="both"/>
              <w:rPr>
                <w:b/>
                <w:sz w:val="24"/>
                <w:szCs w:val="24"/>
              </w:rPr>
            </w:pPr>
            <w:r>
              <w:rPr>
                <w:b/>
                <w:sz w:val="24"/>
                <w:szCs w:val="24"/>
              </w:rPr>
              <w:t>Wrexham</w:t>
            </w:r>
          </w:p>
          <w:p w:rsidR="00D03022" w:rsidRDefault="00D03022" w:rsidP="00FF7EBB">
            <w:pPr>
              <w:jc w:val="both"/>
              <w:rPr>
                <w:b/>
                <w:sz w:val="24"/>
                <w:szCs w:val="24"/>
              </w:rPr>
            </w:pPr>
            <w:r>
              <w:rPr>
                <w:b/>
                <w:sz w:val="24"/>
                <w:szCs w:val="24"/>
              </w:rPr>
              <w:t>LL13 8BG</w:t>
            </w:r>
          </w:p>
          <w:p w:rsidR="004923DA" w:rsidRPr="008B28E7"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Professional Qualification and date of qualification:</w:t>
            </w:r>
            <w:r w:rsidR="00D03022">
              <w:rPr>
                <w:b/>
                <w:sz w:val="24"/>
                <w:szCs w:val="24"/>
              </w:rPr>
              <w:t xml:space="preserve"> Assistant Team Manager</w:t>
            </w:r>
          </w:p>
          <w:p w:rsidR="004923DA" w:rsidRDefault="004923DA" w:rsidP="00FF7EBB">
            <w:pPr>
              <w:jc w:val="both"/>
              <w:rPr>
                <w:b/>
                <w:sz w:val="24"/>
                <w:szCs w:val="24"/>
              </w:rPr>
            </w:pPr>
          </w:p>
          <w:p w:rsidR="00D03022"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D03022">
              <w:rPr>
                <w:b/>
                <w:sz w:val="24"/>
                <w:szCs w:val="24"/>
              </w:rPr>
              <w:t xml:space="preserve"> </w:t>
            </w:r>
          </w:p>
          <w:p w:rsidR="00D03022" w:rsidRDefault="00D03022" w:rsidP="00FF7EBB">
            <w:pPr>
              <w:jc w:val="both"/>
              <w:rPr>
                <w:b/>
                <w:sz w:val="24"/>
                <w:szCs w:val="24"/>
              </w:rPr>
            </w:pPr>
          </w:p>
          <w:p w:rsidR="004923DA" w:rsidRDefault="00D03022" w:rsidP="00FF7EBB">
            <w:pPr>
              <w:jc w:val="both"/>
              <w:rPr>
                <w:b/>
                <w:sz w:val="24"/>
                <w:szCs w:val="24"/>
              </w:rPr>
            </w:pPr>
            <w:bookmarkStart w:id="0" w:name="_GoBack"/>
            <w:bookmarkEnd w:id="0"/>
            <w:r>
              <w:rPr>
                <w:b/>
                <w:sz w:val="24"/>
                <w:szCs w:val="24"/>
              </w:rPr>
              <w:t>01978 298248</w:t>
            </w:r>
          </w:p>
          <w:p w:rsidR="00D03022" w:rsidRDefault="00D03022" w:rsidP="00FF7EBB">
            <w:pPr>
              <w:jc w:val="both"/>
              <w:rPr>
                <w:b/>
                <w:sz w:val="24"/>
                <w:szCs w:val="24"/>
              </w:rPr>
            </w:pPr>
          </w:p>
          <w:p w:rsidR="00D03022" w:rsidRPr="008B28E7" w:rsidRDefault="00D03022" w:rsidP="00FF7EBB">
            <w:pPr>
              <w:jc w:val="both"/>
              <w:rPr>
                <w:b/>
                <w:sz w:val="24"/>
                <w:szCs w:val="24"/>
              </w:rPr>
            </w:pPr>
            <w:r>
              <w:rPr>
                <w:b/>
                <w:sz w:val="24"/>
                <w:szCs w:val="24"/>
              </w:rPr>
              <w:t>Debra.gonczarow@wrexham.gov.uk</w:t>
            </w:r>
          </w:p>
          <w:p w:rsidR="00B17FA0" w:rsidRPr="008B28E7" w:rsidRDefault="00B17FA0" w:rsidP="000E38C3">
            <w:pPr>
              <w:jc w:val="both"/>
              <w:rPr>
                <w:b/>
                <w:sz w:val="24"/>
                <w:szCs w:val="24"/>
              </w:rPr>
            </w:pPr>
          </w:p>
        </w:tc>
      </w:tr>
    </w:tbl>
    <w:p w:rsidR="00F546D1" w:rsidRDefault="00F546D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EA5042"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09/10/2019</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271A3F">
        <w:rPr>
          <w:sz w:val="24"/>
          <w:szCs w:val="24"/>
        </w:rPr>
        <w:t>09/10/2019</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1B331A" w:rsidRPr="008B28E7" w:rsidRDefault="001B331A" w:rsidP="00FF7EBB">
      <w:pPr>
        <w:ind w:right="180"/>
        <w:jc w:val="both"/>
        <w:rPr>
          <w:b/>
          <w:sz w:val="24"/>
          <w:szCs w:val="24"/>
        </w:rPr>
      </w:pPr>
    </w:p>
    <w:p w:rsidR="004923DA" w:rsidRPr="008B28E7" w:rsidRDefault="004923DA" w:rsidP="00FF7EBB">
      <w:pPr>
        <w:ind w:right="180"/>
        <w:jc w:val="both"/>
        <w:rPr>
          <w:b/>
          <w:sz w:val="24"/>
          <w:szCs w:val="24"/>
        </w:rPr>
      </w:pPr>
      <w:r w:rsidRPr="008B28E7">
        <w:rPr>
          <w:b/>
          <w:sz w:val="24"/>
          <w:szCs w:val="24"/>
        </w:rPr>
        <w:t xml:space="preserve"> Line manager verification</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D71040">
        <w:rPr>
          <w:caps/>
          <w:sz w:val="24"/>
          <w:szCs w:val="24"/>
        </w:rPr>
        <w:t>Debra Gonczarow</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 _ _ _ _ _ _ _ _ _ _ _ _ _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D71040">
        <w:rPr>
          <w:sz w:val="24"/>
          <w:szCs w:val="24"/>
        </w:rPr>
        <w:t>09/10/2019</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rsidR="00BB6638" w:rsidRDefault="00BB6638" w:rsidP="00BB6638">
      <w:pPr>
        <w:tabs>
          <w:tab w:val="left" w:pos="1590"/>
        </w:tabs>
        <w:jc w:val="both"/>
        <w:rPr>
          <w:b/>
          <w:sz w:val="24"/>
          <w:szCs w:val="24"/>
        </w:rPr>
      </w:pPr>
    </w:p>
    <w:p w:rsidR="00BB6638" w:rsidRPr="00BE10C2" w:rsidRDefault="00BB6638" w:rsidP="00BB6638">
      <w:pPr>
        <w:overflowPunct/>
        <w:autoSpaceDE/>
        <w:autoSpaceDN/>
        <w:adjustRightInd/>
        <w:textAlignment w:val="auto"/>
        <w:rPr>
          <w:color w:val="auto"/>
          <w:sz w:val="24"/>
          <w:szCs w:val="24"/>
        </w:rPr>
      </w:pPr>
    </w:p>
    <w:p w:rsidR="00986C0B" w:rsidRDefault="00986C0B" w:rsidP="00986C0B">
      <w:pPr>
        <w:ind w:right="72"/>
        <w:jc w:val="center"/>
        <w:rPr>
          <w:b/>
          <w:bCs/>
        </w:rPr>
      </w:pPr>
      <w:r>
        <w:rPr>
          <w:b/>
          <w:bCs/>
        </w:rPr>
        <w:t>PORTH AGORED and UNIVERSITY OF WALES, TRINITY SAINT DAVID</w:t>
      </w:r>
    </w:p>
    <w:p w:rsidR="00986C0B" w:rsidRDefault="00986C0B" w:rsidP="00986C0B">
      <w:pPr>
        <w:ind w:right="72"/>
        <w:rPr>
          <w:b/>
          <w:bCs/>
        </w:rPr>
      </w:pPr>
    </w:p>
    <w:p w:rsidR="00986C0B" w:rsidRDefault="00986C0B" w:rsidP="00986C0B">
      <w:pPr>
        <w:ind w:right="72"/>
        <w:jc w:val="center"/>
        <w:rPr>
          <w:b/>
          <w:bCs/>
        </w:rPr>
      </w:pPr>
      <w:r>
        <w:rPr>
          <w:b/>
          <w:bCs/>
        </w:rPr>
        <w:t>GRADUATE CERTIFICATE IN CONSOLIDATION OF SOCIAL WORK PRACTICE</w:t>
      </w:r>
    </w:p>
    <w:p w:rsidR="00986C0B" w:rsidRDefault="00986C0B" w:rsidP="00986C0B">
      <w:pPr>
        <w:ind w:right="72"/>
        <w:jc w:val="center"/>
        <w:rPr>
          <w:b/>
          <w:bCs/>
        </w:rPr>
      </w:pPr>
    </w:p>
    <w:p w:rsidR="00986C0B" w:rsidRDefault="00986C0B" w:rsidP="00986C0B">
      <w:pPr>
        <w:ind w:right="72"/>
        <w:jc w:val="center"/>
        <w:rPr>
          <w:b/>
          <w:bCs/>
        </w:rPr>
      </w:pPr>
      <w:r>
        <w:rPr>
          <w:b/>
          <w:bCs/>
        </w:rPr>
        <w:t xml:space="preserve">LEARNER AND EMPLOYER’S LEARNING AGREEMENT </w:t>
      </w:r>
    </w:p>
    <w:p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Default="00B2164D">
            <w:pPr>
              <w:rPr>
                <w:sz w:val="24"/>
                <w:szCs w:val="24"/>
              </w:rPr>
            </w:pPr>
            <w:r>
              <w:rPr>
                <w:sz w:val="24"/>
                <w:szCs w:val="24"/>
              </w:rPr>
              <w:t>Ervins Jaudzems</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Default="00B2164D">
            <w:pPr>
              <w:rPr>
                <w:sz w:val="24"/>
                <w:szCs w:val="24"/>
              </w:rPr>
            </w:pPr>
            <w:r>
              <w:rPr>
                <w:sz w:val="24"/>
                <w:szCs w:val="24"/>
              </w:rPr>
              <w:t>Initial Response Team, Adult Social Care, WCBC</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Default="00B2164D">
            <w:pPr>
              <w:rPr>
                <w:sz w:val="24"/>
                <w:szCs w:val="24"/>
              </w:rPr>
            </w:pPr>
            <w:r>
              <w:rPr>
                <w:sz w:val="24"/>
                <w:szCs w:val="24"/>
              </w:rPr>
              <w:t xml:space="preserve">Debra </w:t>
            </w:r>
            <w:proofErr w:type="spellStart"/>
            <w:r>
              <w:rPr>
                <w:sz w:val="24"/>
                <w:szCs w:val="24"/>
              </w:rPr>
              <w:t>Gonczarow</w:t>
            </w:r>
            <w:proofErr w:type="spellEnd"/>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Default="00B2164D">
            <w:pPr>
              <w:rPr>
                <w:sz w:val="24"/>
                <w:szCs w:val="24"/>
              </w:rPr>
            </w:pPr>
            <w:r>
              <w:rPr>
                <w:sz w:val="24"/>
                <w:szCs w:val="24"/>
              </w:rPr>
              <w:t xml:space="preserve">Debra </w:t>
            </w:r>
            <w:proofErr w:type="spellStart"/>
            <w:r>
              <w:rPr>
                <w:sz w:val="24"/>
                <w:szCs w:val="24"/>
              </w:rPr>
              <w:t>Gonczarow</w:t>
            </w:r>
            <w:proofErr w:type="spellEnd"/>
          </w:p>
        </w:tc>
      </w:tr>
    </w:tbl>
    <w:p w:rsidR="00986C0B" w:rsidRDefault="00986C0B" w:rsidP="00986C0B"/>
    <w:p w:rsidR="00986C0B" w:rsidRDefault="00986C0B" w:rsidP="00986C0B">
      <w:r>
        <w:rPr>
          <w:b/>
        </w:rPr>
        <w:t>Study Duty</w:t>
      </w:r>
    </w:p>
    <w:p w:rsidR="00986C0B" w:rsidRDefault="00986C0B" w:rsidP="00986C0B"/>
    <w:p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986C0B" w:rsidRDefault="00986C0B" w:rsidP="00986C0B">
      <w:pPr>
        <w:pStyle w:val="Title"/>
        <w:ind w:right="-1"/>
        <w:jc w:val="left"/>
        <w:rPr>
          <w:rFonts w:cs="Arial"/>
          <w:b w:val="0"/>
          <w:szCs w:val="24"/>
        </w:rPr>
      </w:pPr>
    </w:p>
    <w:p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rsidR="00986C0B" w:rsidRDefault="00986C0B" w:rsidP="00986C0B"/>
    <w:p w:rsidR="00986C0B" w:rsidRDefault="00986C0B" w:rsidP="00986C0B">
      <w:pPr>
        <w:rPr>
          <w:b/>
        </w:rPr>
      </w:pPr>
      <w:r>
        <w:rPr>
          <w:b/>
        </w:rPr>
        <w:t xml:space="preserve">Study Leave </w:t>
      </w:r>
    </w:p>
    <w:p w:rsidR="00986C0B" w:rsidRDefault="00986C0B" w:rsidP="00986C0B"/>
    <w:p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986C0B" w:rsidRDefault="00986C0B" w:rsidP="00986C0B"/>
    <w:p w:rsidR="00986C0B" w:rsidRDefault="00986C0B" w:rsidP="00986C0B">
      <w:pPr>
        <w:rPr>
          <w:b/>
        </w:rPr>
      </w:pPr>
      <w:r>
        <w:rPr>
          <w:b/>
        </w:rPr>
        <w:t xml:space="preserve">Resources </w:t>
      </w:r>
    </w:p>
    <w:p w:rsidR="00986C0B" w:rsidRDefault="00986C0B" w:rsidP="00986C0B"/>
    <w:p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986C0B" w:rsidRDefault="00986C0B" w:rsidP="00986C0B"/>
    <w:p w:rsidR="000766EC" w:rsidRDefault="000766EC" w:rsidP="00986C0B"/>
    <w:p w:rsidR="00986C0B" w:rsidRDefault="000766EC" w:rsidP="00986C0B">
      <w:pPr>
        <w:rPr>
          <w:b/>
        </w:rPr>
      </w:pPr>
      <w:r>
        <w:rPr>
          <w:b/>
        </w:rPr>
        <w:br w:type="page"/>
      </w:r>
      <w:r w:rsidR="00986C0B">
        <w:rPr>
          <w:b/>
        </w:rPr>
        <w:lastRenderedPageBreak/>
        <w:t xml:space="preserve">The employer’s training department agrees to: </w:t>
      </w:r>
    </w:p>
    <w:p w:rsidR="00986C0B" w:rsidRDefault="00986C0B" w:rsidP="00986C0B">
      <w:r>
        <w:t xml:space="preserve"> </w:t>
      </w:r>
    </w:p>
    <w:p w:rsidR="00986C0B" w:rsidRDefault="00986C0B" w:rsidP="00986C0B">
      <w:pPr>
        <w:numPr>
          <w:ilvl w:val="0"/>
          <w:numId w:val="46"/>
        </w:numPr>
        <w:overflowPunct/>
        <w:autoSpaceDE/>
        <w:autoSpaceDN/>
        <w:adjustRightInd/>
        <w:textAlignment w:val="auto"/>
      </w:pPr>
      <w:r>
        <w:t xml:space="preserve">Arrange for eligible staff to join the programme </w:t>
      </w:r>
    </w:p>
    <w:p w:rsidR="00986C0B" w:rsidRDefault="00986C0B" w:rsidP="00986C0B">
      <w:pPr>
        <w:numPr>
          <w:ilvl w:val="0"/>
          <w:numId w:val="46"/>
        </w:numPr>
        <w:overflowPunct/>
        <w:autoSpaceDE/>
        <w:autoSpaceDN/>
        <w:adjustRightInd/>
        <w:textAlignment w:val="auto"/>
      </w:pPr>
      <w:r>
        <w:t xml:space="preserve">pay course fees directly to the University  </w:t>
      </w:r>
    </w:p>
    <w:p w:rsidR="00986C0B" w:rsidRDefault="00986C0B" w:rsidP="00986C0B">
      <w:pPr>
        <w:numPr>
          <w:ilvl w:val="0"/>
          <w:numId w:val="47"/>
        </w:numPr>
        <w:overflowPunct/>
        <w:autoSpaceDE/>
        <w:autoSpaceDN/>
        <w:adjustRightInd/>
        <w:textAlignment w:val="auto"/>
      </w:pPr>
      <w:r>
        <w:t>provide additional guidance and support by:</w:t>
      </w:r>
    </w:p>
    <w:p w:rsidR="00986C0B" w:rsidRDefault="00986C0B" w:rsidP="00986C0B"/>
    <w:p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rsidR="00986C0B" w:rsidRDefault="00986C0B" w:rsidP="00986C0B">
      <w:pPr>
        <w:tabs>
          <w:tab w:val="left" w:pos="360"/>
        </w:tabs>
      </w:pPr>
    </w:p>
    <w:p w:rsidR="00986C0B" w:rsidRDefault="00986C0B" w:rsidP="00986C0B">
      <w:pPr>
        <w:rPr>
          <w:b/>
        </w:rPr>
      </w:pPr>
      <w:r>
        <w:rPr>
          <w:b/>
        </w:rPr>
        <w:t xml:space="preserve">The learner agrees to: </w:t>
      </w:r>
    </w:p>
    <w:p w:rsidR="00986C0B" w:rsidRDefault="00986C0B" w:rsidP="00986C0B"/>
    <w:p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rsidR="00986C0B" w:rsidRDefault="00986C0B" w:rsidP="00986C0B">
      <w:pPr>
        <w:numPr>
          <w:ilvl w:val="0"/>
          <w:numId w:val="49"/>
        </w:numPr>
        <w:overflowPunct/>
        <w:autoSpaceDE/>
        <w:autoSpaceDN/>
        <w:adjustRightInd/>
        <w:jc w:val="both"/>
        <w:textAlignment w:val="auto"/>
      </w:pPr>
      <w:r>
        <w:t>make and keep agreed appointments with mentor/line manager</w:t>
      </w:r>
    </w:p>
    <w:p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self study, research and portfolio preparation </w:t>
      </w:r>
    </w:p>
    <w:p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rsidR="00986C0B" w:rsidRDefault="00986C0B" w:rsidP="00986C0B"/>
    <w:p w:rsidR="00986C0B" w:rsidRDefault="00986C0B" w:rsidP="00986C0B">
      <w:pPr>
        <w:rPr>
          <w:b/>
        </w:rPr>
      </w:pPr>
    </w:p>
    <w:p w:rsidR="00986C0B" w:rsidRDefault="00986C0B" w:rsidP="00986C0B">
      <w:pPr>
        <w:rPr>
          <w:b/>
        </w:rPr>
      </w:pPr>
    </w:p>
    <w:p w:rsidR="00986C0B" w:rsidRDefault="00986C0B" w:rsidP="00986C0B">
      <w:pPr>
        <w:rPr>
          <w:b/>
        </w:rPr>
      </w:pPr>
      <w:r>
        <w:rPr>
          <w:b/>
        </w:rPr>
        <w:t>Line Manager/Mentor agrees to:</w:t>
      </w:r>
    </w:p>
    <w:p w:rsidR="00986C0B" w:rsidRDefault="00986C0B" w:rsidP="00986C0B"/>
    <w:p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986C0B" w:rsidRDefault="00986C0B" w:rsidP="00986C0B">
      <w:pPr>
        <w:numPr>
          <w:ilvl w:val="0"/>
          <w:numId w:val="50"/>
        </w:numPr>
        <w:overflowPunct/>
        <w:autoSpaceDE/>
        <w:autoSpaceDN/>
        <w:adjustRightInd/>
        <w:textAlignment w:val="auto"/>
      </w:pPr>
      <w:r>
        <w:t>guide and support the learner for the duration of the programme</w:t>
      </w:r>
    </w:p>
    <w:p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986C0B" w:rsidRDefault="00986C0B" w:rsidP="00986C0B">
      <w:pPr>
        <w:rPr>
          <w:b/>
        </w:rPr>
      </w:pPr>
      <w:r>
        <w:rPr>
          <w:b/>
        </w:rPr>
        <w:lastRenderedPageBreak/>
        <w:t>Completion and submission of portfolio</w:t>
      </w:r>
    </w:p>
    <w:p w:rsidR="00986C0B" w:rsidRDefault="00986C0B" w:rsidP="00986C0B">
      <w:pPr>
        <w:rPr>
          <w:b/>
        </w:rPr>
      </w:pPr>
    </w:p>
    <w:p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986C0B" w:rsidRDefault="00986C0B" w:rsidP="00986C0B"/>
    <w:p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986C0B" w:rsidRDefault="00986C0B" w:rsidP="00986C0B">
      <w:pPr>
        <w:ind w:right="72"/>
      </w:pPr>
    </w:p>
    <w:p w:rsidR="00986C0B" w:rsidRDefault="00986C0B" w:rsidP="00986C0B">
      <w:r>
        <w:rPr>
          <w:b/>
        </w:rPr>
        <w:t>Pressure of work is not regarded as a reason for non-attendance at any Consolidation Workshop</w:t>
      </w:r>
      <w:r>
        <w:t>.</w:t>
      </w:r>
    </w:p>
    <w:p w:rsidR="00986C0B" w:rsidRDefault="00986C0B" w:rsidP="00986C0B"/>
    <w:p w:rsidR="00986C0B" w:rsidRDefault="00986C0B" w:rsidP="00986C0B">
      <w:r>
        <w:t>I understand and accept the terms and conditions of this learning agreement as stated above.</w:t>
      </w:r>
    </w:p>
    <w:p w:rsidR="00986C0B" w:rsidRDefault="00986C0B" w:rsidP="00986C0B"/>
    <w:p w:rsidR="00986C0B" w:rsidRDefault="00B2164D" w:rsidP="00986C0B">
      <w:r>
        <w:t>Signed</w:t>
      </w:r>
      <w:proofErr w:type="gramStart"/>
      <w:r>
        <w:t>:………………………..</w:t>
      </w:r>
      <w:proofErr w:type="gramEnd"/>
      <w:r>
        <w:t xml:space="preserve"> Print Name: Ervins Jaudzems Date: 05/11/2018</w:t>
      </w:r>
    </w:p>
    <w:p w:rsidR="00986C0B" w:rsidRDefault="00986C0B" w:rsidP="00986C0B">
      <w:r>
        <w:t>(Learner)</w:t>
      </w:r>
    </w:p>
    <w:p w:rsidR="00986C0B" w:rsidRDefault="00986C0B" w:rsidP="00986C0B"/>
    <w:p w:rsidR="00986C0B" w:rsidRDefault="00986C0B" w:rsidP="00986C0B">
      <w:r>
        <w:t>Signed</w:t>
      </w:r>
      <w:proofErr w:type="gramStart"/>
      <w:r>
        <w:t>:………………………..</w:t>
      </w:r>
      <w:proofErr w:type="gramEnd"/>
      <w:r>
        <w:t xml:space="preserve"> </w:t>
      </w:r>
      <w:r w:rsidR="00B2164D">
        <w:t xml:space="preserve">Print Name: Debra </w:t>
      </w:r>
      <w:proofErr w:type="spellStart"/>
      <w:r w:rsidR="00B2164D">
        <w:t>Gonczarow</w:t>
      </w:r>
      <w:proofErr w:type="spellEnd"/>
      <w:r w:rsidR="00B2164D">
        <w:t xml:space="preserve"> .Date:07/11/2018</w:t>
      </w:r>
    </w:p>
    <w:p w:rsidR="00986C0B" w:rsidRDefault="00986C0B" w:rsidP="00986C0B">
      <w:r>
        <w:t>(Line Manager/Mentor)</w:t>
      </w:r>
    </w:p>
    <w:p w:rsidR="00986C0B" w:rsidRDefault="00986C0B" w:rsidP="00986C0B"/>
    <w:p w:rsidR="00986C0B" w:rsidRDefault="00986C0B" w:rsidP="00986C0B">
      <w:r>
        <w:t>Signed</w:t>
      </w:r>
      <w:proofErr w:type="gramStart"/>
      <w:r>
        <w:t>:………………………..</w:t>
      </w:r>
      <w:proofErr w:type="gramEnd"/>
      <w:r w:rsidR="00B2164D">
        <w:t xml:space="preserve"> Print Name: Debra </w:t>
      </w:r>
      <w:proofErr w:type="spellStart"/>
      <w:r w:rsidR="00B2164D">
        <w:t>Gonczarow</w:t>
      </w:r>
      <w:proofErr w:type="spellEnd"/>
      <w:r w:rsidR="00B2164D">
        <w:t xml:space="preserve"> Date: 07/11/2018</w:t>
      </w:r>
    </w:p>
    <w:p w:rsidR="00986C0B" w:rsidRDefault="00986C0B" w:rsidP="00986C0B">
      <w:r>
        <w:t>(Mentor, if different to above)</w:t>
      </w:r>
    </w:p>
    <w:p w:rsidR="00986C0B" w:rsidRDefault="00986C0B" w:rsidP="00986C0B"/>
    <w:p w:rsidR="00986C0B" w:rsidRDefault="00986C0B" w:rsidP="00986C0B"/>
    <w:p w:rsidR="00986C0B" w:rsidRDefault="00986C0B" w:rsidP="00986C0B">
      <w:pPr>
        <w:rPr>
          <w:b/>
        </w:rPr>
      </w:pPr>
      <w:r>
        <w:rPr>
          <w:b/>
        </w:rPr>
        <w:t>PLEASE PLACE THE SIGNED COPY OF THIS LEARNING AGREEMENT IN SECTION 9 OF THE PORTFOLIO</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D021CB">
      <w:footerReference w:type="default" r:id="rId16"/>
      <w:footerReference w:type="first" r:id="rId17"/>
      <w:pgSz w:w="12240" w:h="15840"/>
      <w:pgMar w:top="1440" w:right="1080" w:bottom="1440" w:left="1080" w:header="720" w:footer="720" w:gutter="0"/>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F7DEF" w:rsidRDefault="00DF7DEF">
      <w:r>
        <w:separator/>
      </w:r>
    </w:p>
  </w:endnote>
  <w:endnote w:type="continuationSeparator" w:id="0">
    <w:p w:rsidR="00DF7DEF" w:rsidRDefault="00DF7D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5086845"/>
      <w:docPartObj>
        <w:docPartGallery w:val="Page Numbers (Bottom of Page)"/>
        <w:docPartUnique/>
      </w:docPartObj>
    </w:sdtPr>
    <w:sdtEndPr>
      <w:rPr>
        <w:noProof/>
      </w:rPr>
    </w:sdtEndPr>
    <w:sdtContent>
      <w:p w:rsidR="00855854" w:rsidRDefault="00855854">
        <w:pPr>
          <w:pStyle w:val="Footer"/>
          <w:jc w:val="right"/>
        </w:pPr>
        <w:r>
          <w:fldChar w:fldCharType="begin"/>
        </w:r>
        <w:r>
          <w:instrText xml:space="preserve"> PAGE   \* MERGEFORMAT </w:instrText>
        </w:r>
        <w:r>
          <w:fldChar w:fldCharType="separate"/>
        </w:r>
        <w:r w:rsidR="00D03022">
          <w:rPr>
            <w:noProof/>
          </w:rPr>
          <w:t>39</w:t>
        </w:r>
        <w:r>
          <w:rPr>
            <w:noProof/>
          </w:rPr>
          <w:fldChar w:fldCharType="end"/>
        </w:r>
      </w:p>
    </w:sdtContent>
  </w:sdt>
  <w:p w:rsidR="00855854" w:rsidRPr="00E60F42" w:rsidRDefault="00855854" w:rsidP="00E32872">
    <w:pPr>
      <w:pStyle w:val="Footer"/>
      <w:rPr>
        <w:lang w:val="en-GB"/>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55854" w:rsidRDefault="0085585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F7DEF" w:rsidRDefault="00DF7DEF">
      <w:r>
        <w:separator/>
      </w:r>
    </w:p>
  </w:footnote>
  <w:footnote w:type="continuationSeparator" w:id="0">
    <w:p w:rsidR="00DF7DEF" w:rsidRDefault="00DF7DE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EyMTU3NTMyMzE2MTBX0lEKTi0uzszPAykwrwUAA45tcCwAAAA="/>
  </w:docVars>
  <w:rsids>
    <w:rsidRoot w:val="002B1701"/>
    <w:rsid w:val="00002C7A"/>
    <w:rsid w:val="000045B8"/>
    <w:rsid w:val="00012B16"/>
    <w:rsid w:val="00013CDE"/>
    <w:rsid w:val="00020EEC"/>
    <w:rsid w:val="0002440E"/>
    <w:rsid w:val="0002759A"/>
    <w:rsid w:val="00027B1F"/>
    <w:rsid w:val="0003088B"/>
    <w:rsid w:val="000325D9"/>
    <w:rsid w:val="000372B2"/>
    <w:rsid w:val="0004079F"/>
    <w:rsid w:val="00045B87"/>
    <w:rsid w:val="00045C07"/>
    <w:rsid w:val="00046861"/>
    <w:rsid w:val="000502B3"/>
    <w:rsid w:val="0005252E"/>
    <w:rsid w:val="00054A07"/>
    <w:rsid w:val="00055D43"/>
    <w:rsid w:val="00056FAC"/>
    <w:rsid w:val="00057751"/>
    <w:rsid w:val="00062E39"/>
    <w:rsid w:val="0006581A"/>
    <w:rsid w:val="00074461"/>
    <w:rsid w:val="000766EC"/>
    <w:rsid w:val="00080E58"/>
    <w:rsid w:val="00083D99"/>
    <w:rsid w:val="00085699"/>
    <w:rsid w:val="00090160"/>
    <w:rsid w:val="00091C2C"/>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D1E09"/>
    <w:rsid w:val="000E0D51"/>
    <w:rsid w:val="000E26B0"/>
    <w:rsid w:val="000E38C3"/>
    <w:rsid w:val="000F1599"/>
    <w:rsid w:val="000F1769"/>
    <w:rsid w:val="000F6196"/>
    <w:rsid w:val="0010312C"/>
    <w:rsid w:val="00106DC7"/>
    <w:rsid w:val="00112391"/>
    <w:rsid w:val="0011380E"/>
    <w:rsid w:val="00114F52"/>
    <w:rsid w:val="0012513A"/>
    <w:rsid w:val="00130119"/>
    <w:rsid w:val="001347F8"/>
    <w:rsid w:val="00137BB5"/>
    <w:rsid w:val="00137E05"/>
    <w:rsid w:val="001447F6"/>
    <w:rsid w:val="00147DE3"/>
    <w:rsid w:val="00150794"/>
    <w:rsid w:val="0015541E"/>
    <w:rsid w:val="001608C4"/>
    <w:rsid w:val="00171418"/>
    <w:rsid w:val="001772DE"/>
    <w:rsid w:val="00187669"/>
    <w:rsid w:val="00192F4E"/>
    <w:rsid w:val="001960C1"/>
    <w:rsid w:val="001961CF"/>
    <w:rsid w:val="001A59BB"/>
    <w:rsid w:val="001A6A51"/>
    <w:rsid w:val="001A79C4"/>
    <w:rsid w:val="001B331A"/>
    <w:rsid w:val="001C0E74"/>
    <w:rsid w:val="001C4DB8"/>
    <w:rsid w:val="001D229F"/>
    <w:rsid w:val="001E6AEE"/>
    <w:rsid w:val="001F3246"/>
    <w:rsid w:val="001F4552"/>
    <w:rsid w:val="001F4F7D"/>
    <w:rsid w:val="001F620F"/>
    <w:rsid w:val="002019EB"/>
    <w:rsid w:val="00205051"/>
    <w:rsid w:val="00211F65"/>
    <w:rsid w:val="0021792F"/>
    <w:rsid w:val="00220779"/>
    <w:rsid w:val="00220D06"/>
    <w:rsid w:val="002246A0"/>
    <w:rsid w:val="00230439"/>
    <w:rsid w:val="00235176"/>
    <w:rsid w:val="00236061"/>
    <w:rsid w:val="0024100E"/>
    <w:rsid w:val="00241C1B"/>
    <w:rsid w:val="0024288B"/>
    <w:rsid w:val="002657E9"/>
    <w:rsid w:val="0026665E"/>
    <w:rsid w:val="0027147E"/>
    <w:rsid w:val="00271A3F"/>
    <w:rsid w:val="002761F4"/>
    <w:rsid w:val="002775E1"/>
    <w:rsid w:val="00277979"/>
    <w:rsid w:val="0028604F"/>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133E"/>
    <w:rsid w:val="002D2F29"/>
    <w:rsid w:val="002D6B31"/>
    <w:rsid w:val="002E7017"/>
    <w:rsid w:val="002E7F2C"/>
    <w:rsid w:val="002F272C"/>
    <w:rsid w:val="002F4F6E"/>
    <w:rsid w:val="003015C3"/>
    <w:rsid w:val="003106DB"/>
    <w:rsid w:val="0031350A"/>
    <w:rsid w:val="00316815"/>
    <w:rsid w:val="003168CA"/>
    <w:rsid w:val="00321255"/>
    <w:rsid w:val="0032230D"/>
    <w:rsid w:val="00322A0B"/>
    <w:rsid w:val="00332426"/>
    <w:rsid w:val="00335FC5"/>
    <w:rsid w:val="00351785"/>
    <w:rsid w:val="00352C70"/>
    <w:rsid w:val="00355210"/>
    <w:rsid w:val="00361D57"/>
    <w:rsid w:val="00365DF9"/>
    <w:rsid w:val="0036610B"/>
    <w:rsid w:val="00372DB4"/>
    <w:rsid w:val="0037419E"/>
    <w:rsid w:val="00375AF5"/>
    <w:rsid w:val="003761BD"/>
    <w:rsid w:val="00385414"/>
    <w:rsid w:val="00390074"/>
    <w:rsid w:val="00393600"/>
    <w:rsid w:val="0039762B"/>
    <w:rsid w:val="003A0C37"/>
    <w:rsid w:val="003A1B6B"/>
    <w:rsid w:val="003A23F2"/>
    <w:rsid w:val="003A46C0"/>
    <w:rsid w:val="003A600E"/>
    <w:rsid w:val="003A6513"/>
    <w:rsid w:val="003B16C7"/>
    <w:rsid w:val="003C19F1"/>
    <w:rsid w:val="003C4186"/>
    <w:rsid w:val="003C6185"/>
    <w:rsid w:val="003D0D2D"/>
    <w:rsid w:val="003D1885"/>
    <w:rsid w:val="003D20F1"/>
    <w:rsid w:val="003D46E0"/>
    <w:rsid w:val="003D4710"/>
    <w:rsid w:val="003E16D7"/>
    <w:rsid w:val="003E197E"/>
    <w:rsid w:val="003E4B70"/>
    <w:rsid w:val="003E5FBA"/>
    <w:rsid w:val="003F1233"/>
    <w:rsid w:val="00400786"/>
    <w:rsid w:val="004046F0"/>
    <w:rsid w:val="0040668F"/>
    <w:rsid w:val="00406C1E"/>
    <w:rsid w:val="00412677"/>
    <w:rsid w:val="00427C5F"/>
    <w:rsid w:val="004348AE"/>
    <w:rsid w:val="004376C0"/>
    <w:rsid w:val="0044223A"/>
    <w:rsid w:val="00451851"/>
    <w:rsid w:val="00453343"/>
    <w:rsid w:val="00455EE0"/>
    <w:rsid w:val="004608B9"/>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A2A49"/>
    <w:rsid w:val="004B600B"/>
    <w:rsid w:val="004B6822"/>
    <w:rsid w:val="004B69F6"/>
    <w:rsid w:val="004C172A"/>
    <w:rsid w:val="004C2D3A"/>
    <w:rsid w:val="004D03C4"/>
    <w:rsid w:val="004D0BF1"/>
    <w:rsid w:val="004D0F4E"/>
    <w:rsid w:val="004D35A4"/>
    <w:rsid w:val="004D445F"/>
    <w:rsid w:val="004E087B"/>
    <w:rsid w:val="004E44A4"/>
    <w:rsid w:val="004E7B8B"/>
    <w:rsid w:val="004E7BDD"/>
    <w:rsid w:val="004F1E21"/>
    <w:rsid w:val="004F5AED"/>
    <w:rsid w:val="004F740D"/>
    <w:rsid w:val="004F7B8F"/>
    <w:rsid w:val="00500748"/>
    <w:rsid w:val="005011D6"/>
    <w:rsid w:val="00502A14"/>
    <w:rsid w:val="005042F1"/>
    <w:rsid w:val="0050481B"/>
    <w:rsid w:val="005113D4"/>
    <w:rsid w:val="00511C27"/>
    <w:rsid w:val="0051287D"/>
    <w:rsid w:val="00513C7D"/>
    <w:rsid w:val="005203CA"/>
    <w:rsid w:val="00521123"/>
    <w:rsid w:val="00521221"/>
    <w:rsid w:val="0052250B"/>
    <w:rsid w:val="00527192"/>
    <w:rsid w:val="005414F4"/>
    <w:rsid w:val="00546187"/>
    <w:rsid w:val="00547B11"/>
    <w:rsid w:val="00557D77"/>
    <w:rsid w:val="00562EAA"/>
    <w:rsid w:val="00563B58"/>
    <w:rsid w:val="005640C4"/>
    <w:rsid w:val="0056684C"/>
    <w:rsid w:val="00571AC9"/>
    <w:rsid w:val="00574A0C"/>
    <w:rsid w:val="00576A56"/>
    <w:rsid w:val="0057780F"/>
    <w:rsid w:val="00581E0A"/>
    <w:rsid w:val="00586D89"/>
    <w:rsid w:val="00594F9F"/>
    <w:rsid w:val="005A1B4C"/>
    <w:rsid w:val="005A545C"/>
    <w:rsid w:val="005C1567"/>
    <w:rsid w:val="005C28D3"/>
    <w:rsid w:val="005C6CE5"/>
    <w:rsid w:val="005D3F07"/>
    <w:rsid w:val="005E13EA"/>
    <w:rsid w:val="00601970"/>
    <w:rsid w:val="00606E27"/>
    <w:rsid w:val="006108C9"/>
    <w:rsid w:val="00614DF7"/>
    <w:rsid w:val="0062158D"/>
    <w:rsid w:val="006326D1"/>
    <w:rsid w:val="00632E0A"/>
    <w:rsid w:val="00633165"/>
    <w:rsid w:val="006447DE"/>
    <w:rsid w:val="006512E6"/>
    <w:rsid w:val="0065276E"/>
    <w:rsid w:val="00654329"/>
    <w:rsid w:val="00654CEC"/>
    <w:rsid w:val="00655507"/>
    <w:rsid w:val="006635E3"/>
    <w:rsid w:val="00665805"/>
    <w:rsid w:val="006669F3"/>
    <w:rsid w:val="0067083F"/>
    <w:rsid w:val="006712A7"/>
    <w:rsid w:val="00674FC2"/>
    <w:rsid w:val="00677788"/>
    <w:rsid w:val="00677E42"/>
    <w:rsid w:val="00682334"/>
    <w:rsid w:val="00684732"/>
    <w:rsid w:val="00684B16"/>
    <w:rsid w:val="0069625A"/>
    <w:rsid w:val="00696F65"/>
    <w:rsid w:val="00697572"/>
    <w:rsid w:val="006B4496"/>
    <w:rsid w:val="006B5E67"/>
    <w:rsid w:val="006B6612"/>
    <w:rsid w:val="006C2EB5"/>
    <w:rsid w:val="006C64B5"/>
    <w:rsid w:val="006D18A3"/>
    <w:rsid w:val="006D5970"/>
    <w:rsid w:val="006E481E"/>
    <w:rsid w:val="006E795F"/>
    <w:rsid w:val="006F66D6"/>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72924"/>
    <w:rsid w:val="007872F2"/>
    <w:rsid w:val="007905FD"/>
    <w:rsid w:val="007908E0"/>
    <w:rsid w:val="00793EB3"/>
    <w:rsid w:val="00794205"/>
    <w:rsid w:val="00796ADB"/>
    <w:rsid w:val="007A1F6A"/>
    <w:rsid w:val="007B0DE3"/>
    <w:rsid w:val="007B11F5"/>
    <w:rsid w:val="007B1BFD"/>
    <w:rsid w:val="007B4221"/>
    <w:rsid w:val="007B7191"/>
    <w:rsid w:val="007C1D94"/>
    <w:rsid w:val="007C556F"/>
    <w:rsid w:val="007C6A87"/>
    <w:rsid w:val="007D0A07"/>
    <w:rsid w:val="007D133D"/>
    <w:rsid w:val="007D3EB4"/>
    <w:rsid w:val="007D3F16"/>
    <w:rsid w:val="007F3F7E"/>
    <w:rsid w:val="007F4BA4"/>
    <w:rsid w:val="00804DB3"/>
    <w:rsid w:val="00813CEC"/>
    <w:rsid w:val="0081512D"/>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55854"/>
    <w:rsid w:val="00861038"/>
    <w:rsid w:val="00865B58"/>
    <w:rsid w:val="00866B50"/>
    <w:rsid w:val="00867A63"/>
    <w:rsid w:val="008708F1"/>
    <w:rsid w:val="00870AE9"/>
    <w:rsid w:val="00871960"/>
    <w:rsid w:val="00871DAB"/>
    <w:rsid w:val="0087369F"/>
    <w:rsid w:val="00880539"/>
    <w:rsid w:val="008859E8"/>
    <w:rsid w:val="0088737B"/>
    <w:rsid w:val="00892716"/>
    <w:rsid w:val="00893067"/>
    <w:rsid w:val="008933DE"/>
    <w:rsid w:val="00895FCE"/>
    <w:rsid w:val="00897F3E"/>
    <w:rsid w:val="008A21B4"/>
    <w:rsid w:val="008B07DE"/>
    <w:rsid w:val="008B28E7"/>
    <w:rsid w:val="008C14C7"/>
    <w:rsid w:val="008C2FFB"/>
    <w:rsid w:val="008C6EEA"/>
    <w:rsid w:val="008C7770"/>
    <w:rsid w:val="008C79C7"/>
    <w:rsid w:val="008D3FB2"/>
    <w:rsid w:val="008D5813"/>
    <w:rsid w:val="008D6297"/>
    <w:rsid w:val="008D634E"/>
    <w:rsid w:val="008D778A"/>
    <w:rsid w:val="008D78C9"/>
    <w:rsid w:val="008F32D9"/>
    <w:rsid w:val="00902A65"/>
    <w:rsid w:val="009079BD"/>
    <w:rsid w:val="00912BD9"/>
    <w:rsid w:val="00920ABD"/>
    <w:rsid w:val="00920E5B"/>
    <w:rsid w:val="00926436"/>
    <w:rsid w:val="0093018C"/>
    <w:rsid w:val="009544C0"/>
    <w:rsid w:val="00954FA4"/>
    <w:rsid w:val="00956AE9"/>
    <w:rsid w:val="00964CC6"/>
    <w:rsid w:val="00977626"/>
    <w:rsid w:val="0098427C"/>
    <w:rsid w:val="00986B43"/>
    <w:rsid w:val="00986C0B"/>
    <w:rsid w:val="00991FDA"/>
    <w:rsid w:val="009A5985"/>
    <w:rsid w:val="009A5F3B"/>
    <w:rsid w:val="009A6F87"/>
    <w:rsid w:val="009B0B61"/>
    <w:rsid w:val="009B17D9"/>
    <w:rsid w:val="009B28C0"/>
    <w:rsid w:val="009B310F"/>
    <w:rsid w:val="009B507B"/>
    <w:rsid w:val="009B7136"/>
    <w:rsid w:val="009C6092"/>
    <w:rsid w:val="009D09BC"/>
    <w:rsid w:val="009D4365"/>
    <w:rsid w:val="009D4E3B"/>
    <w:rsid w:val="009D7BC9"/>
    <w:rsid w:val="009E122F"/>
    <w:rsid w:val="009E1982"/>
    <w:rsid w:val="009E2201"/>
    <w:rsid w:val="009E4D2C"/>
    <w:rsid w:val="009F0978"/>
    <w:rsid w:val="009F0A48"/>
    <w:rsid w:val="009F3AEC"/>
    <w:rsid w:val="00A00081"/>
    <w:rsid w:val="00A03AB6"/>
    <w:rsid w:val="00A05CF3"/>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61EB4"/>
    <w:rsid w:val="00A652F6"/>
    <w:rsid w:val="00A65861"/>
    <w:rsid w:val="00A732EA"/>
    <w:rsid w:val="00A7489E"/>
    <w:rsid w:val="00A8015F"/>
    <w:rsid w:val="00A85039"/>
    <w:rsid w:val="00A906AA"/>
    <w:rsid w:val="00A94C5E"/>
    <w:rsid w:val="00AA252C"/>
    <w:rsid w:val="00AA666E"/>
    <w:rsid w:val="00AB5518"/>
    <w:rsid w:val="00AB59EA"/>
    <w:rsid w:val="00AC4A04"/>
    <w:rsid w:val="00AD336F"/>
    <w:rsid w:val="00AD4119"/>
    <w:rsid w:val="00AE134C"/>
    <w:rsid w:val="00AE1868"/>
    <w:rsid w:val="00AE2564"/>
    <w:rsid w:val="00AE301F"/>
    <w:rsid w:val="00AE3302"/>
    <w:rsid w:val="00AE5BA6"/>
    <w:rsid w:val="00AE7077"/>
    <w:rsid w:val="00AF61C2"/>
    <w:rsid w:val="00AF6CC6"/>
    <w:rsid w:val="00B0296A"/>
    <w:rsid w:val="00B07E79"/>
    <w:rsid w:val="00B1068B"/>
    <w:rsid w:val="00B12295"/>
    <w:rsid w:val="00B137BE"/>
    <w:rsid w:val="00B17FA0"/>
    <w:rsid w:val="00B2164D"/>
    <w:rsid w:val="00B21B2B"/>
    <w:rsid w:val="00B2292C"/>
    <w:rsid w:val="00B22C3C"/>
    <w:rsid w:val="00B24344"/>
    <w:rsid w:val="00B26769"/>
    <w:rsid w:val="00B2754B"/>
    <w:rsid w:val="00B31202"/>
    <w:rsid w:val="00B31C91"/>
    <w:rsid w:val="00B3747F"/>
    <w:rsid w:val="00B42E76"/>
    <w:rsid w:val="00B43194"/>
    <w:rsid w:val="00B47734"/>
    <w:rsid w:val="00B50EC3"/>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180B"/>
    <w:rsid w:val="00BA4005"/>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F0D6C"/>
    <w:rsid w:val="00C01D14"/>
    <w:rsid w:val="00C01D97"/>
    <w:rsid w:val="00C025B4"/>
    <w:rsid w:val="00C1254C"/>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7D24"/>
    <w:rsid w:val="00C604D6"/>
    <w:rsid w:val="00C614C8"/>
    <w:rsid w:val="00C63D00"/>
    <w:rsid w:val="00C6441B"/>
    <w:rsid w:val="00C65921"/>
    <w:rsid w:val="00C7108B"/>
    <w:rsid w:val="00C75883"/>
    <w:rsid w:val="00C8089F"/>
    <w:rsid w:val="00C836CC"/>
    <w:rsid w:val="00C87A74"/>
    <w:rsid w:val="00C92C71"/>
    <w:rsid w:val="00C93F8F"/>
    <w:rsid w:val="00CA01D1"/>
    <w:rsid w:val="00CA3593"/>
    <w:rsid w:val="00CA5726"/>
    <w:rsid w:val="00CB258E"/>
    <w:rsid w:val="00CB3C8F"/>
    <w:rsid w:val="00CC02F1"/>
    <w:rsid w:val="00CC11A6"/>
    <w:rsid w:val="00CC135E"/>
    <w:rsid w:val="00CC7226"/>
    <w:rsid w:val="00CD0735"/>
    <w:rsid w:val="00CD5D3F"/>
    <w:rsid w:val="00CE7DA2"/>
    <w:rsid w:val="00CF2F8A"/>
    <w:rsid w:val="00CF3DB3"/>
    <w:rsid w:val="00D021CB"/>
    <w:rsid w:val="00D03022"/>
    <w:rsid w:val="00D05041"/>
    <w:rsid w:val="00D052BC"/>
    <w:rsid w:val="00D07026"/>
    <w:rsid w:val="00D22C8F"/>
    <w:rsid w:val="00D33491"/>
    <w:rsid w:val="00D3442D"/>
    <w:rsid w:val="00D44F8E"/>
    <w:rsid w:val="00D51FD5"/>
    <w:rsid w:val="00D55DE0"/>
    <w:rsid w:val="00D571C2"/>
    <w:rsid w:val="00D607EF"/>
    <w:rsid w:val="00D60F88"/>
    <w:rsid w:val="00D646BD"/>
    <w:rsid w:val="00D71040"/>
    <w:rsid w:val="00D71201"/>
    <w:rsid w:val="00D720C7"/>
    <w:rsid w:val="00D74018"/>
    <w:rsid w:val="00D876E6"/>
    <w:rsid w:val="00D90958"/>
    <w:rsid w:val="00DA1025"/>
    <w:rsid w:val="00DA22EC"/>
    <w:rsid w:val="00DA5860"/>
    <w:rsid w:val="00DB2767"/>
    <w:rsid w:val="00DC1B10"/>
    <w:rsid w:val="00DC4729"/>
    <w:rsid w:val="00DC4863"/>
    <w:rsid w:val="00DD3214"/>
    <w:rsid w:val="00DF0A69"/>
    <w:rsid w:val="00DF7DEF"/>
    <w:rsid w:val="00E01BDF"/>
    <w:rsid w:val="00E0524C"/>
    <w:rsid w:val="00E05B16"/>
    <w:rsid w:val="00E17160"/>
    <w:rsid w:val="00E32872"/>
    <w:rsid w:val="00E35112"/>
    <w:rsid w:val="00E356ED"/>
    <w:rsid w:val="00E35BEC"/>
    <w:rsid w:val="00E46974"/>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4A3"/>
    <w:rsid w:val="00E9479B"/>
    <w:rsid w:val="00E94E22"/>
    <w:rsid w:val="00E97171"/>
    <w:rsid w:val="00EA0B2A"/>
    <w:rsid w:val="00EA4D48"/>
    <w:rsid w:val="00EA5042"/>
    <w:rsid w:val="00EA547A"/>
    <w:rsid w:val="00EB2173"/>
    <w:rsid w:val="00EB62E6"/>
    <w:rsid w:val="00EC59A5"/>
    <w:rsid w:val="00ED129C"/>
    <w:rsid w:val="00ED1B30"/>
    <w:rsid w:val="00ED5D03"/>
    <w:rsid w:val="00ED7910"/>
    <w:rsid w:val="00EE19DE"/>
    <w:rsid w:val="00EE1AC1"/>
    <w:rsid w:val="00EE39D6"/>
    <w:rsid w:val="00EE52AD"/>
    <w:rsid w:val="00EE6FAB"/>
    <w:rsid w:val="00F01F92"/>
    <w:rsid w:val="00F04053"/>
    <w:rsid w:val="00F10A08"/>
    <w:rsid w:val="00F16817"/>
    <w:rsid w:val="00F16CEA"/>
    <w:rsid w:val="00F2019B"/>
    <w:rsid w:val="00F22AC5"/>
    <w:rsid w:val="00F254D1"/>
    <w:rsid w:val="00F26A60"/>
    <w:rsid w:val="00F32B82"/>
    <w:rsid w:val="00F4043E"/>
    <w:rsid w:val="00F41795"/>
    <w:rsid w:val="00F41BBC"/>
    <w:rsid w:val="00F4278F"/>
    <w:rsid w:val="00F444F0"/>
    <w:rsid w:val="00F50847"/>
    <w:rsid w:val="00F53F27"/>
    <w:rsid w:val="00F546D1"/>
    <w:rsid w:val="00F66272"/>
    <w:rsid w:val="00F709C0"/>
    <w:rsid w:val="00F7364A"/>
    <w:rsid w:val="00F87DF1"/>
    <w:rsid w:val="00F927A1"/>
    <w:rsid w:val="00F92E4D"/>
    <w:rsid w:val="00F95D08"/>
    <w:rsid w:val="00FA3764"/>
    <w:rsid w:val="00FA56ED"/>
    <w:rsid w:val="00FB24EA"/>
    <w:rsid w:val="00FB30EC"/>
    <w:rsid w:val="00FB5FA6"/>
    <w:rsid w:val="00FC1310"/>
    <w:rsid w:val="00FC2FF3"/>
    <w:rsid w:val="00FC3263"/>
    <w:rsid w:val="00FC51F9"/>
    <w:rsid w:val="00FC5B40"/>
    <w:rsid w:val="00FC5FF8"/>
    <w:rsid w:val="00FD271B"/>
    <w:rsid w:val="00FD3D7C"/>
    <w:rsid w:val="00FD4F8F"/>
    <w:rsid w:val="00FD541A"/>
    <w:rsid w:val="00FD6042"/>
    <w:rsid w:val="00FE0C16"/>
    <w:rsid w:val="00FE14B1"/>
    <w:rsid w:val="00FE24E8"/>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1FB07DA9-E516-4677-B792-96D654E3C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314266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prisonreformtrust.org.uk/WhatWeDo/Projectsresearch/Resettlemen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isonadvice.org.uk/"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nspcc.org.uk/media/1541/gillick-competency-factsheet.pdf" TargetMode="External"/><Relationship Id="rId5" Type="http://schemas.openxmlformats.org/officeDocument/2006/relationships/webSettings" Target="webSettings.xml"/><Relationship Id="rId15" Type="http://schemas.openxmlformats.org/officeDocument/2006/relationships/hyperlink" Target="https://www.xxxx.gov.uk/english/council/social_services/emergency_duty_team.htm" TargetMode="External"/><Relationship Id="rId10" Type="http://schemas.openxmlformats.org/officeDocument/2006/relationships/hyperlink" Target="https://assets.publishing.service.gov.uk/government/uploads/system/uploads/attachment_data/file/814964/Prison_Release_Protocol_research_report_FINAL.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ommunitycare.co.uk/2017/08/03/ten-years-baby-p-social-works-story/" TargetMode="External"/><Relationship Id="rId14" Type="http://schemas.openxmlformats.org/officeDocument/2006/relationships/hyperlink" Target="https://adults.ccinform.co.uk/practice-guidance/adult-safeguarding-and-the-social-services-and-well-being-wales-act-2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F45EB7-127B-4649-B5E2-4D6883941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40</Pages>
  <Words>13234</Words>
  <Characters>75435</Characters>
  <Application>Microsoft Office Word</Application>
  <DocSecurity>0</DocSecurity>
  <Lines>628</Lines>
  <Paragraphs>176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88493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Ervins Jaudzems</cp:lastModifiedBy>
  <cp:revision>105</cp:revision>
  <cp:lastPrinted>2014-08-26T08:55:00Z</cp:lastPrinted>
  <dcterms:created xsi:type="dcterms:W3CDTF">2019-09-29T15:55:00Z</dcterms:created>
  <dcterms:modified xsi:type="dcterms:W3CDTF">2019-10-09T07:20:00Z</dcterms:modified>
</cp:coreProperties>
</file>