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C6398" w14:textId="77777777" w:rsidR="00C45341" w:rsidRDefault="00C45341" w:rsidP="00C45341">
      <w:pPr>
        <w:jc w:val="center"/>
        <w:rPr>
          <w:b/>
          <w:sz w:val="32"/>
          <w:szCs w:val="32"/>
        </w:rPr>
      </w:pPr>
    </w:p>
    <w:p w14:paraId="3965C444" w14:textId="77777777" w:rsidR="00C45341" w:rsidRDefault="00C45341" w:rsidP="00C45341">
      <w:pPr>
        <w:jc w:val="center"/>
        <w:rPr>
          <w:b/>
          <w:sz w:val="32"/>
          <w:szCs w:val="32"/>
        </w:rPr>
      </w:pPr>
    </w:p>
    <w:p w14:paraId="10273CE6" w14:textId="77777777" w:rsidR="00C45341" w:rsidRDefault="00C45341" w:rsidP="00C45341">
      <w:pPr>
        <w:jc w:val="center"/>
        <w:rPr>
          <w:b/>
          <w:sz w:val="32"/>
          <w:szCs w:val="32"/>
        </w:rPr>
      </w:pPr>
    </w:p>
    <w:p w14:paraId="4C57EF03" w14:textId="77777777" w:rsidR="00C45341" w:rsidRDefault="00C45341" w:rsidP="00C45341">
      <w:pPr>
        <w:jc w:val="center"/>
        <w:rPr>
          <w:b/>
          <w:sz w:val="32"/>
          <w:szCs w:val="32"/>
        </w:rPr>
      </w:pPr>
    </w:p>
    <w:p w14:paraId="64792D6A" w14:textId="77777777" w:rsidR="00C45341" w:rsidRDefault="00C45341" w:rsidP="00C45341">
      <w:pPr>
        <w:jc w:val="center"/>
        <w:rPr>
          <w:b/>
          <w:sz w:val="32"/>
          <w:szCs w:val="32"/>
        </w:rPr>
      </w:pPr>
    </w:p>
    <w:p w14:paraId="17D027DB" w14:textId="77777777" w:rsidR="00C45341" w:rsidRDefault="00C45341" w:rsidP="00C45341">
      <w:pPr>
        <w:jc w:val="center"/>
        <w:rPr>
          <w:b/>
          <w:sz w:val="32"/>
          <w:szCs w:val="32"/>
        </w:rPr>
      </w:pPr>
    </w:p>
    <w:p w14:paraId="2795C910" w14:textId="77777777" w:rsidR="00C45341" w:rsidRDefault="00C45341" w:rsidP="00C45341">
      <w:pPr>
        <w:jc w:val="center"/>
        <w:rPr>
          <w:b/>
          <w:sz w:val="32"/>
          <w:szCs w:val="32"/>
        </w:rPr>
      </w:pPr>
    </w:p>
    <w:p w14:paraId="384F2FBF" w14:textId="77777777" w:rsidR="00C45341" w:rsidRDefault="00C45341" w:rsidP="00C45341">
      <w:pPr>
        <w:jc w:val="center"/>
        <w:rPr>
          <w:b/>
          <w:sz w:val="32"/>
          <w:szCs w:val="32"/>
        </w:rPr>
      </w:pPr>
    </w:p>
    <w:p w14:paraId="50E7906C" w14:textId="77777777" w:rsidR="00C45341" w:rsidRDefault="00C45341" w:rsidP="00C45341">
      <w:pPr>
        <w:jc w:val="center"/>
        <w:rPr>
          <w:b/>
          <w:sz w:val="32"/>
          <w:szCs w:val="32"/>
        </w:rPr>
      </w:pPr>
      <w:r w:rsidRPr="00C45341">
        <w:rPr>
          <w:b/>
          <w:sz w:val="32"/>
          <w:szCs w:val="32"/>
        </w:rPr>
        <w:t>Liability by Omission</w:t>
      </w:r>
    </w:p>
    <w:p w14:paraId="0C16866F" w14:textId="77777777" w:rsidR="00EE78EF" w:rsidRDefault="00EE78EF" w:rsidP="00EE78EF">
      <w:pPr>
        <w:rPr>
          <w:b/>
          <w:sz w:val="32"/>
          <w:szCs w:val="32"/>
        </w:rPr>
      </w:pPr>
    </w:p>
    <w:p w14:paraId="69E04C31" w14:textId="77777777" w:rsidR="00EE78EF" w:rsidRDefault="00EE78EF" w:rsidP="00EE78EF">
      <w:pPr>
        <w:rPr>
          <w:b/>
          <w:sz w:val="32"/>
          <w:szCs w:val="32"/>
        </w:rPr>
      </w:pPr>
    </w:p>
    <w:p w14:paraId="61573773" w14:textId="54B07259" w:rsidR="00EE78EF" w:rsidRDefault="00EE78EF" w:rsidP="00EE78EF">
      <w:pPr>
        <w:rPr>
          <w:b/>
          <w:sz w:val="32"/>
          <w:szCs w:val="32"/>
        </w:rPr>
      </w:pPr>
      <w:r>
        <w:rPr>
          <w:b/>
          <w:sz w:val="32"/>
          <w:szCs w:val="32"/>
        </w:rPr>
        <w:t>Name: Ghisoiu Dorin Ilie</w:t>
      </w:r>
    </w:p>
    <w:p w14:paraId="5FCA346B" w14:textId="17C2E626" w:rsidR="00924B9E" w:rsidRPr="00C45341" w:rsidRDefault="00924B9E" w:rsidP="00EE78EF">
      <w:pPr>
        <w:rPr>
          <w:b/>
          <w:sz w:val="32"/>
          <w:szCs w:val="32"/>
        </w:rPr>
      </w:pPr>
      <w:r>
        <w:rPr>
          <w:b/>
          <w:sz w:val="32"/>
          <w:szCs w:val="32"/>
        </w:rPr>
        <w:t>Date: 11/11/2022</w:t>
      </w:r>
    </w:p>
    <w:p w14:paraId="5E9C5780" w14:textId="77777777" w:rsidR="00C45341" w:rsidRDefault="00C45341">
      <w:r>
        <w:br w:type="page"/>
      </w:r>
    </w:p>
    <w:sdt>
      <w:sdtPr>
        <w:rPr>
          <w:rFonts w:ascii="Times New Roman" w:eastAsia="Times New Roman" w:hAnsi="Times New Roman" w:cs="Times New Roman"/>
          <w:color w:val="auto"/>
          <w:sz w:val="24"/>
          <w:szCs w:val="24"/>
        </w:rPr>
        <w:id w:val="-1306857058"/>
        <w:docPartObj>
          <w:docPartGallery w:val="Table of Contents"/>
          <w:docPartUnique/>
        </w:docPartObj>
      </w:sdtPr>
      <w:sdtEndPr>
        <w:rPr>
          <w:b/>
          <w:bCs/>
          <w:noProof/>
        </w:rPr>
      </w:sdtEndPr>
      <w:sdtContent>
        <w:p w14:paraId="2ED5A24B" w14:textId="77777777" w:rsidR="00C45341" w:rsidRPr="00C45341" w:rsidRDefault="00C45341" w:rsidP="00C45341">
          <w:pPr>
            <w:pStyle w:val="TOCHeading"/>
            <w:jc w:val="center"/>
            <w:rPr>
              <w:rFonts w:ascii="Times New Roman" w:hAnsi="Times New Roman" w:cs="Times New Roman"/>
              <w:b/>
              <w:color w:val="000000" w:themeColor="text1"/>
              <w:sz w:val="24"/>
              <w:szCs w:val="24"/>
            </w:rPr>
          </w:pPr>
          <w:r w:rsidRPr="00C45341">
            <w:rPr>
              <w:rFonts w:ascii="Times New Roman" w:hAnsi="Times New Roman" w:cs="Times New Roman"/>
              <w:b/>
              <w:color w:val="000000" w:themeColor="text1"/>
              <w:sz w:val="24"/>
              <w:szCs w:val="24"/>
            </w:rPr>
            <w:t>Table of Contents</w:t>
          </w:r>
        </w:p>
        <w:p w14:paraId="54BFD416" w14:textId="77777777" w:rsidR="00C45341" w:rsidRDefault="00C45341">
          <w:pPr>
            <w:pStyle w:val="TOC1"/>
            <w:tabs>
              <w:tab w:val="right" w:leader="dot" w:pos="9019"/>
            </w:tabs>
            <w:rPr>
              <w:noProof/>
            </w:rPr>
          </w:pPr>
          <w:r>
            <w:fldChar w:fldCharType="begin"/>
          </w:r>
          <w:r>
            <w:instrText xml:space="preserve"> TOC \o "1-3" \h \z \u </w:instrText>
          </w:r>
          <w:r>
            <w:fldChar w:fldCharType="separate"/>
          </w:r>
          <w:hyperlink w:anchor="_Toc118650969" w:history="1">
            <w:r w:rsidRPr="00562C8D">
              <w:rPr>
                <w:rStyle w:val="Hyperlink"/>
                <w:noProof/>
              </w:rPr>
              <w:t>Introduction</w:t>
            </w:r>
            <w:r>
              <w:rPr>
                <w:noProof/>
                <w:webHidden/>
              </w:rPr>
              <w:tab/>
            </w:r>
            <w:r>
              <w:rPr>
                <w:noProof/>
                <w:webHidden/>
              </w:rPr>
              <w:fldChar w:fldCharType="begin"/>
            </w:r>
            <w:r>
              <w:rPr>
                <w:noProof/>
                <w:webHidden/>
              </w:rPr>
              <w:instrText xml:space="preserve"> PAGEREF _Toc118650969 \h </w:instrText>
            </w:r>
            <w:r>
              <w:rPr>
                <w:noProof/>
                <w:webHidden/>
              </w:rPr>
            </w:r>
            <w:r>
              <w:rPr>
                <w:noProof/>
                <w:webHidden/>
              </w:rPr>
              <w:fldChar w:fldCharType="separate"/>
            </w:r>
            <w:r>
              <w:rPr>
                <w:noProof/>
                <w:webHidden/>
              </w:rPr>
              <w:t>3</w:t>
            </w:r>
            <w:r>
              <w:rPr>
                <w:noProof/>
                <w:webHidden/>
              </w:rPr>
              <w:fldChar w:fldCharType="end"/>
            </w:r>
          </w:hyperlink>
        </w:p>
        <w:p w14:paraId="5E383CB6" w14:textId="77777777" w:rsidR="00C45341" w:rsidRDefault="00000000">
          <w:pPr>
            <w:pStyle w:val="TOC1"/>
            <w:tabs>
              <w:tab w:val="right" w:leader="dot" w:pos="9019"/>
            </w:tabs>
            <w:rPr>
              <w:noProof/>
            </w:rPr>
          </w:pPr>
          <w:hyperlink w:anchor="_Toc118650970" w:history="1">
            <w:r w:rsidR="00C45341" w:rsidRPr="00562C8D">
              <w:rPr>
                <w:rStyle w:val="Hyperlink"/>
                <w:noProof/>
              </w:rPr>
              <w:t>Discussion</w:t>
            </w:r>
            <w:r w:rsidR="00C45341">
              <w:rPr>
                <w:noProof/>
                <w:webHidden/>
              </w:rPr>
              <w:tab/>
            </w:r>
            <w:r w:rsidR="00C45341">
              <w:rPr>
                <w:noProof/>
                <w:webHidden/>
              </w:rPr>
              <w:fldChar w:fldCharType="begin"/>
            </w:r>
            <w:r w:rsidR="00C45341">
              <w:rPr>
                <w:noProof/>
                <w:webHidden/>
              </w:rPr>
              <w:instrText xml:space="preserve"> PAGEREF _Toc118650970 \h </w:instrText>
            </w:r>
            <w:r w:rsidR="00C45341">
              <w:rPr>
                <w:noProof/>
                <w:webHidden/>
              </w:rPr>
            </w:r>
            <w:r w:rsidR="00C45341">
              <w:rPr>
                <w:noProof/>
                <w:webHidden/>
              </w:rPr>
              <w:fldChar w:fldCharType="separate"/>
            </w:r>
            <w:r w:rsidR="00C45341">
              <w:rPr>
                <w:noProof/>
                <w:webHidden/>
              </w:rPr>
              <w:t>3</w:t>
            </w:r>
            <w:r w:rsidR="00C45341">
              <w:rPr>
                <w:noProof/>
                <w:webHidden/>
              </w:rPr>
              <w:fldChar w:fldCharType="end"/>
            </w:r>
          </w:hyperlink>
        </w:p>
        <w:p w14:paraId="2E7E0176" w14:textId="77777777" w:rsidR="00C45341" w:rsidRDefault="00000000">
          <w:pPr>
            <w:pStyle w:val="TOC1"/>
            <w:tabs>
              <w:tab w:val="right" w:leader="dot" w:pos="9019"/>
            </w:tabs>
            <w:rPr>
              <w:noProof/>
            </w:rPr>
          </w:pPr>
          <w:hyperlink w:anchor="_Toc118650971" w:history="1">
            <w:r w:rsidR="00C45341" w:rsidRPr="00562C8D">
              <w:rPr>
                <w:rStyle w:val="Hyperlink"/>
                <w:noProof/>
              </w:rPr>
              <w:t>Conclusion</w:t>
            </w:r>
            <w:r w:rsidR="00C45341">
              <w:rPr>
                <w:noProof/>
                <w:webHidden/>
              </w:rPr>
              <w:tab/>
            </w:r>
            <w:r w:rsidR="00C45341">
              <w:rPr>
                <w:noProof/>
                <w:webHidden/>
              </w:rPr>
              <w:fldChar w:fldCharType="begin"/>
            </w:r>
            <w:r w:rsidR="00C45341">
              <w:rPr>
                <w:noProof/>
                <w:webHidden/>
              </w:rPr>
              <w:instrText xml:space="preserve"> PAGEREF _Toc118650971 \h </w:instrText>
            </w:r>
            <w:r w:rsidR="00C45341">
              <w:rPr>
                <w:noProof/>
                <w:webHidden/>
              </w:rPr>
            </w:r>
            <w:r w:rsidR="00C45341">
              <w:rPr>
                <w:noProof/>
                <w:webHidden/>
              </w:rPr>
              <w:fldChar w:fldCharType="separate"/>
            </w:r>
            <w:r w:rsidR="00C45341">
              <w:rPr>
                <w:noProof/>
                <w:webHidden/>
              </w:rPr>
              <w:t>6</w:t>
            </w:r>
            <w:r w:rsidR="00C45341">
              <w:rPr>
                <w:noProof/>
                <w:webHidden/>
              </w:rPr>
              <w:fldChar w:fldCharType="end"/>
            </w:r>
          </w:hyperlink>
        </w:p>
        <w:p w14:paraId="330AE28F" w14:textId="77777777" w:rsidR="00C45341" w:rsidRDefault="00000000">
          <w:pPr>
            <w:pStyle w:val="TOC1"/>
            <w:tabs>
              <w:tab w:val="right" w:leader="dot" w:pos="9019"/>
            </w:tabs>
            <w:rPr>
              <w:noProof/>
            </w:rPr>
          </w:pPr>
          <w:hyperlink w:anchor="_Toc118650972" w:history="1">
            <w:r w:rsidR="00C45341" w:rsidRPr="00562C8D">
              <w:rPr>
                <w:rStyle w:val="Hyperlink"/>
                <w:noProof/>
              </w:rPr>
              <w:t>Reference List</w:t>
            </w:r>
            <w:r w:rsidR="00C45341">
              <w:rPr>
                <w:noProof/>
                <w:webHidden/>
              </w:rPr>
              <w:tab/>
            </w:r>
            <w:r w:rsidR="00C45341">
              <w:rPr>
                <w:noProof/>
                <w:webHidden/>
              </w:rPr>
              <w:fldChar w:fldCharType="begin"/>
            </w:r>
            <w:r w:rsidR="00C45341">
              <w:rPr>
                <w:noProof/>
                <w:webHidden/>
              </w:rPr>
              <w:instrText xml:space="preserve"> PAGEREF _Toc118650972 \h </w:instrText>
            </w:r>
            <w:r w:rsidR="00C45341">
              <w:rPr>
                <w:noProof/>
                <w:webHidden/>
              </w:rPr>
            </w:r>
            <w:r w:rsidR="00C45341">
              <w:rPr>
                <w:noProof/>
                <w:webHidden/>
              </w:rPr>
              <w:fldChar w:fldCharType="separate"/>
            </w:r>
            <w:r w:rsidR="00C45341">
              <w:rPr>
                <w:noProof/>
                <w:webHidden/>
              </w:rPr>
              <w:t>7</w:t>
            </w:r>
            <w:r w:rsidR="00C45341">
              <w:rPr>
                <w:noProof/>
                <w:webHidden/>
              </w:rPr>
              <w:fldChar w:fldCharType="end"/>
            </w:r>
          </w:hyperlink>
        </w:p>
        <w:p w14:paraId="43A267DC" w14:textId="77777777" w:rsidR="00C45341" w:rsidRDefault="00C45341">
          <w:r>
            <w:rPr>
              <w:b/>
              <w:bCs/>
              <w:noProof/>
            </w:rPr>
            <w:fldChar w:fldCharType="end"/>
          </w:r>
        </w:p>
      </w:sdtContent>
    </w:sdt>
    <w:p w14:paraId="48772994" w14:textId="77777777" w:rsidR="00C45341" w:rsidRDefault="00C45341">
      <w:pPr>
        <w:rPr>
          <w:b/>
        </w:rPr>
      </w:pPr>
      <w:r>
        <w:rPr>
          <w:b/>
        </w:rPr>
        <w:br w:type="page"/>
      </w:r>
    </w:p>
    <w:p w14:paraId="1E82F79F" w14:textId="77777777" w:rsidR="00063413" w:rsidRPr="00C45341" w:rsidRDefault="00E421F3" w:rsidP="00C45341">
      <w:pPr>
        <w:pStyle w:val="Heading1"/>
      </w:pPr>
      <w:bookmarkStart w:id="0" w:name="_Toc118650969"/>
      <w:r w:rsidRPr="00C45341">
        <w:lastRenderedPageBreak/>
        <w:t>Introduction</w:t>
      </w:r>
      <w:bookmarkEnd w:id="0"/>
    </w:p>
    <w:p w14:paraId="216254F9" w14:textId="77777777" w:rsidR="00063413" w:rsidRDefault="00E421F3">
      <w:r>
        <w:t xml:space="preserve">Crimes are illegal and unlawful activities that are punishable by the concerned authority. The study here aims to evaluate the states where criminal liability is upheld for failure to act or omission. There may be two components of criminal liability “prohibited conduct or actus reas” and “mental element or mens rea” (Iclr, 2022). In this context, the study will identify the part of crime relating to failure to act, the general duty to act in criminal law, requirements for crime to be committed by omission and others. The aspects of the duty to act, common law duty, pros and cons of the general duty to act and other concepts will be discussed. </w:t>
      </w:r>
    </w:p>
    <w:p w14:paraId="54628F80" w14:textId="77777777" w:rsidR="00C45341" w:rsidRDefault="00C45341" w:rsidP="00C45341">
      <w:pPr>
        <w:pStyle w:val="Heading1"/>
      </w:pPr>
      <w:bookmarkStart w:id="1" w:name="_Toc118650970"/>
      <w:r>
        <w:t>Discussion</w:t>
      </w:r>
      <w:bookmarkEnd w:id="1"/>
    </w:p>
    <w:p w14:paraId="6428006F" w14:textId="77777777" w:rsidR="00063413" w:rsidRDefault="00E421F3">
      <w:pPr>
        <w:ind w:left="360"/>
        <w:rPr>
          <w:b/>
        </w:rPr>
      </w:pPr>
      <w:r>
        <w:rPr>
          <w:b/>
        </w:rPr>
        <w:t>Which part of a crime does failure to act relate to?</w:t>
      </w:r>
    </w:p>
    <w:p w14:paraId="6DA5817B" w14:textId="77777777" w:rsidR="00063413" w:rsidRPr="00C45341" w:rsidRDefault="00E421F3" w:rsidP="00C45341">
      <w:r>
        <w:t xml:space="preserve">Failure to act indicates the omission. It is related to criminal litigation. Laws and legal aspects can be subdivided into two wide categories civil law and criminal law. The matter and conditions of interventions by both the law divisions are different. However, with the increasing rate of crime and unlawful actions at present, the dependability of laws may have been questioned in several conditions. A “failure to act” indicates when a person has not been able to perform a certain act that was included in the duty to perform (Inbrief, 2022). Criminal liabilities arise when a duty to act is imposed by law. Hence, as failure to act indicates criminal liability and negligence, it is related to the “actus reus” component of a crime. For example, in the case, </w:t>
      </w:r>
      <w:r>
        <w:rPr>
          <w:b/>
          <w:i/>
        </w:rPr>
        <w:t xml:space="preserve">“R vs Ruth Ellis held in 2003” </w:t>
      </w:r>
      <w:r>
        <w:t>in Lake District a teacher was charged with failure to act when a boy was drowning in a stream. It was stated that the teacher failed to do the duty and was convicted of the offence of manslaughter.</w:t>
      </w:r>
    </w:p>
    <w:p w14:paraId="01653FC0" w14:textId="77777777" w:rsidR="00063413" w:rsidRDefault="00E421F3">
      <w:pPr>
        <w:ind w:left="360"/>
        <w:rPr>
          <w:b/>
        </w:rPr>
      </w:pPr>
      <w:r>
        <w:rPr>
          <w:b/>
        </w:rPr>
        <w:t>Is there a general duty to act in criminal law?</w:t>
      </w:r>
    </w:p>
    <w:p w14:paraId="244B6A2A" w14:textId="77777777" w:rsidR="00063413" w:rsidRDefault="00E421F3">
      <w:r>
        <w:t xml:space="preserve">A “duty to act” indicates a legal duty that is when a party is liable to take necessary action to prevent any harm to others in the general public. The nature and extent of any general duty to act are difficult to determine. In English law, two basic elements of the crime are </w:t>
      </w:r>
      <w:r>
        <w:rPr>
          <w:b/>
          <w:i/>
        </w:rPr>
        <w:t xml:space="preserve">“actus reus” and “mens rea”. </w:t>
      </w:r>
      <w:r>
        <w:t>“Actus reus”</w:t>
      </w:r>
      <w:r>
        <w:rPr>
          <w:b/>
          <w:i/>
        </w:rPr>
        <w:t xml:space="preserve"> </w:t>
      </w:r>
      <w:r>
        <w:t xml:space="preserve">refers to the act of committing a crime, whereas, “men's rea” is the intention to perform an unlawful activity. “Actus reus”, in turn, has two elements, one is the performance of guilty acts and the other is “failure to act” or omission. English law </w:t>
      </w:r>
      <w:r>
        <w:rPr>
          <w:b/>
        </w:rPr>
        <w:t xml:space="preserve">does not incur a general duty to act </w:t>
      </w:r>
      <w:r>
        <w:t xml:space="preserve">on the citizens (Lexis Nexis, 2022). For instance, an individual is not legally bound to rescue or assist another who is in need of help (BBC, 2017). An act </w:t>
      </w:r>
      <w:r>
        <w:lastRenderedPageBreak/>
        <w:t>qualifies as “omission” or “failure to act” only when an individual fails to observe a pre-existing duty. Pre-existing duties can arise through voluntary undertakings, legal contracts, blood relations, and official positions. Furthermore, if a seemingly non-criminal act creates harm, criminal liability is imposed (Sheikh and Subhan, 2017).</w:t>
      </w:r>
    </w:p>
    <w:p w14:paraId="7C3496AF" w14:textId="77777777" w:rsidR="00063413" w:rsidRDefault="00E421F3">
      <w:r>
        <w:t xml:space="preserve"> A case example might be presented to exhibit how failure to observe legal duty might lead to the imposition of criminal liability. In </w:t>
      </w:r>
      <w:r>
        <w:rPr>
          <w:b/>
          <w:i/>
        </w:rPr>
        <w:t xml:space="preserve">“R vs Instan (1893)” the </w:t>
      </w:r>
      <w:r>
        <w:t xml:space="preserve">defendant was cared for by her 73 years old. The aunt who suffered from gangrene eventually deceased due to the lack of care and medical attention. The court held Instan criminally liable as she willfully neglected her aunt’s health despite dwelling with her. In this case, the defendant’s legal duty arose from her blood relationship with the victim. </w:t>
      </w:r>
    </w:p>
    <w:p w14:paraId="0885C395" w14:textId="77777777" w:rsidR="00063413" w:rsidRDefault="00E421F3">
      <w:pPr>
        <w:ind w:left="360"/>
        <w:rPr>
          <w:b/>
        </w:rPr>
      </w:pPr>
      <w:r>
        <w:rPr>
          <w:b/>
        </w:rPr>
        <w:t>What are the requirements for a crime to be committed by omission?</w:t>
      </w:r>
    </w:p>
    <w:p w14:paraId="0EACDAB6" w14:textId="77777777" w:rsidR="00063413" w:rsidRDefault="00E421F3">
      <w:r>
        <w:t>As mentioned earlier, criminal law acts on the general rule that an individual must satisfy the actus reus of an offence to be held criminally liable. There are, however, circumstances where non-criminal actions might lead to a conviction. The requirements for a crime to be committed by omission are described below</w:t>
      </w:r>
    </w:p>
    <w:p w14:paraId="184F38B5" w14:textId="77777777" w:rsidR="00063413" w:rsidRDefault="00E421F3">
      <w:r>
        <w:t xml:space="preserve">A person who </w:t>
      </w:r>
      <w:r>
        <w:rPr>
          <w:b/>
        </w:rPr>
        <w:t xml:space="preserve">fails to perform “statutory duty” </w:t>
      </w:r>
      <w:r>
        <w:t xml:space="preserve">can be held criminally liable (Bayliss, 2022). Moreover, when a person fails to observe duties arising from special relationships is criminally liable. For example, when a parent fails to provide adequate resources to their child or willingly neglects the child, they can be convicted. </w:t>
      </w:r>
      <w:r>
        <w:rPr>
          <w:b/>
        </w:rPr>
        <w:t xml:space="preserve">Failure to observe voluntarily assumed duties </w:t>
      </w:r>
      <w:r>
        <w:t xml:space="preserve">will also be held equivalent to omission. In </w:t>
      </w:r>
      <w:r>
        <w:rPr>
          <w:b/>
          <w:i/>
        </w:rPr>
        <w:t xml:space="preserve">“R vs Stone and Dobinson (1977)” </w:t>
      </w:r>
      <w:r>
        <w:t xml:space="preserve">the defendants voluntarily undertook the duty to care for a vulnerable individual. However, the defendants failed to observe their duty and were convicted of manslaughter. A person is held criminally liable when he does not comply with the contractual duties, for instance, duty arising from the contract of employment (Sheikh and Subhan, 2017). </w:t>
      </w:r>
      <w:r>
        <w:rPr>
          <w:b/>
          <w:i/>
        </w:rPr>
        <w:t xml:space="preserve">“R vs Ellis (2003)” </w:t>
      </w:r>
      <w:r>
        <w:t xml:space="preserve">the defendant was convicted of manslaughter after he failed to save his student from drowning. Ellis, as a teacher, had a legal duty towards the victim. Finally, a person is considered criminally liable when he creates danger but does not take reasonable actions to prevent harm.  </w:t>
      </w:r>
      <w:r>
        <w:rPr>
          <w:b/>
          <w:i/>
        </w:rPr>
        <w:t xml:space="preserve">“R vs Miller (1983)” </w:t>
      </w:r>
      <w:r>
        <w:t>is a prime example of how failure to neutralise danger created by one’s action might result in a conviction.</w:t>
      </w:r>
    </w:p>
    <w:p w14:paraId="323F4142" w14:textId="77777777" w:rsidR="00063413" w:rsidRDefault="00E421F3">
      <w:pPr>
        <w:ind w:left="360"/>
        <w:rPr>
          <w:b/>
        </w:rPr>
      </w:pPr>
      <w:r>
        <w:rPr>
          <w:b/>
        </w:rPr>
        <w:t>When might a statutory duty to act be present?</w:t>
      </w:r>
    </w:p>
    <w:p w14:paraId="3FB76215" w14:textId="77777777" w:rsidR="00063413" w:rsidRDefault="00E421F3">
      <w:r>
        <w:lastRenderedPageBreak/>
        <w:t xml:space="preserve">Statutory laws refer to the written laws in the judicial system. A statutory duty to act can also be present in different scenarios. For example, the statutory duty to act is applied in the case when a company selling insurance is liable to inform all the necessary details with the consumers. The specifications of any product being sold are a must to be informed to the customers. The Deregulation Act 2015 deals with statutory duty (Legislation, 2022). The act is beneficial in developing business. </w:t>
      </w:r>
    </w:p>
    <w:p w14:paraId="793AA90D" w14:textId="77777777" w:rsidR="00063413" w:rsidRDefault="00E421F3">
      <w:pPr>
        <w:ind w:left="360"/>
        <w:rPr>
          <w:b/>
        </w:rPr>
      </w:pPr>
      <w:r>
        <w:rPr>
          <w:b/>
        </w:rPr>
        <w:t>When might a contractual/ duty</w:t>
      </w:r>
      <w:r>
        <w:t xml:space="preserve"> </w:t>
      </w:r>
      <w:r>
        <w:rPr>
          <w:b/>
        </w:rPr>
        <w:t>based on office be present?</w:t>
      </w:r>
    </w:p>
    <w:p w14:paraId="5A74475D" w14:textId="77777777" w:rsidR="00063413" w:rsidRDefault="00E421F3">
      <w:pPr>
        <w:rPr>
          <w:b/>
        </w:rPr>
      </w:pPr>
      <w:r>
        <w:t>Contractual duty to care can also be present in many situations based on the office. When the contractual duty to care is applicable to a person, then the liability for others’ safety will be on that person on the duty (Inbrief, 2022). It is applicable under criminal law. For example, the case “</w:t>
      </w:r>
      <w:r>
        <w:rPr>
          <w:b/>
          <w:i/>
        </w:rPr>
        <w:t>R vs Pittwood held in 1902”</w:t>
      </w:r>
      <w:r>
        <w:t xml:space="preserve"> can be considered for analysis. In this case, a train accident was caused. Pittwood was employed by a rail company as a gatekeeper. As per the contract of employment, the job roles described that the duty of the person was to close the gate. However, at the time of the considered accident, the gatekeeper failed to carry out their duty which was the only reason for the accident the life of the other people like the driver of the train was ut in danger. In this case, due to the existing contract, a duty to act came into play and the gatekeeper was criminally liable for the omission and failure to act.</w:t>
      </w:r>
    </w:p>
    <w:p w14:paraId="39E2AD80" w14:textId="77777777" w:rsidR="00063413" w:rsidRDefault="00E421F3">
      <w:pPr>
        <w:ind w:left="360"/>
        <w:rPr>
          <w:b/>
        </w:rPr>
      </w:pPr>
      <w:r>
        <w:rPr>
          <w:b/>
        </w:rPr>
        <w:t>When might a common law duty to act arise?</w:t>
      </w:r>
    </w:p>
    <w:p w14:paraId="4826E4DC" w14:textId="77777777" w:rsidR="00063413" w:rsidRDefault="00E421F3">
      <w:r>
        <w:t xml:space="preserve">A duty to act may also arise from common law. In the English legal system, common law is the part of the law which is derived from judicial precedent and not from statutes and are declared by the judges as decisions at different levels of the court system (Iclr, 2022). The arising of duty to act as per common law may be specific to the case. It can be described by considering the case of </w:t>
      </w:r>
      <w:r>
        <w:rPr>
          <w:b/>
          <w:i/>
        </w:rPr>
        <w:t xml:space="preserve">R vs Miller held in 1983 </w:t>
      </w:r>
      <w:r>
        <w:t>can be considered. In this case it was found by the court that a dangerous situation was created by the defendant which led to the arising of duty to act. The court also recognised the liability for omission. The case is one such incident when a duty to act came into play in the common law. On further analysis, it can be observed that the specific moment when the defendant ignored the fire despite being aware of it was when he became liable for a duty to act to summon any kind of help.</w:t>
      </w:r>
    </w:p>
    <w:p w14:paraId="1726B234" w14:textId="77777777" w:rsidR="00063413" w:rsidRDefault="00E421F3">
      <w:pPr>
        <w:ind w:left="360"/>
        <w:rPr>
          <w:b/>
        </w:rPr>
      </w:pPr>
      <w:r>
        <w:rPr>
          <w:b/>
        </w:rPr>
        <w:t>When does a duty to act stop?</w:t>
      </w:r>
    </w:p>
    <w:p w14:paraId="428F260B" w14:textId="77777777" w:rsidR="00063413" w:rsidRDefault="00E421F3">
      <w:r>
        <w:lastRenderedPageBreak/>
        <w:t xml:space="preserve">A duty to act is raised and stopped depending upon the concerned situation. It has been found that there are various conditions and factors that arise a duty of act bound by legal aspects. However, it can also be observed that in the conditions when any statute or contract is not applicable there will be no duty to act. </w:t>
      </w:r>
    </w:p>
    <w:p w14:paraId="08B353D5" w14:textId="77777777" w:rsidR="00063413" w:rsidRDefault="00E421F3">
      <w:pPr>
        <w:ind w:left="360"/>
        <w:rPr>
          <w:b/>
        </w:rPr>
      </w:pPr>
      <w:r>
        <w:rPr>
          <w:b/>
        </w:rPr>
        <w:t>Should there be a general duty to act? What are the pro’s and con’s of this?</w:t>
      </w:r>
    </w:p>
    <w:p w14:paraId="62A3D211" w14:textId="77777777" w:rsidR="00063413" w:rsidRDefault="00E421F3">
      <w:r>
        <w:t xml:space="preserve">There can be different arguments regarding the existence of a general duty to act in practice. It has been observed from studies that the general duty to act would have led to an additional burden imposed on the public (Bayliss, 2022). It would have made the public forcibly chaalter their actions. It represents a con of the general duty to act. In contrast to the above, it can also be argued that the advantageous aspect of liability based on omission offences are easier to prove. Moreover, by omission, it is ensured that the accountable persons are blameworthy. For businesses, it would have been beneficial. Hence, it cannot be firmly stated whether a general duty to act should exist or not because from the above analysis it can be perceived that there are both advantageous and disadvantageous aspects. </w:t>
      </w:r>
    </w:p>
    <w:p w14:paraId="41BEBF27" w14:textId="77777777" w:rsidR="00063413" w:rsidRDefault="00E421F3" w:rsidP="00C45341">
      <w:pPr>
        <w:pStyle w:val="Heading1"/>
      </w:pPr>
      <w:bookmarkStart w:id="2" w:name="_6j0ldzu3r4nz" w:colFirst="0" w:colLast="0"/>
      <w:bookmarkStart w:id="3" w:name="_Toc118650971"/>
      <w:bookmarkEnd w:id="2"/>
      <w:r>
        <w:t>Conclusion</w:t>
      </w:r>
      <w:bookmarkEnd w:id="3"/>
    </w:p>
    <w:p w14:paraId="4DB80100" w14:textId="77777777" w:rsidR="00063413" w:rsidRDefault="00E421F3">
      <w:r>
        <w:t>In the analysis, the different aspects related to criminal law have been discussed. Failure to act has been described and the concerned situations have been focused on. The interrelation between failure to act and criminal liability has been discussed. Duty to act has been investigated and it has been found that there are two main components of crime actus reus and mens rea. The study has also explored the states of omission. Contractual duty, statutory duty, and common law duty have been explained along with case laws. The prevention of the duty to act and the pros and cons of the general duty to act have been discussed.</w:t>
      </w:r>
    </w:p>
    <w:p w14:paraId="270B41EE" w14:textId="77777777" w:rsidR="00063413" w:rsidRDefault="00E421F3">
      <w:pPr>
        <w:rPr>
          <w:sz w:val="21"/>
          <w:szCs w:val="21"/>
          <w:highlight w:val="white"/>
        </w:rPr>
      </w:pPr>
      <w:r>
        <w:br w:type="page"/>
      </w:r>
    </w:p>
    <w:p w14:paraId="75ED14A2" w14:textId="77777777" w:rsidR="00063413" w:rsidRDefault="00E421F3" w:rsidP="00C45341">
      <w:pPr>
        <w:pStyle w:val="Heading1"/>
      </w:pPr>
      <w:bookmarkStart w:id="4" w:name="_zi51g5z6osvy" w:colFirst="0" w:colLast="0"/>
      <w:bookmarkStart w:id="5" w:name="_Toc118650972"/>
      <w:bookmarkEnd w:id="4"/>
      <w:r>
        <w:lastRenderedPageBreak/>
        <w:t>Reference List</w:t>
      </w:r>
      <w:bookmarkEnd w:id="5"/>
    </w:p>
    <w:p w14:paraId="233D8E81" w14:textId="77777777" w:rsidR="00C45341" w:rsidRPr="00C45341" w:rsidRDefault="00C45341" w:rsidP="00C45341">
      <w:pPr>
        <w:rPr>
          <w:color w:val="000000" w:themeColor="text1"/>
        </w:rPr>
      </w:pPr>
      <w:r w:rsidRPr="00C45341">
        <w:rPr>
          <w:color w:val="000000" w:themeColor="text1"/>
        </w:rPr>
        <w:t xml:space="preserve">Bayliss, G. 2022. </w:t>
      </w:r>
      <w:r w:rsidRPr="00C45341">
        <w:rPr>
          <w:i/>
          <w:color w:val="000000" w:themeColor="text1"/>
        </w:rPr>
        <w:t xml:space="preserve">Omission: when does failing to act amount to a crime? </w:t>
      </w:r>
      <w:r w:rsidRPr="00C45341">
        <w:rPr>
          <w:color w:val="000000" w:themeColor="text1"/>
        </w:rPr>
        <w:t>[online]. Available at:&lt;</w:t>
      </w:r>
      <w:hyperlink r:id="rId7">
        <w:r w:rsidRPr="00C45341">
          <w:rPr>
            <w:color w:val="000000" w:themeColor="text1"/>
          </w:rPr>
          <w:t>https://www.hoddereducation.co.uk/media/Documents/magazine-extras/Law%20Review/Law%20Rev%20Vol%209%20No%201/LawRev-9_1-Omission-answers.pdf?ext=.pdf</w:t>
        </w:r>
      </w:hyperlink>
      <w:r w:rsidRPr="00C45341">
        <w:rPr>
          <w:color w:val="000000" w:themeColor="text1"/>
        </w:rPr>
        <w:t>&gt; [Accessed on: 6th November 2022].</w:t>
      </w:r>
    </w:p>
    <w:p w14:paraId="0B90A3E3" w14:textId="77777777" w:rsidR="00C45341" w:rsidRPr="00C45341" w:rsidRDefault="00C45341" w:rsidP="00C45341">
      <w:pPr>
        <w:pStyle w:val="NormalWeb"/>
        <w:spacing w:before="0" w:beforeAutospacing="0" w:after="0" w:afterAutospacing="0" w:line="360" w:lineRule="auto"/>
        <w:jc w:val="both"/>
        <w:rPr>
          <w:color w:val="000000" w:themeColor="text1"/>
        </w:rPr>
      </w:pPr>
      <w:r w:rsidRPr="00C45341">
        <w:rPr>
          <w:color w:val="000000" w:themeColor="text1"/>
          <w:shd w:val="clear" w:color="auto" w:fill="FFFFFF"/>
        </w:rPr>
        <w:t xml:space="preserve">Bayliss. G. 2022. </w:t>
      </w:r>
      <w:r w:rsidRPr="00C45341">
        <w:rPr>
          <w:i/>
          <w:iCs/>
          <w:color w:val="000000" w:themeColor="text1"/>
          <w:shd w:val="clear" w:color="auto" w:fill="FFFFFF"/>
        </w:rPr>
        <w:t>Omission: when does failing to act amount to a crime?</w:t>
      </w:r>
      <w:r w:rsidRPr="00C45341">
        <w:rPr>
          <w:color w:val="000000" w:themeColor="text1"/>
          <w:shd w:val="clear" w:color="auto" w:fill="FFFFFF"/>
        </w:rPr>
        <w:t xml:space="preserve"> [online] Available at:&lt;</w:t>
      </w:r>
      <w:hyperlink r:id="rId8" w:history="1">
        <w:r w:rsidRPr="00C45341">
          <w:rPr>
            <w:rStyle w:val="Hyperlink"/>
            <w:color w:val="000000" w:themeColor="text1"/>
            <w:u w:val="none"/>
            <w:shd w:val="clear" w:color="auto" w:fill="FFFFFF"/>
          </w:rPr>
          <w:t>https://www.hoddereducation.co.uk/media/Documents/magazine-extras/Law%20Review/Law%20Rev%20Vol%209%20No%201/LawRev-9_1-Omission-answers.pdf?ext=.pdf</w:t>
        </w:r>
      </w:hyperlink>
      <w:r w:rsidRPr="00C45341">
        <w:rPr>
          <w:color w:val="000000" w:themeColor="text1"/>
          <w:shd w:val="clear" w:color="auto" w:fill="FFFFFF"/>
        </w:rPr>
        <w:t>&gt; [Accessed on 31st October 2022]</w:t>
      </w:r>
    </w:p>
    <w:p w14:paraId="46EBF7B5" w14:textId="77777777" w:rsidR="00C45341" w:rsidRPr="00C45341" w:rsidRDefault="00C45341" w:rsidP="00C45341">
      <w:pPr>
        <w:rPr>
          <w:color w:val="000000" w:themeColor="text1"/>
        </w:rPr>
      </w:pPr>
      <w:r w:rsidRPr="00C45341">
        <w:rPr>
          <w:color w:val="000000" w:themeColor="text1"/>
        </w:rPr>
        <w:t xml:space="preserve">Bbc, 2017. </w:t>
      </w:r>
      <w:r w:rsidRPr="00C45341">
        <w:rPr>
          <w:i/>
          <w:color w:val="000000" w:themeColor="text1"/>
        </w:rPr>
        <w:t xml:space="preserve">Do you have to rescue someone in danger? </w:t>
      </w:r>
      <w:r w:rsidRPr="00C45341">
        <w:rPr>
          <w:color w:val="000000" w:themeColor="text1"/>
        </w:rPr>
        <w:t>[online]. Available at:&lt;</w:t>
      </w:r>
      <w:hyperlink r:id="rId9">
        <w:r w:rsidRPr="00C45341">
          <w:rPr>
            <w:color w:val="000000" w:themeColor="text1"/>
          </w:rPr>
          <w:t>https://www.bbc.com/news/world-us-canada-40680895</w:t>
        </w:r>
      </w:hyperlink>
      <w:r w:rsidRPr="00C45341">
        <w:rPr>
          <w:color w:val="000000" w:themeColor="text1"/>
        </w:rPr>
        <w:t>&gt; [Accessed on: 6th November 2022].</w:t>
      </w:r>
    </w:p>
    <w:p w14:paraId="658AB617" w14:textId="77777777" w:rsidR="00C45341" w:rsidRPr="00C45341" w:rsidRDefault="00C45341" w:rsidP="00C45341">
      <w:pPr>
        <w:rPr>
          <w:color w:val="000000" w:themeColor="text1"/>
        </w:rPr>
      </w:pPr>
      <w:r w:rsidRPr="00C45341">
        <w:rPr>
          <w:color w:val="000000" w:themeColor="text1"/>
        </w:rPr>
        <w:t xml:space="preserve">Elawresources, 2022. </w:t>
      </w:r>
      <w:r w:rsidRPr="00C45341">
        <w:rPr>
          <w:i/>
          <w:color w:val="000000" w:themeColor="text1"/>
        </w:rPr>
        <w:t xml:space="preserve">R v Stone &amp; Dobinson [1977] 1 QB 354. </w:t>
      </w:r>
      <w:r w:rsidRPr="00C45341">
        <w:rPr>
          <w:color w:val="000000" w:themeColor="text1"/>
        </w:rPr>
        <w:t>[online]. Available at:&lt;</w:t>
      </w:r>
      <w:hyperlink r:id="rId10">
        <w:r w:rsidRPr="00C45341">
          <w:rPr>
            <w:color w:val="000000" w:themeColor="text1"/>
          </w:rPr>
          <w:t>http://www.e-lawresources.co.uk/R-v-Stone--and--Dobinson.php</w:t>
        </w:r>
      </w:hyperlink>
      <w:r w:rsidRPr="00C45341">
        <w:rPr>
          <w:color w:val="000000" w:themeColor="text1"/>
        </w:rPr>
        <w:t>&gt; [Accessed on: 6th November 2022].</w:t>
      </w:r>
    </w:p>
    <w:p w14:paraId="15787A4F" w14:textId="77777777" w:rsidR="00C45341" w:rsidRPr="00C45341" w:rsidRDefault="00C45341" w:rsidP="00C45341">
      <w:pPr>
        <w:pStyle w:val="NormalWeb"/>
        <w:spacing w:before="0" w:beforeAutospacing="0" w:after="0" w:afterAutospacing="0" w:line="360" w:lineRule="auto"/>
        <w:jc w:val="both"/>
        <w:rPr>
          <w:color w:val="000000" w:themeColor="text1"/>
        </w:rPr>
      </w:pPr>
      <w:r w:rsidRPr="00C45341">
        <w:rPr>
          <w:color w:val="000000" w:themeColor="text1"/>
          <w:shd w:val="clear" w:color="auto" w:fill="FFFFFF"/>
        </w:rPr>
        <w:t>Iclr. 2022.</w:t>
      </w:r>
      <w:r w:rsidRPr="00C45341">
        <w:rPr>
          <w:i/>
          <w:iCs/>
          <w:color w:val="000000" w:themeColor="text1"/>
          <w:shd w:val="clear" w:color="auto" w:fill="FFFFFF"/>
        </w:rPr>
        <w:t xml:space="preserve"> Mens rea and actus reus</w:t>
      </w:r>
      <w:r w:rsidRPr="00C45341">
        <w:rPr>
          <w:color w:val="000000" w:themeColor="text1"/>
          <w:shd w:val="clear" w:color="auto" w:fill="FFFFFF"/>
        </w:rPr>
        <w:t>. [online] Available at:&lt;</w:t>
      </w:r>
      <w:hyperlink r:id="rId11" w:history="1">
        <w:r w:rsidRPr="00C45341">
          <w:rPr>
            <w:rStyle w:val="Hyperlink"/>
            <w:color w:val="000000" w:themeColor="text1"/>
            <w:u w:val="none"/>
            <w:shd w:val="clear" w:color="auto" w:fill="FFFFFF"/>
          </w:rPr>
          <w:t>https://www.iclr.co.uk/knowledge/glossary/mens-rea-and-actus-reus/</w:t>
        </w:r>
      </w:hyperlink>
      <w:r w:rsidRPr="00C45341">
        <w:rPr>
          <w:color w:val="000000" w:themeColor="text1"/>
          <w:shd w:val="clear" w:color="auto" w:fill="FFFFFF"/>
        </w:rPr>
        <w:t>&gt; [Accessed on 31st October 2022]</w:t>
      </w:r>
    </w:p>
    <w:p w14:paraId="49F8D608" w14:textId="77777777" w:rsidR="00C45341" w:rsidRPr="00C45341" w:rsidRDefault="00C45341" w:rsidP="00C45341">
      <w:pPr>
        <w:pStyle w:val="NormalWeb"/>
        <w:spacing w:before="0" w:beforeAutospacing="0" w:after="0" w:afterAutospacing="0" w:line="360" w:lineRule="auto"/>
        <w:jc w:val="both"/>
        <w:rPr>
          <w:color w:val="000000" w:themeColor="text1"/>
        </w:rPr>
      </w:pPr>
      <w:r w:rsidRPr="00C45341">
        <w:rPr>
          <w:color w:val="000000" w:themeColor="text1"/>
          <w:shd w:val="clear" w:color="auto" w:fill="FFFFFF"/>
        </w:rPr>
        <w:t>Iclr. 2022. The English legal system. [online] Available at:&lt;</w:t>
      </w:r>
      <w:hyperlink r:id="rId12" w:anchor=":~:text=The%20common%20law%20is%20the,equally%20across%20the%20whole%20country" w:history="1">
        <w:r w:rsidRPr="00C45341">
          <w:rPr>
            <w:rStyle w:val="Hyperlink"/>
            <w:color w:val="000000" w:themeColor="text1"/>
            <w:u w:val="none"/>
            <w:shd w:val="clear" w:color="auto" w:fill="FFFFFF"/>
          </w:rPr>
          <w:t>https://www.iclr.co.uk/knowledge/topics/the-english-legal-system/#:~:text=The%20common%20law%20is%20the,equally%20across%20the%20whole%20country</w:t>
        </w:r>
      </w:hyperlink>
      <w:r w:rsidRPr="00C45341">
        <w:rPr>
          <w:color w:val="000000" w:themeColor="text1"/>
          <w:shd w:val="clear" w:color="auto" w:fill="FFFFFF"/>
        </w:rPr>
        <w:t>.&gt; [Accessed on 31st October 2022]</w:t>
      </w:r>
    </w:p>
    <w:p w14:paraId="6A37C69F" w14:textId="77777777" w:rsidR="00C45341" w:rsidRPr="00C45341" w:rsidRDefault="00C45341" w:rsidP="00C45341">
      <w:pPr>
        <w:pStyle w:val="NormalWeb"/>
        <w:spacing w:before="0" w:beforeAutospacing="0" w:after="0" w:afterAutospacing="0" w:line="360" w:lineRule="auto"/>
        <w:jc w:val="both"/>
        <w:rPr>
          <w:color w:val="000000" w:themeColor="text1"/>
        </w:rPr>
      </w:pPr>
      <w:r w:rsidRPr="00C45341">
        <w:rPr>
          <w:color w:val="000000" w:themeColor="text1"/>
          <w:shd w:val="clear" w:color="auto" w:fill="FFFFFF"/>
        </w:rPr>
        <w:t xml:space="preserve">Inbrief. 2022. </w:t>
      </w:r>
      <w:r w:rsidRPr="00C45341">
        <w:rPr>
          <w:i/>
          <w:iCs/>
          <w:color w:val="000000" w:themeColor="text1"/>
          <w:shd w:val="clear" w:color="auto" w:fill="FFFFFF"/>
        </w:rPr>
        <w:t>Distinction between acts and omissions.</w:t>
      </w:r>
      <w:r w:rsidRPr="00C45341">
        <w:rPr>
          <w:color w:val="000000" w:themeColor="text1"/>
          <w:shd w:val="clear" w:color="auto" w:fill="FFFFFF"/>
        </w:rPr>
        <w:t xml:space="preserve"> [online] Available at:&lt;</w:t>
      </w:r>
      <w:hyperlink r:id="rId13" w:history="1">
        <w:r w:rsidRPr="00C45341">
          <w:rPr>
            <w:rStyle w:val="Hyperlink"/>
            <w:color w:val="000000" w:themeColor="text1"/>
            <w:u w:val="none"/>
            <w:shd w:val="clear" w:color="auto" w:fill="FFFFFF"/>
          </w:rPr>
          <w:t>https://www.inbrief.co.uk/offences/failure-to-act-law/</w:t>
        </w:r>
      </w:hyperlink>
      <w:r w:rsidRPr="00C45341">
        <w:rPr>
          <w:color w:val="000000" w:themeColor="text1"/>
          <w:shd w:val="clear" w:color="auto" w:fill="FFFFFF"/>
        </w:rPr>
        <w:t>&gt; [Accessed on 31st October 2022]</w:t>
      </w:r>
    </w:p>
    <w:p w14:paraId="78CBBA2B" w14:textId="77777777" w:rsidR="00C45341" w:rsidRPr="00C45341" w:rsidRDefault="00C45341" w:rsidP="00C45341">
      <w:pPr>
        <w:rPr>
          <w:color w:val="000000" w:themeColor="text1"/>
        </w:rPr>
      </w:pPr>
      <w:r w:rsidRPr="00C45341">
        <w:rPr>
          <w:color w:val="000000" w:themeColor="text1"/>
          <w:highlight w:val="white"/>
        </w:rPr>
        <w:t xml:space="preserve">Lexisnexis, 2022. </w:t>
      </w:r>
      <w:r w:rsidRPr="00C45341">
        <w:rPr>
          <w:i/>
          <w:color w:val="000000" w:themeColor="text1"/>
          <w:highlight w:val="white"/>
        </w:rPr>
        <w:t xml:space="preserve">Criminal act or omission. </w:t>
      </w:r>
      <w:r w:rsidRPr="00C45341">
        <w:rPr>
          <w:color w:val="000000" w:themeColor="text1"/>
          <w:highlight w:val="white"/>
        </w:rPr>
        <w:t>[online]. Available at:&lt;</w:t>
      </w:r>
      <w:hyperlink r:id="rId14">
        <w:r w:rsidRPr="00C45341">
          <w:rPr>
            <w:color w:val="000000" w:themeColor="text1"/>
            <w:highlight w:val="white"/>
          </w:rPr>
          <w:t>https://www.lexisnexis.co.uk/legal/guidance/criminal-act-or-omission</w:t>
        </w:r>
      </w:hyperlink>
      <w:r w:rsidRPr="00C45341">
        <w:rPr>
          <w:color w:val="000000" w:themeColor="text1"/>
          <w:highlight w:val="white"/>
        </w:rPr>
        <w:t xml:space="preserve">&gt; </w:t>
      </w:r>
      <w:r w:rsidRPr="00C45341">
        <w:rPr>
          <w:color w:val="000000" w:themeColor="text1"/>
        </w:rPr>
        <w:t>[Accessed on: 6th November 2022].</w:t>
      </w:r>
    </w:p>
    <w:p w14:paraId="3AB1FFDA" w14:textId="77777777" w:rsidR="00C45341" w:rsidRPr="00C45341" w:rsidRDefault="00C45341" w:rsidP="00C45341">
      <w:pPr>
        <w:rPr>
          <w:color w:val="000000" w:themeColor="text1"/>
          <w:highlight w:val="white"/>
        </w:rPr>
      </w:pPr>
      <w:r w:rsidRPr="00C45341">
        <w:rPr>
          <w:color w:val="000000" w:themeColor="text1"/>
          <w:highlight w:val="white"/>
        </w:rPr>
        <w:t xml:space="preserve">Sheikh, H. and Subhan, M., 2017. Is the'Failure to Act'a Sufficient Basis for Criminal Liability under English Criminal Law?. </w:t>
      </w:r>
      <w:r w:rsidRPr="00C45341">
        <w:rPr>
          <w:i/>
          <w:color w:val="000000" w:themeColor="text1"/>
          <w:highlight w:val="white"/>
        </w:rPr>
        <w:t>Criminal Law &amp; Justice Weekly</w:t>
      </w:r>
      <w:r w:rsidRPr="00C45341">
        <w:rPr>
          <w:color w:val="000000" w:themeColor="text1"/>
          <w:highlight w:val="white"/>
        </w:rPr>
        <w:t xml:space="preserve">, </w:t>
      </w:r>
      <w:r w:rsidRPr="00C45341">
        <w:rPr>
          <w:i/>
          <w:color w:val="000000" w:themeColor="text1"/>
          <w:highlight w:val="white"/>
        </w:rPr>
        <w:t>181</w:t>
      </w:r>
      <w:r w:rsidRPr="00C45341">
        <w:rPr>
          <w:color w:val="000000" w:themeColor="text1"/>
          <w:highlight w:val="white"/>
        </w:rPr>
        <w:t>.</w:t>
      </w:r>
    </w:p>
    <w:p w14:paraId="59B12E54" w14:textId="77777777" w:rsidR="00C45341" w:rsidRPr="00C45341" w:rsidRDefault="00C45341" w:rsidP="00C45341">
      <w:pPr>
        <w:rPr>
          <w:color w:val="000000" w:themeColor="text1"/>
        </w:rPr>
      </w:pPr>
      <w:r w:rsidRPr="00C45341">
        <w:rPr>
          <w:color w:val="000000" w:themeColor="text1"/>
        </w:rPr>
        <w:lastRenderedPageBreak/>
        <w:t xml:space="preserve">Swarb, 2022. </w:t>
      </w:r>
      <w:r w:rsidRPr="00C45341">
        <w:rPr>
          <w:i/>
          <w:color w:val="000000" w:themeColor="text1"/>
        </w:rPr>
        <w:t xml:space="preserve">Regina v Instan: </w:t>
      </w:r>
      <w:r w:rsidRPr="00C45341">
        <w:rPr>
          <w:i/>
          <w:color w:val="000000" w:themeColor="text1"/>
          <w:highlight w:val="white"/>
        </w:rPr>
        <w:t xml:space="preserve">[1893] 1 QB 450. </w:t>
      </w:r>
      <w:r w:rsidRPr="00C45341">
        <w:rPr>
          <w:color w:val="000000" w:themeColor="text1"/>
          <w:highlight w:val="white"/>
        </w:rPr>
        <w:t>[online]. Available at:&lt;</w:t>
      </w:r>
      <w:hyperlink r:id="rId15">
        <w:r w:rsidRPr="00C45341">
          <w:rPr>
            <w:color w:val="000000" w:themeColor="text1"/>
            <w:highlight w:val="white"/>
          </w:rPr>
          <w:t>https://swarb.co.uk/regina-v-instan-1893/</w:t>
        </w:r>
      </w:hyperlink>
      <w:r w:rsidRPr="00C45341">
        <w:rPr>
          <w:color w:val="000000" w:themeColor="text1"/>
          <w:highlight w:val="white"/>
        </w:rPr>
        <w:t xml:space="preserve">&gt; </w:t>
      </w:r>
      <w:r w:rsidRPr="00C45341">
        <w:rPr>
          <w:color w:val="000000" w:themeColor="text1"/>
        </w:rPr>
        <w:t>[Accessed on: 6th November 2022].</w:t>
      </w:r>
    </w:p>
    <w:p w14:paraId="7D4B2813" w14:textId="77777777" w:rsidR="00063413" w:rsidRPr="00C45341" w:rsidRDefault="00E421F3" w:rsidP="00C45341">
      <w:pPr>
        <w:rPr>
          <w:color w:val="000000" w:themeColor="text1"/>
          <w:highlight w:val="white"/>
        </w:rPr>
      </w:pPr>
      <w:r w:rsidRPr="00C45341">
        <w:rPr>
          <w:color w:val="000000" w:themeColor="text1"/>
          <w:highlight w:val="white"/>
        </w:rPr>
        <w:t>R v Miller,, 1 All ER 978 (HL)</w:t>
      </w:r>
    </w:p>
    <w:p w14:paraId="474D5FC1" w14:textId="77777777" w:rsidR="00063413" w:rsidRPr="00C45341" w:rsidRDefault="00E421F3" w:rsidP="00C45341">
      <w:pPr>
        <w:rPr>
          <w:color w:val="000000" w:themeColor="text1"/>
          <w:highlight w:val="white"/>
        </w:rPr>
      </w:pPr>
      <w:r w:rsidRPr="00C45341">
        <w:rPr>
          <w:color w:val="000000" w:themeColor="text1"/>
          <w:highlight w:val="white"/>
        </w:rPr>
        <w:t>R v Pittwood [1902] TLR 37</w:t>
      </w:r>
    </w:p>
    <w:sectPr w:rsidR="00063413" w:rsidRPr="00C45341">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F2BE8" w14:textId="77777777" w:rsidR="0020226C" w:rsidRDefault="0020226C" w:rsidP="00C45341">
      <w:pPr>
        <w:spacing w:before="0" w:after="0" w:line="240" w:lineRule="auto"/>
      </w:pPr>
      <w:r>
        <w:separator/>
      </w:r>
    </w:p>
  </w:endnote>
  <w:endnote w:type="continuationSeparator" w:id="0">
    <w:p w14:paraId="1ADDB4A1" w14:textId="77777777" w:rsidR="0020226C" w:rsidRDefault="0020226C" w:rsidP="00C4534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3879003"/>
      <w:docPartObj>
        <w:docPartGallery w:val="Page Numbers (Bottom of Page)"/>
        <w:docPartUnique/>
      </w:docPartObj>
    </w:sdtPr>
    <w:sdtEndPr>
      <w:rPr>
        <w:noProof/>
      </w:rPr>
    </w:sdtEndPr>
    <w:sdtContent>
      <w:p w14:paraId="318BC330" w14:textId="77777777" w:rsidR="00C45341" w:rsidRDefault="00C4534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9CBD1CB" w14:textId="77777777" w:rsidR="00C45341" w:rsidRDefault="00C45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5A75E" w14:textId="77777777" w:rsidR="0020226C" w:rsidRDefault="0020226C" w:rsidP="00C45341">
      <w:pPr>
        <w:spacing w:before="0" w:after="0" w:line="240" w:lineRule="auto"/>
      </w:pPr>
      <w:r>
        <w:separator/>
      </w:r>
    </w:p>
  </w:footnote>
  <w:footnote w:type="continuationSeparator" w:id="0">
    <w:p w14:paraId="6997AC8C" w14:textId="77777777" w:rsidR="0020226C" w:rsidRDefault="0020226C" w:rsidP="00C4534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3413"/>
    <w:rsid w:val="00063413"/>
    <w:rsid w:val="0020226C"/>
    <w:rsid w:val="00924B9E"/>
    <w:rsid w:val="00C45341"/>
    <w:rsid w:val="00E421F3"/>
    <w:rsid w:val="00EE78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EA5DB"/>
  <w15:docId w15:val="{AD7D9D84-90DF-498B-816E-C40A2148A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45341"/>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NormalWeb">
    <w:name w:val="Normal (Web)"/>
    <w:basedOn w:val="Normal"/>
    <w:uiPriority w:val="99"/>
    <w:unhideWhenUsed/>
    <w:rsid w:val="00C45341"/>
    <w:pPr>
      <w:spacing w:before="100" w:beforeAutospacing="1" w:after="100" w:afterAutospacing="1" w:line="240" w:lineRule="auto"/>
      <w:jc w:val="left"/>
    </w:pPr>
  </w:style>
  <w:style w:type="character" w:styleId="Hyperlink">
    <w:name w:val="Hyperlink"/>
    <w:basedOn w:val="DefaultParagraphFont"/>
    <w:uiPriority w:val="99"/>
    <w:unhideWhenUsed/>
    <w:rsid w:val="00C45341"/>
    <w:rPr>
      <w:color w:val="0000FF"/>
      <w:u w:val="single"/>
    </w:rPr>
  </w:style>
  <w:style w:type="paragraph" w:styleId="TOCHeading">
    <w:name w:val="TOC Heading"/>
    <w:basedOn w:val="Heading1"/>
    <w:next w:val="Normal"/>
    <w:uiPriority w:val="39"/>
    <w:unhideWhenUsed/>
    <w:qFormat/>
    <w:rsid w:val="00C45341"/>
    <w:pPr>
      <w:spacing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45341"/>
    <w:pPr>
      <w:spacing w:after="100"/>
    </w:pPr>
  </w:style>
  <w:style w:type="paragraph" w:styleId="Header">
    <w:name w:val="header"/>
    <w:basedOn w:val="Normal"/>
    <w:link w:val="HeaderChar"/>
    <w:uiPriority w:val="99"/>
    <w:unhideWhenUsed/>
    <w:rsid w:val="00C4534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45341"/>
  </w:style>
  <w:style w:type="paragraph" w:styleId="Footer">
    <w:name w:val="footer"/>
    <w:basedOn w:val="Normal"/>
    <w:link w:val="FooterChar"/>
    <w:uiPriority w:val="99"/>
    <w:unhideWhenUsed/>
    <w:rsid w:val="00C4534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453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55606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oddereducation.co.uk/media/Documents/magazine-extras/Law%20Review/Law%20Rev%20Vol%209%20No%201/LawRev-9_1-Omission-answers.pdf?ext=.pdf" TargetMode="External"/><Relationship Id="rId13" Type="http://schemas.openxmlformats.org/officeDocument/2006/relationships/hyperlink" Target="https://www.inbrief.co.uk/offences/failure-to-act-law/"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oddereducation.co.uk/media/Documents/magazine-extras/Law%20Review/Law%20Rev%20Vol%209%20No%201/LawRev-9_1-Omission-answers.pdf?ext=.pdf" TargetMode="External"/><Relationship Id="rId12" Type="http://schemas.openxmlformats.org/officeDocument/2006/relationships/hyperlink" Target="https://www.iclr.co.uk/knowledge/topics/the-english-legal-syste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clr.co.uk/knowledge/glossary/mens-rea-and-actus-reus/" TargetMode="External"/><Relationship Id="rId5" Type="http://schemas.openxmlformats.org/officeDocument/2006/relationships/footnotes" Target="footnotes.xml"/><Relationship Id="rId15" Type="http://schemas.openxmlformats.org/officeDocument/2006/relationships/hyperlink" Target="https://swarb.co.uk/regina-v-instan-1893/" TargetMode="External"/><Relationship Id="rId10" Type="http://schemas.openxmlformats.org/officeDocument/2006/relationships/hyperlink" Target="http://www.e-lawresources.co.uk/R-v-Stone--and--Dobinson.php" TargetMode="External"/><Relationship Id="rId4" Type="http://schemas.openxmlformats.org/officeDocument/2006/relationships/webSettings" Target="webSettings.xml"/><Relationship Id="rId9" Type="http://schemas.openxmlformats.org/officeDocument/2006/relationships/hyperlink" Target="https://www.bbc.com/news/world-us-canada-40680895" TargetMode="External"/><Relationship Id="rId14" Type="http://schemas.openxmlformats.org/officeDocument/2006/relationships/hyperlink" Target="https://www.lexisnexis.co.uk/legal/guidance/criminal-act-or-omi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061DFC-FDBC-484A-AB7C-4304280A4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1907</Words>
  <Characters>10871</Characters>
  <Application>Microsoft Office Word</Application>
  <DocSecurity>0</DocSecurity>
  <Lines>90</Lines>
  <Paragraphs>25</Paragraphs>
  <ScaleCrop>false</ScaleCrop>
  <Company/>
  <LinksUpToDate>false</LinksUpToDate>
  <CharactersWithSpaces>12753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dorin ghisoiu</cp:lastModifiedBy>
  <cp:revision>4</cp:revision>
  <dcterms:created xsi:type="dcterms:W3CDTF">2022-11-06T12:43:00Z</dcterms:created>
  <dcterms:modified xsi:type="dcterms:W3CDTF">2022-11-11T13:33:00Z</dcterms:modified>
</cp:coreProperties>
</file>