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BA Business Management</w:t>
      </w:r>
    </w:p>
    <w:p>
      <w:pPr>
        <w:spacing w:before="0" w:after="160" w:line="360"/>
        <w:ind w:right="0" w:left="0" w:firstLine="0"/>
        <w:jc w:val="center"/>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Module: International Business Communications</w:t>
      </w:r>
    </w:p>
    <w:p>
      <w:pPr>
        <w:spacing w:before="0" w:after="160" w:line="360"/>
        <w:ind w:right="0" w:left="0" w:firstLine="0"/>
        <w:jc w:val="center"/>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Module code: LCBB6001</w:t>
      </w:r>
    </w:p>
    <w:p>
      <w:pPr>
        <w:spacing w:before="0" w:after="160" w:line="360"/>
        <w:ind w:right="0" w:left="0" w:firstLine="0"/>
        <w:jc w:val="center"/>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Student name: Angela Nastasiu</w:t>
      </w:r>
    </w:p>
    <w:p>
      <w:pPr>
        <w:spacing w:before="0" w:after="160" w:line="360"/>
        <w:ind w:right="0" w:left="0" w:firstLine="0"/>
        <w:jc w:val="center"/>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Student ID</w:t>
      </w:r>
      <w:r>
        <w:rPr>
          <w:rFonts w:ascii="Times New Roman" w:hAnsi="Times New Roman" w:cs="Times New Roman" w:eastAsia="Times New Roman"/>
          <w:color w:val="auto"/>
          <w:spacing w:val="0"/>
          <w:position w:val="0"/>
          <w:sz w:val="28"/>
          <w:shd w:fill="auto" w:val="clear"/>
        </w:rPr>
        <w:t xml:space="preserve">: 1907399</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8"/>
          <w:shd w:fill="auto" w:val="clear"/>
        </w:rPr>
        <w:t xml:space="preserve">Lecturer:</w:t>
      </w:r>
      <w:r>
        <w:rPr>
          <w:rFonts w:ascii="Times New Roman" w:hAnsi="Times New Roman" w:cs="Times New Roman" w:eastAsia="Times New Roman"/>
          <w:color w:val="auto"/>
          <w:spacing w:val="0"/>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Rexon Nting</w:t>
      </w: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Introduction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International Business can be formed in numerous formats. It can be the exchange of goods from one country to another or can be the agreement between Franchisor and franchisee for providing foreign services to another country. A business may shift its business operations including manufacturing, distributing, research, and development to a cross-border country(Collinson, Narula and Rugman, 2014). The study of international business helps to understand how businesses are adapting to the changing economy of the world. International Business is possible for globalization. The liberalization of trade and investment and the advancement of technology have directed international business to be expanded. Countries can gain the advantage of expert knowledge and production resources through international trade. It enables the flow of resources between two countries. As a result, consumers will have a wider selection of products and services to choose from. After fulfilling the domestic demand, business firms can explore and establish new markets internationally. As a result, business firms become more efficient and more creative with their resources to be more competitive (Stephen and Muriel, 2017). The firms introduce encourages to be more innovative. Cross-culture communication refers to the interaction of parties from other countries, societies, religions, and cultures to understand the conveyed value. It helps to understand communication styles and standards of communication in conversation.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Company overview</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Lush, a UK-based manufacturer and producer of cosmetics, is renowned for environmentally friendly natural cosmetics. The expansion of this leads this company to establish</w:t>
      </w:r>
      <w:r>
        <w:rPr>
          <w:rFonts w:ascii="Times New Roman" w:hAnsi="Times New Roman" w:cs="Times New Roman" w:eastAsia="Times New Roman"/>
          <w:color w:val="auto"/>
          <w:spacing w:val="0"/>
          <w:position w:val="0"/>
          <w:sz w:val="24"/>
          <w:shd w:fill="auto" w:val="clear"/>
        </w:rPr>
        <w:t xml:space="preserve"> 900 physical locations in over 50 countries. It also has an online presence. Headquarters of LUSH are located in the Dorset town of Poole. By Mark Constantine and his wife, Mo Constantine, as well as five others, it was founded in 1995. The company acknowledges that the products are hand-made using vegetarian ingredients and minimal preservatives (Stephen and Muriel, 2017). This company does not buy materials from companies that use animals for testing purposes, and it aims to reduce packaging to decrease costs for better products.</w:t>
      </w: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County overview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Bangladesh, a small county in the northeast part of the Indian subcontinent, has a large size of population. According to the World Bank, It is approximately the size of 165 million by 2021. This country is import-based, export is less than import. The government of Bangladesh is actively seeking foreign investment, notably in the textile industry, light manufacturing and energy, and power sectors. Most of the people from this country belong to rural areas. The growth of this country requires a huge number of investments (Abdin, 2015). The RMG sector has the most impact on the growth of the export economy. The capital, the centre of its financial, cultural, and political hub, is Dhaka. In terms of Bangladesh's exports, commodity and market concentration are two of the most notable characteristics.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Theory of international and intercultural communication</w:t>
      </w:r>
    </w:p>
    <w:p>
      <w:pPr>
        <w:keepNext w:val="true"/>
        <w:keepLines w:val="true"/>
        <w:spacing w:before="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Hofstede's Six Dimensions of Culture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psychologist, Dr Geert Hofstede, developed a model for explaining cultural dimensions. This model became the international standard of cultural differences between one country to another. He included six dimensions to understand and distinguish cultures from different countries</w:t>
      </w:r>
      <w:r>
        <w:rPr>
          <w:rFonts w:ascii="Times New Roman" w:hAnsi="Times New Roman" w:cs="Times New Roman" w:eastAsia="Times New Roman"/>
          <w:color w:val="auto"/>
          <w:spacing w:val="0"/>
          <w:position w:val="0"/>
          <w:sz w:val="22"/>
          <w:shd w:fill="auto" w:val="clear"/>
        </w:rPr>
        <w:t xml:space="preserve"> </w:t>
      </w:r>
      <w:r>
        <w:rPr>
          <w:rFonts w:ascii="Times New Roman" w:hAnsi="Times New Roman" w:cs="Times New Roman" w:eastAsia="Times New Roman"/>
          <w:color w:val="auto"/>
          <w:spacing w:val="0"/>
          <w:position w:val="0"/>
          <w:sz w:val="24"/>
          <w:shd w:fill="auto" w:val="clear"/>
        </w:rPr>
        <w:t xml:space="preserve">(Hofstede, 2014). Firstly it explains the_</w:t>
      </w:r>
    </w:p>
    <w:p>
      <w:pPr>
        <w:spacing w:before="0" w:after="0" w:line="360"/>
        <w:ind w:right="0" w:left="0" w:firstLine="0"/>
        <w:jc w:val="both"/>
        <w:rPr>
          <w:rFonts w:ascii="Times New Roman" w:hAnsi="Times New Roman" w:cs="Times New Roman" w:eastAsia="Times New Roman"/>
          <w:b/>
          <w:color w:val="auto"/>
          <w:spacing w:val="-10"/>
          <w:position w:val="0"/>
          <w:sz w:val="24"/>
          <w:shd w:fill="auto" w:val="clear"/>
        </w:rPr>
      </w:pPr>
      <w:r>
        <w:rPr>
          <w:rFonts w:ascii="Times New Roman" w:hAnsi="Times New Roman" w:cs="Times New Roman" w:eastAsia="Times New Roman"/>
          <w:b/>
          <w:color w:val="auto"/>
          <w:spacing w:val="-10"/>
          <w:position w:val="0"/>
          <w:sz w:val="24"/>
          <w:shd w:fill="auto" w:val="clear"/>
        </w:rPr>
        <w:t xml:space="preserve">Power Distance Index</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dimension refers to</w:t>
      </w:r>
      <w:r>
        <w:rPr>
          <w:rFonts w:ascii="Times New Roman" w:hAnsi="Times New Roman" w:cs="Times New Roman" w:eastAsia="Times New Roman"/>
          <w:color w:val="auto"/>
          <w:spacing w:val="0"/>
          <w:position w:val="0"/>
          <w:sz w:val="24"/>
          <w:shd w:fill="FFFFFF" w:val="clear"/>
        </w:rPr>
        <w:t xml:space="preserve"> measures the degree of disparity that exists </w:t>
      </w:r>
      <w:r>
        <w:rPr>
          <w:rFonts w:ascii="Times New Roman" w:hAnsi="Times New Roman" w:cs="Times New Roman" w:eastAsia="Times New Roman"/>
          <w:color w:val="auto"/>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 and is recognized </w:t>
      </w:r>
      <w:r>
        <w:rPr>
          <w:rFonts w:ascii="Times New Roman" w:hAnsi="Times New Roman" w:cs="Times New Roman" w:eastAsia="Times New Roman"/>
          <w:color w:val="auto"/>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 among those who have and do not have power. </w:t>
      </w:r>
      <w:r>
        <w:rPr>
          <w:rFonts w:ascii="Times New Roman" w:hAnsi="Times New Roman" w:cs="Times New Roman" w:eastAsia="Times New Roman"/>
          <w:color w:val="auto"/>
          <w:spacing w:val="0"/>
          <w:position w:val="0"/>
          <w:sz w:val="24"/>
          <w:shd w:fill="auto" w:val="clear"/>
        </w:rPr>
        <w:t xml:space="preserve">High PDI reflects that society accepts an unequal, hierarchical balance of power and that people will understand "their status" in the system. A low PDI score indicates that power is spread and dispersed and that parts of society will not permit situations in which power flows inequitably. In Bangladesh, people tend to accept the hierarchy without any justification. They expect to be directed by the higher level and central decision. </w:t>
      </w:r>
    </w:p>
    <w:p>
      <w:pPr>
        <w:spacing w:before="0" w:after="0" w:line="360"/>
        <w:ind w:right="0" w:left="0" w:firstLine="0"/>
        <w:jc w:val="both"/>
        <w:rPr>
          <w:rFonts w:ascii="Times New Roman" w:hAnsi="Times New Roman" w:cs="Times New Roman" w:eastAsia="Times New Roman"/>
          <w:b/>
          <w:color w:val="auto"/>
          <w:spacing w:val="-10"/>
          <w:position w:val="0"/>
          <w:sz w:val="24"/>
          <w:shd w:fill="auto" w:val="clear"/>
        </w:rPr>
      </w:pPr>
      <w:r>
        <w:rPr>
          <w:rFonts w:ascii="Times New Roman" w:hAnsi="Times New Roman" w:cs="Times New Roman" w:eastAsia="Times New Roman"/>
          <w:b/>
          <w:color w:val="auto"/>
          <w:spacing w:val="-10"/>
          <w:position w:val="0"/>
          <w:sz w:val="24"/>
          <w:shd w:fill="auto" w:val="clear"/>
        </w:rPr>
        <w:t xml:space="preserve">Individualism Versus Collectivism</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This dimension explains to understand the extent to that which members interact with one another within their surrounding neighbourhood. </w:t>
      </w:r>
      <w:r>
        <w:rPr>
          <w:rFonts w:ascii="Times New Roman" w:hAnsi="Times New Roman" w:cs="Times New Roman" w:eastAsia="Times New Roman"/>
          <w:color w:val="auto"/>
          <w:spacing w:val="0"/>
          <w:position w:val="0"/>
          <w:sz w:val="24"/>
          <w:shd w:fill="auto" w:val="clear"/>
        </w:rPr>
        <w:t xml:space="preserve">Individuals who aren't a part of a core "community", suggest a lack of interpersonal relationships. People are less inclined to hold one another responsible for the actions and results of others in this society</w:t>
      </w:r>
      <w:r>
        <w:rPr>
          <w:rFonts w:ascii="Times New Roman" w:hAnsi="Times New Roman" w:cs="Times New Roman" w:eastAsia="Times New Roman"/>
          <w:color w:val="auto"/>
          <w:spacing w:val="0"/>
          <w:position w:val="0"/>
          <w:sz w:val="22"/>
          <w:shd w:fill="auto" w:val="clear"/>
        </w:rPr>
        <w:t xml:space="preserve"> </w:t>
      </w:r>
      <w:r>
        <w:rPr>
          <w:rFonts w:ascii="Times New Roman" w:hAnsi="Times New Roman" w:cs="Times New Roman" w:eastAsia="Times New Roman"/>
          <w:color w:val="auto"/>
          <w:spacing w:val="0"/>
          <w:position w:val="0"/>
          <w:sz w:val="24"/>
          <w:shd w:fill="auto" w:val="clear"/>
        </w:rPr>
        <w:t xml:space="preserve">(Hofstede, 2014). A collectivist society on the other hand believes that one's members will be loyal to the group that they are a part of as a manner of ensuring that the organization will represent their interests. In Bangladesh, the society is collectivistic where people are more dedicated to their family and community to serve others. People ignore the societal laws and regulations and they prioritized collectivism.</w:t>
      </w:r>
    </w:p>
    <w:p>
      <w:pPr>
        <w:spacing w:before="0" w:after="0" w:line="360"/>
        <w:ind w:right="0" w:left="0" w:firstLine="0"/>
        <w:jc w:val="both"/>
        <w:rPr>
          <w:rFonts w:ascii="Times New Roman" w:hAnsi="Times New Roman" w:cs="Times New Roman" w:eastAsia="Times New Roman"/>
          <w:b/>
          <w:color w:val="auto"/>
          <w:spacing w:val="-10"/>
          <w:position w:val="0"/>
          <w:sz w:val="24"/>
          <w:shd w:fill="auto" w:val="clear"/>
        </w:rPr>
      </w:pPr>
      <w:r>
        <w:rPr>
          <w:rFonts w:ascii="Times New Roman" w:hAnsi="Times New Roman" w:cs="Times New Roman" w:eastAsia="Times New Roman"/>
          <w:b/>
          <w:color w:val="auto"/>
          <w:spacing w:val="-10"/>
          <w:position w:val="0"/>
          <w:sz w:val="24"/>
          <w:shd w:fill="auto" w:val="clear"/>
        </w:rPr>
        <w:t xml:space="preserve">Masculinity versus Femininity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explains the duties of men and women in a certain community or society. It measures how men and women are assigned duties. Masculine civilization recognizes men as more assertive because of physical power and speed. In feminine societies, modesty is considered a virtue</w:t>
      </w:r>
      <w:r>
        <w:rPr>
          <w:rFonts w:ascii="Times New Roman" w:hAnsi="Times New Roman" w:cs="Times New Roman" w:eastAsia="Times New Roman"/>
          <w:color w:val="auto"/>
          <w:spacing w:val="0"/>
          <w:position w:val="0"/>
          <w:sz w:val="22"/>
          <w:shd w:fill="auto" w:val="clear"/>
        </w:rPr>
        <w:t xml:space="preserve"> </w:t>
      </w:r>
      <w:r>
        <w:rPr>
          <w:rFonts w:ascii="Times New Roman" w:hAnsi="Times New Roman" w:cs="Times New Roman" w:eastAsia="Times New Roman"/>
          <w:color w:val="auto"/>
          <w:spacing w:val="0"/>
          <w:position w:val="0"/>
          <w:sz w:val="24"/>
          <w:shd w:fill="auto" w:val="clear"/>
        </w:rPr>
        <w:t xml:space="preserve">(Wangmo and (Advisor), 2018). According to this dimension, Bangladesh </w:t>
      </w:r>
      <w:r>
        <w:rPr>
          <w:rFonts w:ascii="Times New Roman" w:hAnsi="Times New Roman" w:cs="Times New Roman" w:eastAsia="Times New Roman"/>
          <w:color w:val="auto"/>
          <w:spacing w:val="0"/>
          <w:position w:val="0"/>
          <w:sz w:val="24"/>
          <w:shd w:fill="FFFFFF" w:val="clear"/>
        </w:rPr>
        <w:t xml:space="preserve">has a Masculine society.</w:t>
      </w:r>
      <w:r>
        <w:rPr>
          <w:rFonts w:ascii="Times New Roman" w:hAnsi="Times New Roman" w:cs="Times New Roman" w:eastAsia="Times New Roman"/>
          <w:color w:val="auto"/>
          <w:spacing w:val="0"/>
          <w:position w:val="0"/>
          <w:sz w:val="24"/>
          <w:shd w:fill="auto" w:val="clear"/>
        </w:rPr>
        <w:t xml:space="preserve"> In Masculine countries, managers are expected to be decisive and forceful.</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10"/>
          <w:position w:val="0"/>
          <w:sz w:val="24"/>
          <w:shd w:fill="auto" w:val="clear"/>
        </w:rPr>
      </w:pPr>
      <w:r>
        <w:rPr>
          <w:rFonts w:ascii="Times New Roman" w:hAnsi="Times New Roman" w:cs="Times New Roman" w:eastAsia="Times New Roman"/>
          <w:b/>
          <w:color w:val="auto"/>
          <w:spacing w:val="-10"/>
          <w:position w:val="0"/>
          <w:sz w:val="24"/>
          <w:shd w:fill="auto" w:val="clear"/>
        </w:rPr>
        <w:t xml:space="preserve">Uncertainty Avoidance Index</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surroundings always interact with uncertainty. This dimension refers to how people deal with anxiety. People are likely to have less risk of unpredictability, where uncertainty avoidance is high. It is important to mention that avoiding risk doesn’t refer to avoiding uncertainty. Many people from other countries have more interested to accept the risk. People of Bangladesh have high uncertainty avoidance index that implies that they want to be more secure.</w:t>
      </w:r>
    </w:p>
    <w:p>
      <w:pPr>
        <w:spacing w:before="0" w:after="0" w:line="360"/>
        <w:ind w:right="0" w:left="0" w:firstLine="0"/>
        <w:jc w:val="both"/>
        <w:rPr>
          <w:rFonts w:ascii="Times New Roman" w:hAnsi="Times New Roman" w:cs="Times New Roman" w:eastAsia="Times New Roman"/>
          <w:b/>
          <w:color w:val="auto"/>
          <w:spacing w:val="-10"/>
          <w:position w:val="0"/>
          <w:sz w:val="24"/>
          <w:shd w:fill="auto" w:val="clear"/>
        </w:rPr>
      </w:pPr>
      <w:r>
        <w:rPr>
          <w:rFonts w:ascii="Times New Roman" w:hAnsi="Times New Roman" w:cs="Times New Roman" w:eastAsia="Times New Roman"/>
          <w:b/>
          <w:color w:val="auto"/>
          <w:spacing w:val="-10"/>
          <w:position w:val="0"/>
          <w:sz w:val="24"/>
          <w:shd w:fill="auto" w:val="clear"/>
        </w:rPr>
        <w:t xml:space="preserve">Long- Versus Short-Term Orientation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Long-term orientation refers to focusing on the future. By putting off short-term money and achievement, people get prepared for the future. Focusing on the short term refers to being concerned about the present. </w:t>
      </w:r>
      <w:r>
        <w:rPr>
          <w:rFonts w:ascii="Times New Roman" w:hAnsi="Times New Roman" w:cs="Times New Roman" w:eastAsia="Times New Roman"/>
          <w:color w:val="auto"/>
          <w:spacing w:val="0"/>
          <w:position w:val="0"/>
          <w:sz w:val="24"/>
          <w:shd w:fill="FFFFFF" w:val="clear"/>
        </w:rPr>
        <w:t xml:space="preserve">Keeping fundamental ties to the previous while also facing the current reality is a must for any culture, and different communities place a different value on this and other such aspirations</w:t>
      </w:r>
      <w:r>
        <w:rPr>
          <w:rFonts w:ascii="Times New Roman" w:hAnsi="Times New Roman" w:cs="Times New Roman" w:eastAsia="Times New Roman"/>
          <w:color w:val="auto"/>
          <w:spacing w:val="0"/>
          <w:position w:val="0"/>
          <w:sz w:val="22"/>
          <w:shd w:fill="auto" w:val="clear"/>
        </w:rPr>
        <w:t xml:space="preserve"> </w:t>
      </w:r>
      <w:r>
        <w:rPr>
          <w:rFonts w:ascii="Times New Roman" w:hAnsi="Times New Roman" w:cs="Times New Roman" w:eastAsia="Times New Roman"/>
          <w:color w:val="auto"/>
          <w:spacing w:val="0"/>
          <w:position w:val="0"/>
          <w:sz w:val="24"/>
          <w:shd w:fill="FFFFFF" w:val="clear"/>
        </w:rPr>
        <w:t xml:space="preserve">(Wangmo and (Advisor), 2018).</w:t>
      </w:r>
      <w:r>
        <w:rPr>
          <w:rFonts w:ascii="Times New Roman" w:hAnsi="Times New Roman" w:cs="Times New Roman" w:eastAsia="Times New Roman"/>
          <w:color w:val="auto"/>
          <w:spacing w:val="0"/>
          <w:position w:val="0"/>
          <w:sz w:val="24"/>
          <w:shd w:fill="EDFAFF" w:val="clear"/>
        </w:rPr>
        <w:t xml:space="preserve"> </w:t>
      </w:r>
      <w:r>
        <w:rPr>
          <w:rFonts w:ascii="Times New Roman" w:hAnsi="Times New Roman" w:cs="Times New Roman" w:eastAsia="Times New Roman"/>
          <w:color w:val="auto"/>
          <w:spacing w:val="0"/>
          <w:position w:val="0"/>
          <w:sz w:val="24"/>
          <w:shd w:fill="auto" w:val="clear"/>
        </w:rPr>
        <w:t xml:space="preserve">Normative societies of those who do well in this area, for example, choose to stick with old customs and values while being wary of the rapid changes in society. Bangladesh is in an intermediate position in this dimension. </w:t>
      </w:r>
    </w:p>
    <w:p>
      <w:pPr>
        <w:spacing w:before="0" w:after="0" w:line="360"/>
        <w:ind w:right="0" w:left="0" w:firstLine="0"/>
        <w:jc w:val="both"/>
        <w:rPr>
          <w:rFonts w:ascii="Times New Roman" w:hAnsi="Times New Roman" w:cs="Times New Roman" w:eastAsia="Times New Roman"/>
          <w:b/>
          <w:color w:val="auto"/>
          <w:spacing w:val="-10"/>
          <w:position w:val="0"/>
          <w:sz w:val="24"/>
          <w:shd w:fill="auto" w:val="clear"/>
        </w:rPr>
      </w:pPr>
      <w:r>
        <w:rPr>
          <w:rFonts w:ascii="Times New Roman" w:hAnsi="Times New Roman" w:cs="Times New Roman" w:eastAsia="Times New Roman"/>
          <w:b/>
          <w:color w:val="auto"/>
          <w:spacing w:val="-10"/>
          <w:position w:val="0"/>
          <w:sz w:val="24"/>
          <w:shd w:fill="auto" w:val="clear"/>
        </w:rPr>
        <w:t xml:space="preserve">Indulgence Versus Restraint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This dimension focuses on socialization. Society introduces infants to the fullest extent to perceive the social norms</w:t>
      </w:r>
      <w:r>
        <w:rPr>
          <w:rFonts w:ascii="Times New Roman" w:hAnsi="Times New Roman" w:cs="Times New Roman" w:eastAsia="Times New Roman"/>
          <w:color w:val="auto"/>
          <w:spacing w:val="0"/>
          <w:position w:val="0"/>
          <w:sz w:val="24"/>
          <w:shd w:fill="auto" w:val="clear"/>
        </w:rPr>
        <w:t xml:space="preserve">. The degree to which a person attempts to rein in their appetites and urges as a result of their upbringing is what we mean by this dimension. Indulgence society refers to a level of control that is neither too strong nor too weak (Hofstede, 2014). Restrained refers to the strong control of behaviour. In Bangladesh, society is not indulgent. It is a restrained society where the actions of people are restrained by social norms.</w:t>
      </w: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Cultural sensitivity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Culturally sensitive refers to the skills to learn and understand the culture, values, and norms of other people who are from different societies or cultures. Cultural sensitivity helps to understand people’s behaviour and surroundings in their community. A culturally sensitive person can be defined as one who judges cultural differences before making any decisions or opinions. A business’s stakeholders including Employers, suppliers, and customers can be from different cultural backgrounds (Galanti, 2017). The business should consider these for operating the business effectively and efficiently. In addition, culture concerned companies place a high priority on maintaining good relationships with their employees, suppliers, and customers according to respecting cultural differences. </w:t>
      </w:r>
    </w:p>
    <w:p>
      <w:pPr>
        <w:keepNext w:val="true"/>
        <w:keepLines w:val="true"/>
        <w:spacing w:before="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Internal cultural sensitivity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Bangladeshi culture is shaped by religious culture. The value of their religious identity stands higher than the national one. The majority of employees of this business will be from the Muslim religion because 90% of people of this country are Muslim. LUSH is a UK-based cosmetics business. It has the vacation for employees at Christmas as part of the benefits package. But in Bangladesh, it needs to make the benefits package according to the religious point of view. The non-muslim include Hindus, Buddhists, and Christian. Their festival has an impact on the business culture. The weekend is Friday in this country (Ahmed, 2019). Most of the people in this country communicate in their native language. Although some can communicate in English. But it is not impossible to communicate with them in English. Due to globalization, people in this country can speak and write in English for business purposes.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culture, people perceive that the older employees are the most senior and wise. This is the natural perspective of people. At the time of making decisions, Bangladeshis prefer the oldest or highest-ranking male in the group to guide them. Businesses in this country are mostly family or sole proprietorships. Education, experience, and seniority have an impact on the position of the business hierarchy. They always respect the expertise of experienced employees who have long experience in the business. The ways of greetings are normal forms of communication between two individuals irrespective of race, religion, or gender. Handshake is normal for that way of greetings. Bangladeshi society’s hierarchical structure strongly depends on naming conventions. People of the same age can call others by name. The senior according to the age should be called with the respected address. In the workplace, people work under their supervisors and show mutual respect to them (Ahmed, 2019). Generally, business meetings are conducted by the Seniority. This senior person may have the responsibility for participating in management activities. Sometimes, it can be considered as a lack of respect when they communicate with the professionals informally but it is not valid for every case. People from this country value professionalism.</w:t>
      </w: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Communication Barriers</w:t>
      </w:r>
    </w:p>
    <w:p>
      <w:pPr>
        <w:spacing w:before="0" w:after="0" w:line="360"/>
        <w:ind w:right="0" w:left="0" w:firstLine="0"/>
        <w:jc w:val="both"/>
        <w:rPr>
          <w:rFonts w:ascii="Times New Roman" w:hAnsi="Times New Roman" w:cs="Times New Roman" w:eastAsia="Times New Roman"/>
          <w:color w:val="auto"/>
          <w:spacing w:val="0"/>
          <w:position w:val="0"/>
          <w:sz w:val="24"/>
          <w:shd w:fill="EDFAFF" w:val="clear"/>
        </w:rPr>
      </w:pPr>
      <w:r>
        <w:rPr>
          <w:rFonts w:ascii="Times New Roman" w:hAnsi="Times New Roman" w:cs="Times New Roman" w:eastAsia="Times New Roman"/>
          <w:color w:val="auto"/>
          <w:spacing w:val="0"/>
          <w:position w:val="0"/>
          <w:sz w:val="24"/>
          <w:shd w:fill="auto" w:val="clear"/>
        </w:rPr>
        <w:t xml:space="preserve">Cultural communication includes two parties exchanging values and understanding according to their interpretations. It is essential for Understanding cross-cultural communication for globalized business. Misunderstandings of communication can negatively impact the business. Because of this, it is crucial to identify the blocks to effective cross-cultural communication and develop the methods and strategies that can be applied to overcome these barriers. Cultural variation derives from sharing perception, meaning, and understanding</w:t>
      </w:r>
      <w:r>
        <w:rPr>
          <w:rFonts w:ascii="Times New Roman" w:hAnsi="Times New Roman" w:cs="Times New Roman" w:eastAsia="Times New Roman"/>
          <w:color w:val="auto"/>
          <w:spacing w:val="0"/>
          <w:position w:val="0"/>
          <w:sz w:val="22"/>
          <w:shd w:fill="auto" w:val="clear"/>
        </w:rPr>
        <w:t xml:space="preserve"> </w:t>
      </w:r>
      <w:r>
        <w:rPr>
          <w:rFonts w:ascii="Times New Roman" w:hAnsi="Times New Roman" w:cs="Times New Roman" w:eastAsia="Times New Roman"/>
          <w:color w:val="auto"/>
          <w:spacing w:val="0"/>
          <w:position w:val="0"/>
          <w:sz w:val="24"/>
          <w:shd w:fill="auto" w:val="clear"/>
        </w:rPr>
        <w:t xml:space="preserve">(Agarwal, 2016). All of these can shape the development of culture. Lack of Cultural knowledge and inter Cultural communication skills prevent having an effective business organization in another country</w:t>
      </w:r>
      <w:r>
        <w:rPr>
          <w:rFonts w:ascii="Times New Roman" w:hAnsi="Times New Roman" w:cs="Times New Roman" w:eastAsia="Times New Roman"/>
          <w:color w:val="auto"/>
          <w:spacing w:val="0"/>
          <w:position w:val="0"/>
          <w:sz w:val="24"/>
          <w:shd w:fill="EDFAFF" w:val="clear"/>
        </w:rPr>
        <w:t xml:space="preserve"> </w:t>
      </w:r>
    </w:p>
    <w:p>
      <w:pPr>
        <w:keepNext w:val="true"/>
        <w:keepLines w:val="true"/>
        <w:spacing w:before="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Communication barriers that can be faced by the LUSH in Bangladesh are_</w:t>
      </w:r>
    </w:p>
    <w:p>
      <w:pPr>
        <w:spacing w:before="0" w:after="0" w:line="360"/>
        <w:ind w:right="0" w:left="0" w:firstLine="0"/>
        <w:jc w:val="both"/>
        <w:rPr>
          <w:rFonts w:ascii="Times New Roman" w:hAnsi="Times New Roman" w:cs="Times New Roman" w:eastAsia="Times New Roman"/>
          <w:b/>
          <w:color w:val="auto"/>
          <w:spacing w:val="-10"/>
          <w:position w:val="0"/>
          <w:sz w:val="24"/>
          <w:shd w:fill="FFFFFF" w:val="clear"/>
        </w:rPr>
      </w:pPr>
      <w:r>
        <w:rPr>
          <w:rFonts w:ascii="Times New Roman" w:hAnsi="Times New Roman" w:cs="Times New Roman" w:eastAsia="Times New Roman"/>
          <w:b/>
          <w:color w:val="auto"/>
          <w:spacing w:val="-10"/>
          <w:position w:val="0"/>
          <w:sz w:val="24"/>
          <w:shd w:fill="FFFFFF" w:val="clear"/>
        </w:rPr>
        <w:t xml:space="preserve">Language barrier</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Language refers to the common medium by which people of a country communicate with others. It is the most common problem of cross-cultural communication. In Bangladesh, people used to communicate in their native language</w:t>
      </w:r>
      <w:r>
        <w:rPr>
          <w:rFonts w:ascii="Times New Roman" w:hAnsi="Times New Roman" w:cs="Times New Roman" w:eastAsia="Times New Roman"/>
          <w:color w:val="auto"/>
          <w:spacing w:val="0"/>
          <w:position w:val="0"/>
          <w:sz w:val="22"/>
          <w:shd w:fill="auto" w:val="clear"/>
        </w:rPr>
        <w:t xml:space="preserve"> </w:t>
      </w:r>
      <w:r>
        <w:rPr>
          <w:rFonts w:ascii="Times New Roman" w:hAnsi="Times New Roman" w:cs="Times New Roman" w:eastAsia="Times New Roman"/>
          <w:color w:val="auto"/>
          <w:spacing w:val="0"/>
          <w:position w:val="0"/>
          <w:sz w:val="24"/>
          <w:shd w:fill="FFFFFF" w:val="clear"/>
        </w:rPr>
        <w:t xml:space="preserve">(Lenstra, 2019). By the English language, It can be reduced.  Moreover, the accent became a challenge to effective communication. British accents and native people’s accents have a huge difference.</w:t>
      </w:r>
    </w:p>
    <w:p>
      <w:pPr>
        <w:spacing w:before="0" w:after="0" w:line="360"/>
        <w:ind w:right="0" w:left="0" w:firstLine="0"/>
        <w:jc w:val="both"/>
        <w:rPr>
          <w:rFonts w:ascii="Times New Roman" w:hAnsi="Times New Roman" w:cs="Times New Roman" w:eastAsia="Times New Roman"/>
          <w:b/>
          <w:color w:val="auto"/>
          <w:spacing w:val="-10"/>
          <w:position w:val="0"/>
          <w:sz w:val="24"/>
          <w:shd w:fill="auto" w:val="clear"/>
        </w:rPr>
      </w:pPr>
      <w:r>
        <w:rPr>
          <w:rFonts w:ascii="Times New Roman" w:hAnsi="Times New Roman" w:cs="Times New Roman" w:eastAsia="Times New Roman"/>
          <w:b/>
          <w:color w:val="auto"/>
          <w:spacing w:val="-10"/>
          <w:position w:val="0"/>
          <w:sz w:val="24"/>
          <w:shd w:fill="auto" w:val="clear"/>
        </w:rPr>
        <w:t xml:space="preserve">Non-Verbal Communication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Communication doesn’t involve the written or expressed way. Sometimes it takes place in non-verbal form. Nonverbal communication has an essential role in general communication and cross-cultural communications. It creates difficulties in Cross-cultural communication. Lack of awareness of cultural differences in nonverbal substances such as handshakes, eye contact, posture, and other nonverbal cues may create misunderstanding between two parties who are different from each other’s culture.</w:t>
      </w:r>
    </w:p>
    <w:p>
      <w:pPr>
        <w:spacing w:before="0" w:after="0" w:line="360"/>
        <w:ind w:right="0" w:left="0" w:firstLine="0"/>
        <w:jc w:val="both"/>
        <w:rPr>
          <w:rFonts w:ascii="Times New Roman" w:hAnsi="Times New Roman" w:cs="Times New Roman" w:eastAsia="Times New Roman"/>
          <w:b/>
          <w:color w:val="auto"/>
          <w:spacing w:val="-10"/>
          <w:position w:val="0"/>
          <w:sz w:val="24"/>
          <w:shd w:fill="auto" w:val="clear"/>
        </w:rPr>
      </w:pPr>
      <w:r>
        <w:rPr>
          <w:rFonts w:ascii="Times New Roman" w:hAnsi="Times New Roman" w:cs="Times New Roman" w:eastAsia="Times New Roman"/>
          <w:b/>
          <w:color w:val="auto"/>
          <w:spacing w:val="-10"/>
          <w:position w:val="0"/>
          <w:sz w:val="24"/>
          <w:shd w:fill="auto" w:val="clear"/>
        </w:rPr>
        <w:t xml:space="preserve">Age difference in Workspace</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Workplace age differences are most common in all countries. But there may be moderate differences in the purpose of communication in some organizations. In Bangladesh, the top-level management is always an aged and experienced person. Sometimes lower-level employees feel difficult to communicate with their supervisors</w:t>
      </w:r>
      <w:r>
        <w:rPr>
          <w:rFonts w:ascii="Times New Roman" w:hAnsi="Times New Roman" w:cs="Times New Roman" w:eastAsia="Times New Roman"/>
          <w:color w:val="auto"/>
          <w:spacing w:val="0"/>
          <w:position w:val="0"/>
          <w:sz w:val="22"/>
          <w:shd w:fill="auto" w:val="clear"/>
        </w:rPr>
        <w:t xml:space="preserve"> </w:t>
      </w:r>
      <w:r>
        <w:rPr>
          <w:rFonts w:ascii="Times New Roman" w:hAnsi="Times New Roman" w:cs="Times New Roman" w:eastAsia="Times New Roman"/>
          <w:color w:val="auto"/>
          <w:spacing w:val="0"/>
          <w:position w:val="0"/>
          <w:sz w:val="24"/>
          <w:shd w:fill="FFFFFF" w:val="clear"/>
        </w:rPr>
        <w:t xml:space="preserve">(Lenstra, 2019). In some countries, it is normal to select the top management by their skills and ability. When he/ she is an aged person or young person to the management, the supervisors can feel difficulties communicating. As a result, it becomes a barrier to cross-cultural communication.</w:t>
      </w:r>
    </w:p>
    <w:p>
      <w:pPr>
        <w:spacing w:before="0" w:after="0" w:line="360"/>
        <w:ind w:right="0" w:left="0" w:firstLine="0"/>
        <w:jc w:val="both"/>
        <w:rPr>
          <w:rFonts w:ascii="Times New Roman" w:hAnsi="Times New Roman" w:cs="Times New Roman" w:eastAsia="Times New Roman"/>
          <w:b/>
          <w:color w:val="auto"/>
          <w:spacing w:val="-10"/>
          <w:position w:val="0"/>
          <w:sz w:val="24"/>
          <w:shd w:fill="auto" w:val="clear"/>
        </w:rPr>
      </w:pPr>
      <w:r>
        <w:rPr>
          <w:rFonts w:ascii="Times New Roman" w:hAnsi="Times New Roman" w:cs="Times New Roman" w:eastAsia="Times New Roman"/>
          <w:b/>
          <w:color w:val="auto"/>
          <w:spacing w:val="-10"/>
          <w:position w:val="0"/>
          <w:sz w:val="24"/>
          <w:shd w:fill="auto" w:val="clear"/>
        </w:rPr>
        <w:t xml:space="preserve">Values and Norms</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auto" w:val="clear"/>
        </w:rPr>
        <w:t xml:space="preserve">Norms and values set the backbone upon which a country's identity is built and changes over time. It is not developed overnight. It takes many years to be formed. Norms and values vary from place to place. Cross-cultural communication might be impeded by its prominence in a nation's culture</w:t>
      </w:r>
      <w:r>
        <w:rPr>
          <w:rFonts w:ascii="Times New Roman" w:hAnsi="Times New Roman" w:cs="Times New Roman" w:eastAsia="Times New Roman"/>
          <w:color w:val="auto"/>
          <w:spacing w:val="0"/>
          <w:position w:val="0"/>
          <w:sz w:val="22"/>
          <w:shd w:fill="auto" w:val="clear"/>
        </w:rPr>
        <w:t xml:space="preserve"> </w:t>
      </w:r>
      <w:r>
        <w:rPr>
          <w:rFonts w:ascii="Times New Roman" w:hAnsi="Times New Roman" w:cs="Times New Roman" w:eastAsia="Times New Roman"/>
          <w:color w:val="auto"/>
          <w:spacing w:val="0"/>
          <w:position w:val="0"/>
          <w:sz w:val="24"/>
          <w:shd w:fill="auto" w:val="clear"/>
        </w:rPr>
        <w:t xml:space="preserve">(Agarwal, 2016). </w:t>
      </w:r>
      <w:r>
        <w:rPr>
          <w:rFonts w:ascii="Times New Roman" w:hAnsi="Times New Roman" w:cs="Times New Roman" w:eastAsia="Times New Roman"/>
          <w:color w:val="auto"/>
          <w:spacing w:val="0"/>
          <w:position w:val="0"/>
          <w:sz w:val="24"/>
          <w:shd w:fill="FFFFFF" w:val="clear"/>
        </w:rPr>
        <w:t xml:space="preserve">It is tough for people from different cultures to adjust to another culture because of distinct standards and values in different countries. As Bangladesh is a Muslim country, the norms and values are according to the Muslim culture. LUSH may face challenges with this.</w:t>
      </w:r>
    </w:p>
    <w:p>
      <w:pPr>
        <w:spacing w:before="0" w:after="0" w:line="360"/>
        <w:ind w:right="0" w:left="0" w:firstLine="0"/>
        <w:jc w:val="both"/>
        <w:rPr>
          <w:rFonts w:ascii="Times New Roman" w:hAnsi="Times New Roman" w:cs="Times New Roman" w:eastAsia="Times New Roman"/>
          <w:b/>
          <w:color w:val="auto"/>
          <w:spacing w:val="-10"/>
          <w:position w:val="0"/>
          <w:sz w:val="24"/>
          <w:shd w:fill="auto" w:val="clear"/>
        </w:rPr>
      </w:pPr>
      <w:r>
        <w:rPr>
          <w:rFonts w:ascii="Times New Roman" w:hAnsi="Times New Roman" w:cs="Times New Roman" w:eastAsia="Times New Roman"/>
          <w:b/>
          <w:color w:val="auto"/>
          <w:spacing w:val="-10"/>
          <w:position w:val="0"/>
          <w:sz w:val="24"/>
          <w:shd w:fill="auto" w:val="clear"/>
        </w:rPr>
        <w:t xml:space="preserve">Level of Formality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rigid chain of formality can be an effective barrier to cross-cultural communication. Sometimes it becomes a barrier for other cultures. Employees find it difficult to communicate with the supervisor. As a result, the employees can’t have the knowledge to address the top-level with proper etiquette. </w:t>
      </w:r>
    </w:p>
    <w:p>
      <w:pPr>
        <w:spacing w:before="0" w:after="0" w:line="360"/>
        <w:ind w:right="0" w:left="0" w:firstLine="0"/>
        <w:jc w:val="both"/>
        <w:rPr>
          <w:rFonts w:ascii="Times New Roman" w:hAnsi="Times New Roman" w:cs="Times New Roman" w:eastAsia="Times New Roman"/>
          <w:b/>
          <w:color w:val="auto"/>
          <w:spacing w:val="-10"/>
          <w:position w:val="0"/>
          <w:sz w:val="24"/>
          <w:shd w:fill="auto" w:val="clear"/>
        </w:rPr>
      </w:pPr>
      <w:r>
        <w:rPr>
          <w:rFonts w:ascii="Times New Roman" w:hAnsi="Times New Roman" w:cs="Times New Roman" w:eastAsia="Times New Roman"/>
          <w:b/>
          <w:color w:val="auto"/>
          <w:spacing w:val="-10"/>
          <w:position w:val="0"/>
          <w:sz w:val="24"/>
          <w:shd w:fill="auto" w:val="clear"/>
        </w:rPr>
        <w:t xml:space="preserve">Behaviour</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Behaviour plays a prominent role in international business. Behaviour includes the ability to develop relationships, goodwill, connections, networks, etc. as a result of one's behaviour. Inappropriate behaviour in a certain situation can harm and affect the organization. organization. Cross-cultural communication can be impacted by the behaviour of personnel of the organization.</w:t>
      </w: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Communication Strategies and Recommendations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be a successful business, an organization doing business beyond the border has to face many challenges and barriers. The common barrier is cross-cultural communication which hinders the business to be effective and efficient. The strategies LUSH should maintain to overcome the situation in Bangladesh.</w:t>
      </w:r>
    </w:p>
    <w:p>
      <w:pPr>
        <w:numPr>
          <w:ilvl w:val="0"/>
          <w:numId w:val="22"/>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can develop the standard written and speaking in global language English. The dialects and accents should be considered more carefully to avoid any ambiguity. It can arrange training and development programs to improve the communication skills in English among the employees</w:t>
      </w:r>
      <w:r>
        <w:rPr>
          <w:rFonts w:ascii="Times New Roman" w:hAnsi="Times New Roman" w:cs="Times New Roman" w:eastAsia="Times New Roman"/>
          <w:color w:val="auto"/>
          <w:spacing w:val="0"/>
          <w:position w:val="0"/>
          <w:sz w:val="22"/>
          <w:shd w:fill="auto" w:val="clear"/>
        </w:rPr>
        <w:t xml:space="preserve"> </w:t>
      </w:r>
      <w:r>
        <w:rPr>
          <w:rFonts w:ascii="Times New Roman" w:hAnsi="Times New Roman" w:cs="Times New Roman" w:eastAsia="Times New Roman"/>
          <w:color w:val="auto"/>
          <w:spacing w:val="0"/>
          <w:position w:val="0"/>
          <w:sz w:val="24"/>
          <w:shd w:fill="auto" w:val="clear"/>
        </w:rPr>
        <w:t xml:space="preserve">(Agarwal, 2016). </w:t>
      </w:r>
    </w:p>
    <w:p>
      <w:pPr>
        <w:numPr>
          <w:ilvl w:val="0"/>
          <w:numId w:val="22"/>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normal to have a difference in norms and values. It is important to show respect and not violate these. So LUSH should adjust to the norms and values according to the Bangladeshi perspective. </w:t>
      </w:r>
    </w:p>
    <w:p>
      <w:pPr>
        <w:numPr>
          <w:ilvl w:val="0"/>
          <w:numId w:val="22"/>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overcome the barriers of non-verbal communication, it should understand and practice these communications styles including- gestures, postures, signals and greetings. </w:t>
      </w:r>
    </w:p>
    <w:p>
      <w:pPr>
        <w:numPr>
          <w:ilvl w:val="0"/>
          <w:numId w:val="22"/>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LUSH should identify which hierarchy is accepted by the employees from Bangladesh. It has to identify the style of relationships, goodwill, connection, and network to eradicate the barriers.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LUSH should hire multilingual staff who can develop the other staff to be compatible with the company’s requirements. Building an understanding of culture, it should call for frequent meetings to have a smooth workflow. Real-time communication is required to be more effective and efficient operations. LUSH should build different types of websites which enable to use of various languages</w:t>
      </w:r>
      <w:r>
        <w:rPr>
          <w:rFonts w:ascii="Times New Roman" w:hAnsi="Times New Roman" w:cs="Times New Roman" w:eastAsia="Times New Roman"/>
          <w:color w:val="auto"/>
          <w:spacing w:val="0"/>
          <w:position w:val="0"/>
          <w:sz w:val="22"/>
          <w:shd w:fill="auto" w:val="clear"/>
        </w:rPr>
        <w:t xml:space="preserve"> </w:t>
      </w:r>
      <w:r>
        <w:rPr>
          <w:rFonts w:ascii="Times New Roman" w:hAnsi="Times New Roman" w:cs="Times New Roman" w:eastAsia="Times New Roman"/>
          <w:color w:val="auto"/>
          <w:spacing w:val="0"/>
          <w:position w:val="0"/>
          <w:sz w:val="24"/>
          <w:shd w:fill="auto" w:val="clear"/>
        </w:rPr>
        <w:t xml:space="preserve">(Aronczyk, 2013). It should have the strategies to serve its customer in the native language. So they need to hire multi-lingual staff.</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left"/>
        <w:rPr>
          <w:rFonts w:ascii="Times New Roman" w:hAnsi="Times New Roman" w:cs="Times New Roman" w:eastAsia="Times New Roman"/>
          <w:b/>
          <w:color w:val="auto"/>
          <w:spacing w:val="0"/>
          <w:position w:val="0"/>
          <w:sz w:val="32"/>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Conclusion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Investing in a foreign country has a significant impact on both countries’ economy and also have an impact on the global economy. The investing countries get the special expertise by doing business across borders. International business refers to the practice of conducting business beyond one's own country</w:t>
      </w:r>
      <w:r>
        <w:rPr>
          <w:rFonts w:ascii="Times New Roman" w:hAnsi="Times New Roman" w:cs="Times New Roman" w:eastAsia="Times New Roman"/>
          <w:color w:val="auto"/>
          <w:spacing w:val="0"/>
          <w:position w:val="0"/>
          <w:sz w:val="22"/>
          <w:shd w:fill="auto" w:val="clear"/>
        </w:rPr>
        <w:t xml:space="preserve"> </w:t>
      </w:r>
      <w:r>
        <w:rPr>
          <w:rFonts w:ascii="Times New Roman" w:hAnsi="Times New Roman" w:cs="Times New Roman" w:eastAsia="Times New Roman"/>
          <w:color w:val="auto"/>
          <w:spacing w:val="0"/>
          <w:position w:val="0"/>
          <w:sz w:val="24"/>
          <w:shd w:fill="auto" w:val="clear"/>
        </w:rPr>
        <w:t xml:space="preserve">(Woods, 2015). The exchange of resources makes the countries more effective and able to provide new services. Before doing business internationally, a company should consider the culture and theories related to this business. According to the cross-culture and dynamic environment, business strategic planning and foreign business policies have to be considered. The barriers to international business are mainly based on cross-cultural communication. These barriers can be eradicated by the appropriate approaches that are included in this report.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References</w:t>
      </w:r>
    </w:p>
    <w:p>
      <w:pPr>
        <w:spacing w:before="100" w:after="10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Abdin, J., 2015. Influential Factors of International Business and International Business Environment in Bangladesh. </w:t>
      </w:r>
      <w:r>
        <w:rPr>
          <w:rFonts w:ascii="Times New Roman" w:hAnsi="Times New Roman" w:cs="Times New Roman" w:eastAsia="Times New Roman"/>
          <w:i/>
          <w:color w:val="auto"/>
          <w:spacing w:val="0"/>
          <w:position w:val="0"/>
          <w:sz w:val="24"/>
          <w:shd w:fill="auto" w:val="clear"/>
        </w:rPr>
        <w:t xml:space="preserve">SSRN Electronic Journal</w:t>
      </w:r>
      <w:r>
        <w:rPr>
          <w:rFonts w:ascii="Times New Roman" w:hAnsi="Times New Roman" w:cs="Times New Roman" w:eastAsia="Times New Roman"/>
          <w:color w:val="auto"/>
          <w:spacing w:val="0"/>
          <w:position w:val="0"/>
          <w:sz w:val="24"/>
          <w:shd w:fill="auto" w:val="clear"/>
        </w:rPr>
        <w:t xml:space="preserve">.</w:t>
      </w:r>
    </w:p>
    <w:p>
      <w:pPr>
        <w:spacing w:before="100" w:after="10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Agarwal, O., 2016. </w:t>
      </w:r>
      <w:r>
        <w:rPr>
          <w:rFonts w:ascii="Times New Roman" w:hAnsi="Times New Roman" w:cs="Times New Roman" w:eastAsia="Times New Roman"/>
          <w:i/>
          <w:color w:val="auto"/>
          <w:spacing w:val="0"/>
          <w:position w:val="0"/>
          <w:sz w:val="24"/>
          <w:shd w:fill="auto" w:val="clear"/>
        </w:rPr>
        <w:t xml:space="preserve">Effective communication</w:t>
      </w:r>
      <w:r>
        <w:rPr>
          <w:rFonts w:ascii="Times New Roman" w:hAnsi="Times New Roman" w:cs="Times New Roman" w:eastAsia="Times New Roman"/>
          <w:color w:val="auto"/>
          <w:spacing w:val="0"/>
          <w:position w:val="0"/>
          <w:sz w:val="24"/>
          <w:shd w:fill="auto" w:val="clear"/>
        </w:rPr>
        <w:t xml:space="preserve">. 2nd ed. Mumbai [India]: Himalaya Pub. House.</w:t>
      </w:r>
    </w:p>
    <w:p>
      <w:pPr>
        <w:spacing w:before="100" w:after="10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Ahmed, I., 2019. Standardization of Antimicrobial Sensitivity testing in Clinical Microbiology Laboratory: Bangladesh Perspective. </w:t>
      </w:r>
      <w:r>
        <w:rPr>
          <w:rFonts w:ascii="Times New Roman" w:hAnsi="Times New Roman" w:cs="Times New Roman" w:eastAsia="Times New Roman"/>
          <w:i/>
          <w:color w:val="auto"/>
          <w:spacing w:val="0"/>
          <w:position w:val="0"/>
          <w:sz w:val="24"/>
          <w:shd w:fill="auto" w:val="clear"/>
        </w:rPr>
        <w:t xml:space="preserve">Bangladesh Journal of Infectious Diseases</w:t>
      </w:r>
      <w:r>
        <w:rPr>
          <w:rFonts w:ascii="Times New Roman" w:hAnsi="Times New Roman" w:cs="Times New Roman" w:eastAsia="Times New Roman"/>
          <w:color w:val="auto"/>
          <w:spacing w:val="0"/>
          <w:position w:val="0"/>
          <w:sz w:val="24"/>
          <w:shd w:fill="auto" w:val="clear"/>
        </w:rPr>
        <w:t xml:space="preserve">, 5(2), pp.39-40.</w:t>
      </w:r>
    </w:p>
    <w:p>
      <w:pPr>
        <w:spacing w:before="100" w:after="10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Aronczyk, M., 2013. Market(ing) Activism: Lush Cosmetics, Ethical Oil, and the Self-Mediation of Protest. </w:t>
      </w:r>
      <w:r>
        <w:rPr>
          <w:rFonts w:ascii="Times New Roman" w:hAnsi="Times New Roman" w:cs="Times New Roman" w:eastAsia="Times New Roman"/>
          <w:i/>
          <w:color w:val="auto"/>
          <w:spacing w:val="0"/>
          <w:position w:val="0"/>
          <w:sz w:val="24"/>
          <w:shd w:fill="auto" w:val="clear"/>
        </w:rPr>
        <w:t xml:space="preserve">JOMEC Journal</w:t>
      </w:r>
      <w:r>
        <w:rPr>
          <w:rFonts w:ascii="Times New Roman" w:hAnsi="Times New Roman" w:cs="Times New Roman" w:eastAsia="Times New Roman"/>
          <w:color w:val="auto"/>
          <w:spacing w:val="0"/>
          <w:position w:val="0"/>
          <w:sz w:val="24"/>
          <w:shd w:fill="auto" w:val="clear"/>
        </w:rPr>
        <w:t xml:space="preserve">, 0(4).</w:t>
      </w:r>
    </w:p>
    <w:p>
      <w:pPr>
        <w:spacing w:before="100" w:after="10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Collinson, S., Narula, R. and Rugman, A., 2014. </w:t>
      </w:r>
      <w:r>
        <w:rPr>
          <w:rFonts w:ascii="Times New Roman" w:hAnsi="Times New Roman" w:cs="Times New Roman" w:eastAsia="Times New Roman"/>
          <w:i/>
          <w:color w:val="auto"/>
          <w:spacing w:val="0"/>
          <w:position w:val="0"/>
          <w:sz w:val="24"/>
          <w:shd w:fill="auto" w:val="clear"/>
        </w:rPr>
        <w:t xml:space="preserve">International business</w:t>
      </w:r>
      <w:r>
        <w:rPr>
          <w:rFonts w:ascii="Times New Roman" w:hAnsi="Times New Roman" w:cs="Times New Roman" w:eastAsia="Times New Roman"/>
          <w:color w:val="auto"/>
          <w:spacing w:val="0"/>
          <w:position w:val="0"/>
          <w:sz w:val="24"/>
          <w:shd w:fill="auto" w:val="clear"/>
        </w:rPr>
        <w:t xml:space="preserve">. 2nd ed.</w:t>
      </w:r>
    </w:p>
    <w:p>
      <w:pPr>
        <w:spacing w:before="100" w:after="10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Galanti, G., 2017. </w:t>
      </w:r>
      <w:r>
        <w:rPr>
          <w:rFonts w:ascii="Times New Roman" w:hAnsi="Times New Roman" w:cs="Times New Roman" w:eastAsia="Times New Roman"/>
          <w:i/>
          <w:color w:val="auto"/>
          <w:spacing w:val="0"/>
          <w:position w:val="0"/>
          <w:sz w:val="24"/>
          <w:shd w:fill="auto" w:val="clear"/>
        </w:rPr>
        <w:t xml:space="preserve">Cultural sensitivity</w:t>
      </w:r>
      <w:r>
        <w:rPr>
          <w:rFonts w:ascii="Times New Roman" w:hAnsi="Times New Roman" w:cs="Times New Roman" w:eastAsia="Times New Roman"/>
          <w:color w:val="auto"/>
          <w:spacing w:val="0"/>
          <w:position w:val="0"/>
          <w:sz w:val="24"/>
          <w:shd w:fill="auto" w:val="clear"/>
        </w:rPr>
        <w:t xml:space="preserve">. 3rd ed. Oakbrook Terrace, IL.: Joint Commission Resources.</w:t>
      </w:r>
    </w:p>
    <w:p>
      <w:pPr>
        <w:spacing w:before="100" w:after="10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Hofstede, G., 2014. Dimensionalizing Cultures: The Hofstede Model in Context. </w:t>
      </w:r>
      <w:r>
        <w:rPr>
          <w:rFonts w:ascii="Times New Roman" w:hAnsi="Times New Roman" w:cs="Times New Roman" w:eastAsia="Times New Roman"/>
          <w:i/>
          <w:color w:val="auto"/>
          <w:spacing w:val="0"/>
          <w:position w:val="0"/>
          <w:sz w:val="24"/>
          <w:shd w:fill="auto" w:val="clear"/>
        </w:rPr>
        <w:t xml:space="preserve">Online Readings in Psychology and Culture</w:t>
      </w:r>
      <w:r>
        <w:rPr>
          <w:rFonts w:ascii="Times New Roman" w:hAnsi="Times New Roman" w:cs="Times New Roman" w:eastAsia="Times New Roman"/>
          <w:color w:val="auto"/>
          <w:spacing w:val="0"/>
          <w:position w:val="0"/>
          <w:sz w:val="24"/>
          <w:shd w:fill="auto" w:val="clear"/>
        </w:rPr>
        <w:t xml:space="preserve">, 2(1).</w:t>
      </w:r>
    </w:p>
    <w:p>
      <w:pPr>
        <w:spacing w:before="100" w:after="10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Lenstra, M., 2019. Barriers to implementing communication education in the PK-12 schools. </w:t>
      </w:r>
      <w:r>
        <w:rPr>
          <w:rFonts w:ascii="Times New Roman" w:hAnsi="Times New Roman" w:cs="Times New Roman" w:eastAsia="Times New Roman"/>
          <w:i/>
          <w:color w:val="auto"/>
          <w:spacing w:val="0"/>
          <w:position w:val="0"/>
          <w:sz w:val="24"/>
          <w:shd w:fill="auto" w:val="clear"/>
        </w:rPr>
        <w:t xml:space="preserve">Communication Education</w:t>
      </w:r>
      <w:r>
        <w:rPr>
          <w:rFonts w:ascii="Times New Roman" w:hAnsi="Times New Roman" w:cs="Times New Roman" w:eastAsia="Times New Roman"/>
          <w:color w:val="auto"/>
          <w:spacing w:val="0"/>
          <w:position w:val="0"/>
          <w:sz w:val="24"/>
          <w:shd w:fill="auto" w:val="clear"/>
        </w:rPr>
        <w:t xml:space="preserve">, 69(1), pp.118-123.</w:t>
      </w:r>
    </w:p>
    <w:p>
      <w:pPr>
        <w:spacing w:before="100" w:after="10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Samovar, L., Porter, R., McDaniel, E. and Roy, C., 2016. </w:t>
      </w:r>
      <w:r>
        <w:rPr>
          <w:rFonts w:ascii="Times New Roman" w:hAnsi="Times New Roman" w:cs="Times New Roman" w:eastAsia="Times New Roman"/>
          <w:i/>
          <w:color w:val="auto"/>
          <w:spacing w:val="0"/>
          <w:position w:val="0"/>
          <w:sz w:val="24"/>
          <w:shd w:fill="auto" w:val="clear"/>
        </w:rPr>
        <w:t xml:space="preserve">Communication between cultures</w:t>
      </w:r>
      <w:r>
        <w:rPr>
          <w:rFonts w:ascii="Times New Roman" w:hAnsi="Times New Roman" w:cs="Times New Roman" w:eastAsia="Times New Roman"/>
          <w:color w:val="auto"/>
          <w:spacing w:val="0"/>
          <w:position w:val="0"/>
          <w:sz w:val="24"/>
          <w:shd w:fill="auto" w:val="clear"/>
        </w:rPr>
        <w:t xml:space="preserve">. 2nd ed. London.</w:t>
      </w:r>
    </w:p>
    <w:p>
      <w:pPr>
        <w:spacing w:before="100" w:after="10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Stephen, C. and Muriel, L., 2017. Narrative and performative acts in cultural education: the teaching of writing as critical communication. </w:t>
      </w:r>
      <w:r>
        <w:rPr>
          <w:rFonts w:ascii="Times New Roman" w:hAnsi="Times New Roman" w:cs="Times New Roman" w:eastAsia="Times New Roman"/>
          <w:i/>
          <w:color w:val="auto"/>
          <w:spacing w:val="0"/>
          <w:position w:val="0"/>
          <w:sz w:val="24"/>
          <w:shd w:fill="auto" w:val="clear"/>
        </w:rPr>
        <w:t xml:space="preserve">Inter-Asia Cultural Studies</w:t>
      </w:r>
      <w:r>
        <w:rPr>
          <w:rFonts w:ascii="Times New Roman" w:hAnsi="Times New Roman" w:cs="Times New Roman" w:eastAsia="Times New Roman"/>
          <w:color w:val="auto"/>
          <w:spacing w:val="0"/>
          <w:position w:val="0"/>
          <w:sz w:val="24"/>
          <w:shd w:fill="auto" w:val="clear"/>
        </w:rPr>
        <w:t xml:space="preserve">, 14(2), pp.213-227.</w:t>
      </w:r>
    </w:p>
    <w:p>
      <w:pPr>
        <w:spacing w:before="100" w:after="10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Wangmo, T. and (Advisor), M., 2018. Masculinity versus Femininity: An Analysis of Woman at Point Zero written by Nawal El Saadawi. </w:t>
      </w:r>
      <w:r>
        <w:rPr>
          <w:rFonts w:ascii="Times New Roman" w:hAnsi="Times New Roman" w:cs="Times New Roman" w:eastAsia="Times New Roman"/>
          <w:i/>
          <w:color w:val="auto"/>
          <w:spacing w:val="0"/>
          <w:position w:val="0"/>
          <w:sz w:val="24"/>
          <w:shd w:fill="auto" w:val="clear"/>
        </w:rPr>
        <w:t xml:space="preserve">International Journal of Trend in Scientific Research and Development</w:t>
      </w:r>
      <w:r>
        <w:rPr>
          <w:rFonts w:ascii="Times New Roman" w:hAnsi="Times New Roman" w:cs="Times New Roman" w:eastAsia="Times New Roman"/>
          <w:color w:val="auto"/>
          <w:spacing w:val="0"/>
          <w:position w:val="0"/>
          <w:sz w:val="24"/>
          <w:shd w:fill="auto" w:val="clear"/>
        </w:rPr>
        <w:t xml:space="preserve">, Volume-2(Issue-3), pp.2414-2421.</w:t>
      </w:r>
    </w:p>
    <w:p>
      <w:pPr>
        <w:spacing w:before="100" w:after="10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Woods, M., 2015. </w:t>
      </w:r>
      <w:r>
        <w:rPr>
          <w:rFonts w:ascii="Times New Roman" w:hAnsi="Times New Roman" w:cs="Times New Roman" w:eastAsia="Times New Roman"/>
          <w:i/>
          <w:color w:val="auto"/>
          <w:spacing w:val="0"/>
          <w:position w:val="0"/>
          <w:sz w:val="24"/>
          <w:shd w:fill="auto" w:val="clear"/>
        </w:rPr>
        <w:t xml:space="preserve">International business</w:t>
      </w:r>
      <w:r>
        <w:rPr>
          <w:rFonts w:ascii="Times New Roman" w:hAnsi="Times New Roman" w:cs="Times New Roman" w:eastAsia="Times New Roman"/>
          <w:color w:val="auto"/>
          <w:spacing w:val="0"/>
          <w:position w:val="0"/>
          <w:sz w:val="24"/>
          <w:shd w:fill="auto" w:val="clear"/>
        </w:rPr>
        <w:t xml:space="preserve">. 2nd ed. Houndmills, Basingstoke, Hampshire: Palgrave.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22">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