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docPartObj>
          <w:docPartGallery w:val="autotext"/>
        </w:docPartObj>
      </w:sdtPr>
      <w:sdtEndPr>
        <w:rPr>
          <w:rFonts w:ascii="Calibri" w:hAnsi="Calibri" w:cs="Calibri" w:eastAsiaTheme="minorEastAsia"/>
          <w:color w:val="auto"/>
          <w:lang w:val="en-GB"/>
        </w:rPr>
      </w:sdtEndPr>
      <w:sdtContent>
        <w:p>
          <w:pPr>
            <w:pStyle w:val="11"/>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28"/>
              <w:szCs w:val="28"/>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28"/>
              <w:szCs w:val="28"/>
              <w14:textFill>
                <w14:solidFill>
                  <w14:schemeClr w14:val="accent1"/>
                </w14:solidFill>
              </w14:textFill>
            </w:rPr>
          </w:sdtEndPr>
          <w:sdtContent>
            <w:p>
              <w:pPr>
                <w:pStyle w:val="11"/>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28"/>
                  <w:szCs w:val="28"/>
                  <w14:textFill>
                    <w14:solidFill>
                      <w14:schemeClr w14:val="accent1"/>
                    </w14:solidFill>
                  </w14:textFill>
                </w:rPr>
              </w:pPr>
              <w:r>
                <w:rPr>
                  <w:rFonts w:asciiTheme="majorHAnsi" w:hAnsiTheme="majorHAnsi" w:eastAsiaTheme="majorEastAsia" w:cstheme="majorBidi"/>
                  <w:caps/>
                  <w:color w:val="5B9BD5" w:themeColor="accent1"/>
                  <w:sz w:val="28"/>
                  <w:szCs w:val="28"/>
                  <w14:textFill>
                    <w14:solidFill>
                      <w14:schemeClr w14:val="accent1"/>
                    </w14:solidFill>
                  </w14:textFill>
                </w:rPr>
                <w:t>A critical evaluation and analysis on the challenges and sensitivities from a British perspective of doing business with Ireland in rationale of international business communication</w:t>
              </w:r>
            </w:p>
          </w:sdtContent>
        </w:sdt>
        <w:p>
          <w:pPr>
            <w:pStyle w:val="11"/>
            <w:jc w:val="center"/>
            <w:rPr>
              <w:color w:val="5B9BD5" w:themeColor="accent1"/>
              <w:sz w:val="28"/>
              <w:szCs w:val="28"/>
              <w14:textFill>
                <w14:solidFill>
                  <w14:schemeClr w14:val="accent1"/>
                </w14:solidFill>
              </w14:textFill>
            </w:rPr>
          </w:pPr>
        </w:p>
        <w:p>
          <w:pPr>
            <w:pStyle w:val="11"/>
            <w:spacing w:before="480"/>
            <w:jc w:val="center"/>
            <w:rPr>
              <w:color w:val="5B9BD5" w:themeColor="accent1"/>
              <w14:textFill>
                <w14:solidFill>
                  <w14:schemeClr w14:val="accent1"/>
                </w14:solidFill>
              </w14:textFill>
            </w:rPr>
            <w:sectPr>
              <w:footerReference r:id="rId3" w:type="default"/>
              <w:pgSz w:w="11906" w:h="16838"/>
              <w:pgMar w:top="1440" w:right="1440" w:bottom="1440" w:left="1440" w:header="708" w:footer="708" w:gutter="0"/>
              <w:pgNumType w:start="0"/>
              <w:cols w:space="708" w:num="1"/>
              <w:titlePg/>
              <w:docGrid w:linePitch="360" w:charSpace="0"/>
            </w:sect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20-01-17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hint="eastAsia"/>
                                        <w:caps/>
                                        <w:color w:val="5B9BD5" w:themeColor="accent1"/>
                                        <w:sz w:val="28"/>
                                        <w:szCs w:val="28"/>
                                        <w:lang w:val="en-US" w:eastAsia="zh-CN"/>
                                        <w14:textFill>
                                          <w14:solidFill>
                                            <w14:schemeClr w14:val="accent1"/>
                                          </w14:solidFill>
                                        </w14:textFill>
                                      </w:rPr>
                                      <w:t>January 17, 2020</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20-01-17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hint="eastAsia"/>
                                  <w:caps/>
                                  <w:color w:val="5B9BD5" w:themeColor="accent1"/>
                                  <w:sz w:val="28"/>
                                  <w:szCs w:val="28"/>
                                  <w:lang w:val="en-US" w:eastAsia="zh-CN"/>
                                  <w14:textFill>
                                    <w14:solidFill>
                                      <w14:schemeClr w14:val="accent1"/>
                                    </w14:solidFill>
                                  </w14:textFill>
                                </w:rPr>
                                <w:t>January 17, 2020</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rPr>
              <w:rFonts w:ascii="Calibri" w:hAnsi="Calibri" w:cs="Calibri"/>
            </w:rPr>
          </w:pPr>
          <w:bookmarkStart w:id="0" w:name="_Toc532286882"/>
          <w:r>
            <w:rPr>
              <w:rFonts w:ascii="Calibri" w:hAnsi="Calibri" w:cs="Calibri"/>
            </w:rPr>
            <w:t>Executive Summary</w:t>
          </w:r>
          <w:bookmarkEnd w:id="0"/>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hint="eastAsia" w:ascii="Calibri" w:hAnsi="Calibri" w:cs="Calibri"/>
              <w:sz w:val="24"/>
              <w:szCs w:val="24"/>
              <w:lang w:eastAsia="zh-CN"/>
            </w:rPr>
            <w:t>T</w:t>
          </w:r>
          <w:r>
            <w:rPr>
              <w:rFonts w:ascii="Calibri" w:hAnsi="Calibri" w:cs="Calibri"/>
              <w:sz w:val="24"/>
              <w:szCs w:val="24"/>
              <w:lang w:eastAsia="zh-CN"/>
            </w:rPr>
            <w:t xml:space="preserve">he purpose of this paper is to identify the potential challenges and sensitivities from a British perspective of doing business with Ireland in terms of international business communication. There are three main findings in this paper: </w:t>
          </w:r>
        </w:p>
        <w:p>
          <w:pPr>
            <w:spacing w:line="360" w:lineRule="auto"/>
            <w:jc w:val="both"/>
            <w:rPr>
              <w:rFonts w:ascii="Calibri" w:hAnsi="Calibri" w:cs="Calibri"/>
              <w:sz w:val="24"/>
              <w:szCs w:val="24"/>
              <w:lang w:eastAsia="zh-CN"/>
            </w:rPr>
          </w:pPr>
          <w:r>
            <w:rPr>
              <w:rFonts w:ascii="Calibri" w:hAnsi="Calibri" w:cs="Calibri"/>
              <w:sz w:val="24"/>
              <w:szCs w:val="24"/>
              <w:lang w:eastAsia="zh-CN"/>
            </w:rPr>
            <w:t>1) A model of language-based communication zones in a British perspective while doing business with Ireland;</w:t>
          </w:r>
        </w:p>
        <w:p>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2) The establishment of trust and relationships with Irish organisations; </w:t>
          </w:r>
        </w:p>
        <w:p>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3) The culture and cultural-related considerations of doing business with Ireland. </w:t>
          </w:r>
        </w:p>
        <w:p>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To interpret, the first finding introduces a language-based model in terms of international business communication and demonstrates that the unilingual to unilingual is the most suitable way to the two countries as there is a huge population speaking English. The second finding states that the importance of establishing trust and relationships and how the to maximise the positive outcomes in terms of establishment of trust and relationships between Ireland and the UK. Further, the five key factors which significantly affects the relationship commitment and trust are identified: Relationship termination costs, benefits, shared values, communications and opportunistic behavior. The third finding figures out that the cultural differences between Ireland and the UK in terms of international business communication. Much importantly, the British people must respect the Irish culture and style while doing business with Irish companies. </w:t>
          </w:r>
          <w:r>
            <w:rPr>
              <w:rFonts w:hint="eastAsia" w:ascii="Calibri" w:hAnsi="Calibri" w:cs="Calibri"/>
              <w:sz w:val="24"/>
              <w:szCs w:val="24"/>
              <w:lang w:eastAsia="zh-CN"/>
            </w:rPr>
            <w:t>I</w:t>
          </w:r>
          <w:r>
            <w:rPr>
              <w:rFonts w:ascii="Calibri" w:hAnsi="Calibri" w:cs="Calibri"/>
              <w:sz w:val="24"/>
              <w:szCs w:val="24"/>
              <w:lang w:eastAsia="zh-CN"/>
            </w:rPr>
            <w:t xml:space="preserve">n conclusion, this paper discusses and analyses the challenges and sensitivities of doing business with Ireland based on British perspectives in terms of the differences of languages, cultures, trust and relationship establishment.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p>
        <w:p>
          <w:pPr>
            <w:rPr>
              <w:rFonts w:ascii="Calibri" w:hAnsi="Calibri" w:cs="Calibri"/>
            </w:rPr>
          </w:pPr>
        </w:p>
        <w:sdt>
          <w:sdtPr>
            <w:rPr>
              <w:rFonts w:ascii="Calibri" w:hAnsi="Calibri" w:cs="Calibri" w:eastAsiaTheme="minorHAnsi"/>
              <w:color w:val="auto"/>
              <w:sz w:val="22"/>
              <w:szCs w:val="22"/>
              <w:lang w:val="en-GB"/>
            </w:rPr>
            <w:id w:val="-1297214018"/>
            <w:docPartObj>
              <w:docPartGallery w:val="Table of Contents"/>
              <w:docPartUnique/>
            </w:docPartObj>
          </w:sdtPr>
          <w:sdtEndPr>
            <w:rPr>
              <w:rFonts w:ascii="Calibri" w:hAnsi="Calibri" w:cs="Calibri" w:eastAsiaTheme="minorEastAsia"/>
              <w:b/>
              <w:bCs/>
              <w:color w:val="auto"/>
              <w:sz w:val="22"/>
              <w:szCs w:val="22"/>
              <w:lang w:val="en-GB"/>
            </w:rPr>
          </w:sdtEndPr>
          <w:sdtContent>
            <w:p>
              <w:pPr>
                <w:pStyle w:val="14"/>
                <w:rPr>
                  <w:rFonts w:ascii="Calibri" w:hAnsi="Calibri" w:cs="Calibri"/>
                  <w:sz w:val="36"/>
                  <w:szCs w:val="36"/>
                </w:rPr>
              </w:pPr>
              <w:r>
                <w:rPr>
                  <w:rFonts w:ascii="Calibri" w:hAnsi="Calibri" w:cs="Calibri"/>
                  <w:sz w:val="36"/>
                  <w:szCs w:val="36"/>
                </w:rPr>
                <w:t>Table of Contents</w:t>
              </w:r>
            </w:p>
            <w:p>
              <w:pPr>
                <w:rPr>
                  <w:lang w:val="en-US"/>
                </w:rPr>
              </w:pPr>
            </w:p>
            <w:p>
              <w:pPr>
                <w:pStyle w:val="6"/>
                <w:tabs>
                  <w:tab w:val="right" w:leader="dot" w:pos="9016"/>
                </w:tabs>
                <w:rPr>
                  <w:rFonts w:ascii="Calibri" w:hAnsi="Calibri" w:cs="Calibri"/>
                  <w:sz w:val="24"/>
                  <w:szCs w:val="24"/>
                  <w:lang w:eastAsia="en-GB"/>
                </w:rPr>
              </w:pPr>
              <w:r>
                <w:rPr>
                  <w:rFonts w:ascii="Calibri" w:hAnsi="Calibri" w:cs="Calibri"/>
                </w:rPr>
                <w:fldChar w:fldCharType="begin"/>
              </w:r>
              <w:r>
                <w:rPr>
                  <w:rFonts w:ascii="Calibri" w:hAnsi="Calibri" w:cs="Calibri"/>
                </w:rPr>
                <w:instrText xml:space="preserve"> TOC \o "1-3" \h \z \u </w:instrText>
              </w:r>
              <w:r>
                <w:rPr>
                  <w:rFonts w:ascii="Calibri" w:hAnsi="Calibri" w:cs="Calibri"/>
                </w:rPr>
                <w:fldChar w:fldCharType="separate"/>
              </w:r>
              <w:r>
                <w:fldChar w:fldCharType="begin"/>
              </w:r>
              <w:r>
                <w:instrText xml:space="preserve"> HYPERLINK \l "_Toc532286882" </w:instrText>
              </w:r>
              <w:r>
                <w:fldChar w:fldCharType="separate"/>
              </w:r>
              <w:r>
                <w:rPr>
                  <w:rStyle w:val="9"/>
                  <w:rFonts w:ascii="Calibri" w:hAnsi="Calibri" w:cs="Calibri"/>
                  <w:sz w:val="24"/>
                  <w:szCs w:val="24"/>
                </w:rPr>
                <w:t>Executive Summary</w:t>
              </w:r>
              <w:r>
                <w:rPr>
                  <w:rFonts w:ascii="Calibri" w:hAnsi="Calibri" w:cs="Calibri"/>
                  <w:sz w:val="24"/>
                  <w:szCs w:val="24"/>
                </w:rPr>
                <w:tab/>
              </w:r>
              <w:r>
                <w:rPr>
                  <w:rFonts w:ascii="Calibri" w:hAnsi="Calibri" w:cs="Calibri"/>
                  <w:sz w:val="24"/>
                  <w:szCs w:val="24"/>
                </w:rPr>
                <w:fldChar w:fldCharType="begin"/>
              </w:r>
              <w:r>
                <w:rPr>
                  <w:rFonts w:ascii="Calibri" w:hAnsi="Calibri" w:cs="Calibri"/>
                  <w:sz w:val="24"/>
                  <w:szCs w:val="24"/>
                </w:rPr>
                <w:instrText xml:space="preserve"> PAGEREF _Toc532286882 \h </w:instrText>
              </w:r>
              <w:r>
                <w:rPr>
                  <w:rFonts w:ascii="Calibri" w:hAnsi="Calibri" w:cs="Calibri"/>
                  <w:sz w:val="24"/>
                  <w:szCs w:val="24"/>
                </w:rPr>
                <w:fldChar w:fldCharType="separate"/>
              </w:r>
              <w:r>
                <w:rPr>
                  <w:rFonts w:ascii="Calibri" w:hAnsi="Calibri" w:cs="Calibri"/>
                  <w:sz w:val="24"/>
                  <w:szCs w:val="24"/>
                </w:rPr>
                <w:t>1</w:t>
              </w:r>
              <w:r>
                <w:rPr>
                  <w:rFonts w:ascii="Calibri" w:hAnsi="Calibri" w:cs="Calibri"/>
                  <w:sz w:val="24"/>
                  <w:szCs w:val="24"/>
                </w:rPr>
                <w:fldChar w:fldCharType="end"/>
              </w:r>
              <w:r>
                <w:rPr>
                  <w:rFonts w:ascii="Calibri" w:hAnsi="Calibri" w:cs="Calibri"/>
                  <w:sz w:val="24"/>
                  <w:szCs w:val="24"/>
                </w:rPr>
                <w:fldChar w:fldCharType="end"/>
              </w:r>
            </w:p>
            <w:p>
              <w:pPr>
                <w:pStyle w:val="6"/>
                <w:tabs>
                  <w:tab w:val="right" w:leader="dot" w:pos="9016"/>
                </w:tabs>
                <w:rPr>
                  <w:rFonts w:ascii="Calibri" w:hAnsi="Calibri" w:cs="Calibri"/>
                  <w:sz w:val="24"/>
                  <w:szCs w:val="24"/>
                  <w:lang w:eastAsia="en-GB"/>
                </w:rPr>
              </w:pPr>
              <w:r>
                <w:fldChar w:fldCharType="begin"/>
              </w:r>
              <w:r>
                <w:instrText xml:space="preserve"> HYPERLINK \l "_Toc532286883" </w:instrText>
              </w:r>
              <w:r>
                <w:fldChar w:fldCharType="separate"/>
              </w:r>
              <w:r>
                <w:rPr>
                  <w:rStyle w:val="9"/>
                  <w:rFonts w:ascii="Calibri" w:hAnsi="Calibri" w:cs="Calibri"/>
                  <w:sz w:val="24"/>
                  <w:szCs w:val="24"/>
                </w:rPr>
                <w:t>Introduction</w:t>
              </w:r>
              <w:r>
                <w:rPr>
                  <w:rFonts w:ascii="Calibri" w:hAnsi="Calibri" w:cs="Calibri"/>
                  <w:sz w:val="24"/>
                  <w:szCs w:val="24"/>
                </w:rPr>
                <w:tab/>
              </w:r>
              <w:r>
                <w:rPr>
                  <w:rFonts w:ascii="Calibri" w:hAnsi="Calibri" w:cs="Calibri"/>
                  <w:sz w:val="24"/>
                  <w:szCs w:val="24"/>
                </w:rPr>
                <w:t>3</w:t>
              </w:r>
              <w:r>
                <w:rPr>
                  <w:rFonts w:ascii="Calibri" w:hAnsi="Calibri" w:cs="Calibri"/>
                  <w:sz w:val="24"/>
                  <w:szCs w:val="24"/>
                </w:rPr>
                <w:fldChar w:fldCharType="end"/>
              </w:r>
            </w:p>
            <w:p>
              <w:pPr>
                <w:pStyle w:val="6"/>
                <w:tabs>
                  <w:tab w:val="right" w:leader="dot" w:pos="9016"/>
                </w:tabs>
                <w:rPr>
                  <w:rFonts w:ascii="Calibri" w:hAnsi="Calibri" w:cs="Calibri"/>
                  <w:sz w:val="24"/>
                  <w:szCs w:val="24"/>
                  <w:lang w:eastAsia="en-GB"/>
                </w:rPr>
              </w:pPr>
              <w:r>
                <w:fldChar w:fldCharType="begin"/>
              </w:r>
              <w:r>
                <w:instrText xml:space="preserve"> HYPERLINK \l "_Toc532286884" </w:instrText>
              </w:r>
              <w:r>
                <w:fldChar w:fldCharType="separate"/>
              </w:r>
              <w:r>
                <w:rPr>
                  <w:rStyle w:val="9"/>
                  <w:rFonts w:ascii="Calibri" w:hAnsi="Calibri" w:cs="Calibri"/>
                  <w:sz w:val="24"/>
                  <w:szCs w:val="24"/>
                </w:rPr>
                <w:t>Main Findings</w:t>
              </w:r>
              <w:r>
                <w:rPr>
                  <w:rFonts w:ascii="Calibri" w:hAnsi="Calibri" w:cs="Calibri"/>
                  <w:sz w:val="24"/>
                  <w:szCs w:val="24"/>
                </w:rPr>
                <w:tab/>
              </w:r>
              <w:r>
                <w:rPr>
                  <w:rFonts w:ascii="Calibri" w:hAnsi="Calibri" w:cs="Calibri"/>
                  <w:sz w:val="24"/>
                  <w:szCs w:val="24"/>
                </w:rPr>
                <w:fldChar w:fldCharType="begin"/>
              </w:r>
              <w:r>
                <w:rPr>
                  <w:rFonts w:ascii="Calibri" w:hAnsi="Calibri" w:cs="Calibri"/>
                  <w:sz w:val="24"/>
                  <w:szCs w:val="24"/>
                </w:rPr>
                <w:instrText xml:space="preserve"> PAGEREF _Toc532286884 \h </w:instrText>
              </w:r>
              <w:r>
                <w:rPr>
                  <w:rFonts w:ascii="Calibri" w:hAnsi="Calibri" w:cs="Calibri"/>
                  <w:sz w:val="24"/>
                  <w:szCs w:val="24"/>
                </w:rPr>
                <w:fldChar w:fldCharType="separate"/>
              </w:r>
              <w:r>
                <w:rPr>
                  <w:rFonts w:ascii="Calibri" w:hAnsi="Calibri" w:cs="Calibri"/>
                  <w:sz w:val="24"/>
                  <w:szCs w:val="24"/>
                </w:rPr>
                <w:t>4</w:t>
              </w:r>
              <w:r>
                <w:rPr>
                  <w:rFonts w:ascii="Calibri" w:hAnsi="Calibri" w:cs="Calibri"/>
                  <w:sz w:val="24"/>
                  <w:szCs w:val="24"/>
                </w:rPr>
                <w:fldChar w:fldCharType="end"/>
              </w:r>
              <w:r>
                <w:rPr>
                  <w:rFonts w:ascii="Calibri" w:hAnsi="Calibri" w:cs="Calibri"/>
                  <w:sz w:val="24"/>
                  <w:szCs w:val="24"/>
                </w:rPr>
                <w:fldChar w:fldCharType="end"/>
              </w:r>
            </w:p>
            <w:p>
              <w:pPr>
                <w:pStyle w:val="6"/>
                <w:tabs>
                  <w:tab w:val="right" w:leader="dot" w:pos="9016"/>
                </w:tabs>
                <w:rPr>
                  <w:rFonts w:ascii="Calibri" w:hAnsi="Calibri" w:cs="Calibri"/>
                  <w:sz w:val="24"/>
                  <w:szCs w:val="24"/>
                  <w:lang w:eastAsia="en-GB"/>
                </w:rPr>
              </w:pPr>
              <w:r>
                <w:fldChar w:fldCharType="begin"/>
              </w:r>
              <w:r>
                <w:instrText xml:space="preserve"> HYPERLINK \l "_Toc532286885" </w:instrText>
              </w:r>
              <w:r>
                <w:fldChar w:fldCharType="separate"/>
              </w:r>
              <w:r>
                <w:rPr>
                  <w:rStyle w:val="9"/>
                  <w:rFonts w:ascii="Calibri" w:hAnsi="Calibri" w:cs="Calibri"/>
                  <w:sz w:val="24"/>
                  <w:szCs w:val="24"/>
                </w:rPr>
                <w:t>Conclusion</w:t>
              </w:r>
              <w:r>
                <w:rPr>
                  <w:rFonts w:ascii="Calibri" w:hAnsi="Calibri" w:cs="Calibri"/>
                  <w:sz w:val="24"/>
                  <w:szCs w:val="24"/>
                </w:rPr>
                <w:tab/>
              </w:r>
              <w:r>
                <w:rPr>
                  <w:rFonts w:ascii="Calibri" w:hAnsi="Calibri" w:cs="Calibri"/>
                  <w:sz w:val="24"/>
                  <w:szCs w:val="24"/>
                </w:rPr>
                <w:t>10</w:t>
              </w:r>
              <w:r>
                <w:rPr>
                  <w:rFonts w:ascii="Calibri" w:hAnsi="Calibri" w:cs="Calibri"/>
                  <w:sz w:val="24"/>
                  <w:szCs w:val="24"/>
                </w:rPr>
                <w:fldChar w:fldCharType="end"/>
              </w:r>
            </w:p>
            <w:p>
              <w:pPr>
                <w:pStyle w:val="6"/>
                <w:tabs>
                  <w:tab w:val="right" w:leader="dot" w:pos="9016"/>
                </w:tabs>
                <w:rPr>
                  <w:rFonts w:ascii="Calibri" w:hAnsi="Calibri" w:cs="Calibri"/>
                  <w:lang w:eastAsia="en-GB"/>
                </w:rPr>
              </w:pPr>
              <w:r>
                <w:fldChar w:fldCharType="begin"/>
              </w:r>
              <w:r>
                <w:instrText xml:space="preserve"> HYPERLINK \l "_Toc532286886" </w:instrText>
              </w:r>
              <w:r>
                <w:fldChar w:fldCharType="separate"/>
              </w:r>
              <w:r>
                <w:rPr>
                  <w:rStyle w:val="9"/>
                  <w:rFonts w:ascii="Calibri" w:hAnsi="Calibri" w:cs="Calibri"/>
                  <w:sz w:val="24"/>
                  <w:szCs w:val="24"/>
                </w:rPr>
                <w:t>Bibliography</w:t>
              </w:r>
              <w:r>
                <w:rPr>
                  <w:rFonts w:ascii="Calibri" w:hAnsi="Calibri" w:cs="Calibri"/>
                  <w:sz w:val="24"/>
                  <w:szCs w:val="24"/>
                </w:rPr>
                <w:tab/>
              </w:r>
              <w:r>
                <w:rPr>
                  <w:rFonts w:ascii="Calibri" w:hAnsi="Calibri" w:cs="Calibri"/>
                  <w:sz w:val="24"/>
                  <w:szCs w:val="24"/>
                </w:rPr>
                <w:t>11</w:t>
              </w:r>
              <w:r>
                <w:rPr>
                  <w:rFonts w:ascii="Calibri" w:hAnsi="Calibri" w:cs="Calibri"/>
                  <w:sz w:val="24"/>
                  <w:szCs w:val="24"/>
                </w:rPr>
                <w:fldChar w:fldCharType="end"/>
              </w:r>
            </w:p>
            <w:p>
              <w:pPr>
                <w:rPr>
                  <w:rFonts w:ascii="Calibri" w:hAnsi="Calibri" w:cs="Calibri"/>
                </w:rPr>
              </w:pPr>
              <w:r>
                <w:rPr>
                  <w:rFonts w:ascii="Calibri" w:hAnsi="Calibri" w:cs="Calibri"/>
                  <w:b/>
                  <w:bCs/>
                </w:rPr>
                <w:fldChar w:fldCharType="end"/>
              </w:r>
              <w:r>
                <w:rPr>
                  <w:rFonts w:ascii="Calibri" w:hAnsi="Calibri" w:cs="Calibri"/>
                  <w:b/>
                  <w:bCs/>
                </w:rPr>
                <w:t xml:space="preserve"> </w:t>
              </w:r>
            </w:p>
          </w:sdtContent>
        </w:sdt>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pStyle w:val="2"/>
            <w:rPr>
              <w:rFonts w:ascii="Calibri" w:hAnsi="Calibri" w:cs="Calibri"/>
            </w:rPr>
          </w:pPr>
          <w:bookmarkStart w:id="1" w:name="_Toc532286883"/>
          <w:r>
            <w:rPr>
              <w:rFonts w:ascii="Calibri" w:hAnsi="Calibri" w:cs="Calibri"/>
            </w:rPr>
            <w:t>Introduction</w:t>
          </w:r>
          <w:bookmarkEnd w:id="1"/>
        </w:p>
        <w:p>
          <w:pPr>
            <w:jc w:val="both"/>
            <w:rPr>
              <w:rFonts w:ascii="Calibri" w:hAnsi="Calibri" w:cs="Calibri"/>
            </w:rPr>
          </w:pPr>
        </w:p>
        <w:p>
          <w:pPr>
            <w:spacing w:line="360" w:lineRule="auto"/>
            <w:jc w:val="both"/>
            <w:rPr>
              <w:rFonts w:ascii="Calibri" w:hAnsi="Calibri" w:cs="Calibri"/>
              <w:sz w:val="24"/>
              <w:szCs w:val="24"/>
            </w:rPr>
          </w:pPr>
          <w:r>
            <w:rPr>
              <w:rFonts w:ascii="Calibri" w:hAnsi="Calibri" w:cs="Calibri"/>
              <w:sz w:val="24"/>
              <w:szCs w:val="24"/>
            </w:rPr>
            <w:t xml:space="preserve">The UK is the fifth largest economy with gross domestic product of approximately </w:t>
          </w:r>
          <w:r>
            <w:rPr>
              <w:rFonts w:ascii="微软雅黑" w:hAnsi="微软雅黑" w:eastAsia="微软雅黑" w:cs="微软雅黑"/>
              <w:i w:val="0"/>
              <w:caps w:val="0"/>
              <w:color w:val="2B2B2B"/>
              <w:spacing w:val="0"/>
              <w:sz w:val="22"/>
              <w:szCs w:val="22"/>
              <w:u w:val="none"/>
              <w:shd w:val="clear" w:fill="FFFFFF"/>
            </w:rPr>
            <w:t>28088.99</w:t>
          </w:r>
          <w:r>
            <w:rPr>
              <w:rFonts w:ascii="Calibri" w:hAnsi="Calibri" w:cs="Calibri"/>
              <w:sz w:val="24"/>
              <w:szCs w:val="24"/>
            </w:rPr>
            <w:t xml:space="preserve"> billion of U.S. dollars in the world (Ranks In 201</w:t>
          </w:r>
          <w:r>
            <w:rPr>
              <w:rFonts w:hint="eastAsia" w:ascii="Calibri" w:hAnsi="Calibri" w:cs="Calibri"/>
              <w:sz w:val="24"/>
              <w:szCs w:val="24"/>
              <w:lang w:val="en-US" w:eastAsia="zh-CN"/>
            </w:rPr>
            <w:t>8</w:t>
          </w:r>
          <w:r>
            <w:rPr>
              <w:rFonts w:ascii="Calibri" w:hAnsi="Calibri" w:cs="Calibri"/>
              <w:sz w:val="24"/>
              <w:szCs w:val="24"/>
            </w:rPr>
            <w:t xml:space="preserve">). As one of the most critical countries in Europe, the policies, legislation and culture are co-influencing international business in this region. Furthermore, under the circumstance of the continuously accelerated process of globalisation especially in the UK other European countries, the international business, which essentially includes international business policies, laws and standards, language-based difference and other relevant key factors around this, is a significant section to the economic development of UK (Babcock &amp; Du-Babcock 2001).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In addition, as for the definition of international business communication, literally, it is most commonly defined as a process of dynamically and multiply influenced to both parties and transformational translation in different language and culture (Sherblom, cited in Hooker 2012). When it comes to doing business in the United Kingdom, there are a series of knowledge must be known, for example, the British society is multi-culture, multi-language and multi-ethnic and thus every difference in the British society must be fully respected from its international business traders and co-operators (Nickerson 2005). The British society is multi-language, as the people in Scotland, Northern Ireland and Wales have their own language and history.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As for doing business with Ireland in a British perspective, Ireland is a fully open and developed economy with a great international reputation and image for attracting global investment. It is reported by the UK government that Ireland ranks 17</w:t>
          </w:r>
          <w:r>
            <w:rPr>
              <w:rFonts w:ascii="Calibri" w:hAnsi="Calibri" w:cs="Calibri"/>
              <w:sz w:val="24"/>
              <w:szCs w:val="24"/>
              <w:vertAlign w:val="superscript"/>
            </w:rPr>
            <w:t>th</w:t>
          </w:r>
          <w:r>
            <w:rPr>
              <w:rFonts w:ascii="Calibri" w:hAnsi="Calibri" w:cs="Calibri"/>
              <w:sz w:val="24"/>
              <w:szCs w:val="24"/>
            </w:rPr>
            <w:t xml:space="preserve"> in the World Bank’s Ease of Doing Business Index 2017 (Government of UK 2017). The advantages of doing business with Ireland are: </w:t>
          </w:r>
        </w:p>
        <w:p>
          <w:pPr>
            <w:spacing w:line="360" w:lineRule="auto"/>
            <w:jc w:val="both"/>
            <w:rPr>
              <w:rFonts w:ascii="Calibri" w:hAnsi="Calibri" w:cs="Calibri"/>
              <w:sz w:val="24"/>
              <w:szCs w:val="24"/>
            </w:rPr>
          </w:pPr>
          <w:r>
            <w:rPr>
              <w:rFonts w:ascii="Calibri" w:hAnsi="Calibri" w:cs="Calibri"/>
              <w:sz w:val="24"/>
              <w:szCs w:val="24"/>
            </w:rPr>
            <w:t xml:space="preserve">1) Irish organisations have well-educated and English-speaking employees; </w:t>
          </w:r>
        </w:p>
        <w:p>
          <w:pPr>
            <w:spacing w:line="360" w:lineRule="auto"/>
            <w:jc w:val="both"/>
            <w:rPr>
              <w:rFonts w:ascii="Calibri" w:hAnsi="Calibri" w:cs="Calibri"/>
              <w:sz w:val="24"/>
              <w:szCs w:val="24"/>
            </w:rPr>
          </w:pPr>
          <w:r>
            <w:rPr>
              <w:rFonts w:ascii="Calibri" w:hAnsi="Calibri" w:cs="Calibri"/>
              <w:sz w:val="24"/>
              <w:szCs w:val="24"/>
            </w:rPr>
            <w:t xml:space="preserve">2) The tax rate in Ireland is relatively lower than in the UK; </w:t>
          </w:r>
        </w:p>
        <w:p>
          <w:pPr>
            <w:spacing w:line="360" w:lineRule="auto"/>
            <w:jc w:val="both"/>
            <w:rPr>
              <w:rFonts w:ascii="Calibri" w:hAnsi="Calibri" w:cs="Calibri"/>
              <w:sz w:val="24"/>
              <w:szCs w:val="24"/>
            </w:rPr>
          </w:pPr>
          <w:r>
            <w:rPr>
              <w:rFonts w:ascii="Calibri" w:hAnsi="Calibri" w:cs="Calibri"/>
              <w:sz w:val="24"/>
              <w:szCs w:val="24"/>
            </w:rPr>
            <w:t xml:space="preserve">3) The Irish law system, especially tax and business laws, is very similar to Britain; </w:t>
          </w:r>
        </w:p>
        <w:p>
          <w:pPr>
            <w:spacing w:line="360" w:lineRule="auto"/>
            <w:jc w:val="both"/>
            <w:rPr>
              <w:rFonts w:ascii="Calibri" w:hAnsi="Calibri" w:cs="Calibri"/>
              <w:sz w:val="24"/>
              <w:szCs w:val="24"/>
            </w:rPr>
          </w:pPr>
          <w:r>
            <w:rPr>
              <w:rFonts w:ascii="Calibri" w:hAnsi="Calibri" w:cs="Calibri"/>
              <w:sz w:val="24"/>
              <w:szCs w:val="24"/>
            </w:rPr>
            <w:t xml:space="preserve">4) The regulatory system in Ireland is very strong than other European countries (Government of UK 2017). </w:t>
          </w:r>
        </w:p>
        <w:p>
          <w:pPr>
            <w:rPr>
              <w:rFonts w:ascii="Calibri" w:hAnsi="Calibri" w:cs="Calibri"/>
            </w:rPr>
          </w:pPr>
        </w:p>
        <w:p>
          <w:pPr>
            <w:pStyle w:val="2"/>
            <w:rPr>
              <w:rFonts w:ascii="Calibri" w:hAnsi="Calibri" w:cs="Calibri"/>
            </w:rPr>
          </w:pPr>
          <w:bookmarkStart w:id="2" w:name="_Toc532286884"/>
          <w:r>
            <w:rPr>
              <w:rFonts w:ascii="Calibri" w:hAnsi="Calibri" w:cs="Calibri"/>
            </w:rPr>
            <w:t>Main Findings</w:t>
          </w:r>
          <w:bookmarkEnd w:id="2"/>
        </w:p>
        <w:p>
          <w:pPr>
            <w:spacing w:line="360" w:lineRule="auto"/>
            <w:jc w:val="both"/>
            <w:rPr>
              <w:rFonts w:ascii="Calibri" w:hAnsi="Calibri" w:cs="Calibri"/>
              <w:sz w:val="24"/>
              <w:szCs w:val="24"/>
            </w:rPr>
          </w:pPr>
        </w:p>
        <w:p>
          <w:pPr>
            <w:pStyle w:val="18"/>
            <w:numPr>
              <w:ilvl w:val="0"/>
              <w:numId w:val="1"/>
            </w:numPr>
            <w:spacing w:line="360" w:lineRule="auto"/>
            <w:ind w:firstLineChars="0"/>
            <w:rPr>
              <w:rFonts w:ascii="Calibri" w:hAnsi="Calibri" w:cs="Calibri"/>
              <w:b/>
              <w:bCs/>
              <w:sz w:val="24"/>
              <w:szCs w:val="24"/>
            </w:rPr>
          </w:pPr>
          <w:r>
            <w:rPr>
              <w:rFonts w:ascii="Calibri" w:hAnsi="Calibri" w:cs="Calibri"/>
              <w:b/>
              <w:bCs/>
              <w:sz w:val="24"/>
              <w:szCs w:val="24"/>
            </w:rPr>
            <w:t xml:space="preserve">A model of language-based communication zones in a British perspective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Although Irish organisations have a large number of well-educated employees with fluent English speaking skills, some of the British people especially who are in Scotland, North Ireland and Wales are non-English speakers, the language gap must be taken into consideration while doing business with Ireland (Poncini 2002). L</w:t>
          </w:r>
          <w:r>
            <w:rPr>
              <w:rFonts w:ascii="Calibri" w:hAnsi="Calibri" w:cs="Calibri"/>
              <w:sz w:val="24"/>
              <w:szCs w:val="24"/>
              <w:lang w:eastAsia="zh-CN"/>
            </w:rPr>
            <w:t>ikewise</w:t>
          </w:r>
          <w:r>
            <w:rPr>
              <w:rFonts w:ascii="Calibri" w:hAnsi="Calibri" w:cs="Calibri"/>
              <w:sz w:val="24"/>
              <w:szCs w:val="24"/>
            </w:rPr>
            <w:t xml:space="preserve">, Ireland also its own official language named as Gaelic language or Irish across the country with approximately 39% of users (Atlas 2019). English is also widely used in Ireland and English speakers are fully welcome in the country, nevertheless, if British people want to highly engage into the conversation with the local Irish people, a distinctive way of speaking English in an Irish style is essentially needed.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In order to distinctively identify the impacts from the different languages to the international business communication, this paper introduces the model of different language zones as shown in Figure 1 (Babcock &amp; Du-Babcock 2001). When it comes to the logic of the model, it is clearly illustrated that the language competency and the outcomes of international business communication are significantly affected by the prospective communicators which matches in the communication zones and matched channels in the model (Babcock &amp; Du-Babcock 2001, Gimenez 2006). Moreover, other researchers of international business also explain the process in a approachable way, for example, Beamer (1992) states that the transmission process or the model itself cannot be classified as domain of international business communication, however, the most important thing for the process is how the conscious perception of signals at the receiver’s end is essential for the international communication.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When it comes to the model itself, there are two columns shown in the model. The first column is named as “parallel competencies”, which includes three different communication zones. For example, the first zone is unilingual to unilingual, the second zone is partial bilingual to partial bilingual and the third one full bilingual to full bilingual. Further, when it comes to the non-parallel competencies, the zones are quite different from the paralleled groups. For instance, the full bilingual matches the unilingual or partial bilingual and the partial bilingual matches the unilingual. In the case of doing business with Ireland in the British perspective, the parallel competencies are the most suitable one for the business. The reasons are listed as follows: </w:t>
          </w:r>
        </w:p>
        <w:p>
          <w:pPr>
            <w:pStyle w:val="18"/>
            <w:numPr>
              <w:ilvl w:val="0"/>
              <w:numId w:val="2"/>
            </w:numPr>
            <w:spacing w:line="360" w:lineRule="auto"/>
            <w:ind w:firstLineChars="0"/>
            <w:rPr>
              <w:rFonts w:ascii="Calibri" w:hAnsi="Calibri" w:cs="Calibri"/>
              <w:sz w:val="24"/>
              <w:szCs w:val="24"/>
            </w:rPr>
          </w:pPr>
          <w:r>
            <w:rPr>
              <w:rFonts w:ascii="Calibri" w:hAnsi="Calibri" w:cs="Calibri"/>
              <w:sz w:val="24"/>
              <w:szCs w:val="24"/>
            </w:rPr>
            <w:t xml:space="preserve">Since there are still a number of non-English speakers in both UK and Ireland, the best expected situation based on the model is full bilingual to full bilingual (zone three). But as the great gap between British language such as Scottish and Irish (Gaelic language), the extra costs on educating language to employees will increase the burden to bilateral companies (Gannon &amp; Associates, cited in Forsgren &amp; Johanson 2014). </w:t>
          </w:r>
        </w:p>
        <w:p>
          <w:pPr>
            <w:pStyle w:val="18"/>
            <w:numPr>
              <w:ilvl w:val="0"/>
              <w:numId w:val="2"/>
            </w:numPr>
            <w:spacing w:line="360" w:lineRule="auto"/>
            <w:ind w:firstLineChars="0"/>
            <w:rPr>
              <w:rFonts w:ascii="Calibri" w:hAnsi="Calibri" w:cs="Calibri"/>
              <w:sz w:val="24"/>
              <w:szCs w:val="24"/>
            </w:rPr>
          </w:pPr>
          <w:r>
            <w:rPr>
              <w:rFonts w:ascii="Calibri" w:hAnsi="Calibri" w:cs="Calibri"/>
              <w:sz w:val="24"/>
              <w:szCs w:val="24"/>
            </w:rPr>
            <w:t xml:space="preserve">Partial bilingual to partial bilingual is another pattern for doing business with Ireland in a British perspective, the specific method for this pattern is, the bilateral companies can choose some of their employees to study language together in the process. However, the method will incur an extra expenditure for organisations as well (Du-Babcock &amp; Babcock, cited in Forsgren &amp; Johanson 2014). </w:t>
          </w:r>
        </w:p>
        <w:p>
          <w:pPr>
            <w:pStyle w:val="18"/>
            <w:numPr>
              <w:ilvl w:val="0"/>
              <w:numId w:val="2"/>
            </w:numPr>
            <w:spacing w:line="360" w:lineRule="auto"/>
            <w:ind w:firstLineChars="0"/>
            <w:rPr>
              <w:rFonts w:ascii="Calibri" w:hAnsi="Calibri" w:cs="Calibri"/>
              <w:sz w:val="24"/>
              <w:szCs w:val="24"/>
            </w:rPr>
          </w:pPr>
          <w:r>
            <w:rPr>
              <w:rFonts w:ascii="Calibri" w:hAnsi="Calibri" w:cs="Calibri"/>
              <w:sz w:val="24"/>
              <w:szCs w:val="24"/>
            </w:rPr>
            <w:t xml:space="preserve">Unilingual to unilingual is the most suitable one to the situation of doing business with Ireland in a British perspective, as there is a huge population speaking English in both Ireland and UK. The unilingual pattern will enhance the bilateral sense of trust, identity and cooperation. More importantly, the unilingual pattern will much easier to build a steady relationship between two countries’ organisations (Du-Babcock, cited in Gimenez 2006). </w:t>
          </w:r>
        </w:p>
        <w:p>
          <w:pPr>
            <w:spacing w:line="360" w:lineRule="auto"/>
            <w:jc w:val="both"/>
            <w:rPr>
              <w:rFonts w:ascii="Calibri" w:hAnsi="Calibri" w:cs="Calibri"/>
              <w:sz w:val="24"/>
              <w:szCs w:val="24"/>
            </w:rPr>
          </w:pPr>
        </w:p>
        <w:p>
          <w:pPr>
            <w:spacing w:line="360" w:lineRule="auto"/>
            <w:jc w:val="center"/>
            <w:rPr>
              <w:rFonts w:ascii="Calibri" w:hAnsi="Calibri" w:cs="Calibri"/>
              <w:sz w:val="24"/>
              <w:szCs w:val="24"/>
            </w:rPr>
          </w:pPr>
          <w:r>
            <w:rPr>
              <w:rFonts w:ascii="Calibri" w:hAnsi="Calibri" w:cs="Calibri"/>
              <w:sz w:val="24"/>
              <w:szCs w:val="24"/>
            </w:rPr>
            <w:drawing>
              <wp:inline distT="0" distB="0" distL="0" distR="0">
                <wp:extent cx="5274310" cy="2430145"/>
                <wp:effectExtent l="0" t="0" r="2540" b="8255"/>
                <wp:docPr id="1" name="图片 1"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包含 屏幕截图&#10;&#10;描述已自动生成"/>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274310" cy="2430145"/>
                        </a:xfrm>
                        <a:prstGeom prst="rect">
                          <a:avLst/>
                        </a:prstGeom>
                      </pic:spPr>
                    </pic:pic>
                  </a:graphicData>
                </a:graphic>
              </wp:inline>
            </w:drawing>
          </w:r>
        </w:p>
        <w:p>
          <w:pPr>
            <w:spacing w:line="360" w:lineRule="auto"/>
            <w:jc w:val="center"/>
            <w:rPr>
              <w:rFonts w:ascii="Calibri" w:hAnsi="Calibri" w:cs="Calibri"/>
              <w:i/>
              <w:iCs/>
              <w:sz w:val="24"/>
              <w:szCs w:val="24"/>
            </w:rPr>
          </w:pPr>
          <w:r>
            <w:rPr>
              <w:rFonts w:ascii="Calibri" w:hAnsi="Calibri" w:cs="Calibri"/>
              <w:i/>
              <w:iCs/>
              <w:sz w:val="24"/>
              <w:szCs w:val="24"/>
            </w:rPr>
            <w:t>Figure 1. Language-based communication zones in IBS, adapted from Babcock &amp; Du-Babcock 2001, p. 381.</w:t>
          </w:r>
        </w:p>
        <w:p>
          <w:pPr>
            <w:spacing w:line="360" w:lineRule="auto"/>
            <w:rPr>
              <w:rFonts w:ascii="Calibri" w:hAnsi="Calibri" w:cs="Calibri"/>
              <w:sz w:val="24"/>
              <w:szCs w:val="24"/>
            </w:rPr>
          </w:pPr>
        </w:p>
        <w:p>
          <w:pPr>
            <w:pStyle w:val="18"/>
            <w:numPr>
              <w:ilvl w:val="0"/>
              <w:numId w:val="1"/>
            </w:numPr>
            <w:spacing w:line="360" w:lineRule="auto"/>
            <w:ind w:firstLineChars="0"/>
            <w:rPr>
              <w:rFonts w:ascii="Calibri" w:hAnsi="Calibri" w:cs="Calibri"/>
              <w:b/>
              <w:bCs/>
              <w:sz w:val="24"/>
              <w:szCs w:val="24"/>
            </w:rPr>
          </w:pPr>
          <w:r>
            <w:rPr>
              <w:rFonts w:ascii="Calibri" w:hAnsi="Calibri" w:cs="Calibri"/>
              <w:b/>
              <w:bCs/>
              <w:sz w:val="24"/>
              <w:szCs w:val="24"/>
            </w:rPr>
            <w:t xml:space="preserve">The establishment of trust and relationships with Irish organisations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The establishment of trust and good relationship with Ireland is the most important part to a successful cooperation. Since number of British entrepreneurs set up their own companies with the purpose of meeting a very specific market needs, some of them are unable to fulfil their initial goals due to a complicated combination of internal and external factors (Katsikeas, Sharmeas &amp; Bellow 2009). Thus, the cooperation with Irish organisations can significantly help to overcome the difficulties. The establishment of relationships and trust can be explained through the model </w:t>
          </w:r>
          <w:r>
            <w:rPr>
              <w:rFonts w:ascii="Calibri" w:hAnsi="Calibri" w:cs="Calibri"/>
              <w:sz w:val="24"/>
              <w:szCs w:val="24"/>
              <w:lang w:eastAsia="zh-CN"/>
            </w:rPr>
            <w:t>in Figure 2</w:t>
          </w:r>
          <w:r>
            <w:rPr>
              <w:rFonts w:ascii="Calibri" w:hAnsi="Calibri" w:cs="Calibri"/>
              <w:sz w:val="24"/>
              <w:szCs w:val="24"/>
            </w:rPr>
            <w:t xml:space="preserve">.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It is evident that there are five factors have direct impact to the relationship commitment and trust, and then to the establishment of a long-term relationship of doing business with Ireland in a British perspective. Alternatively, according to Pitzl (2010), the psychological factors, which are significantly affected by shared values, communications, relationship benefit and opportunistic behavior, are determining the necessity for developing an long-term relationship in international business communication, and in this case, especially for doing business with Ireland.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ascii="Calibri" w:hAnsi="Calibri" w:cs="Calibri"/>
              <w:sz w:val="24"/>
              <w:szCs w:val="24"/>
              <w:lang w:eastAsia="zh-CN"/>
            </w:rPr>
            <w:t>To explain, a long-term and steady cooperation relationship is underpinned by an equal and balanced mutual commitment which commonly defined by researchers as the perceived importance of a relationship (Dweyer &amp; Schurr, cited in Saunders 2012). In this case, take doing business with Ireland for example, if the business relationship with Irish companies is perceived as much important, the commitment would be instantly increasing and vice versa. This is because the high importance for bilateral companies will imply a great desire to constantly develop a positive relationship which potentially brings about much benefits and values in the future (Moorman, Deshpande &amp; Zaltman, cited in Saunders 2012). When it comes to building the trust which generally defined as “the willingness to rely on an exchange partner in whom one has confidence” (Moorman, Deshpande &amp; Zaltman 1993, p. 83), basically, it will be building in the repeated interaction with bilateral partners in Ireland and UK (Friman et al. 2000). Alternatively, trust sometimes is demonstrated as an expectation towards the cooperative partners’ honesty, responsibility and reliance (</w:t>
          </w:r>
          <w:r>
            <w:rPr>
              <w:rFonts w:ascii="Calibri" w:hAnsi="Calibri" w:cs="Calibri"/>
              <w:sz w:val="24"/>
              <w:szCs w:val="24"/>
            </w:rPr>
            <w:t>Rosenbloom &amp; Larsen 2003</w:t>
          </w:r>
          <w:r>
            <w:rPr>
              <w:rFonts w:ascii="Calibri" w:hAnsi="Calibri" w:cs="Calibri"/>
              <w:sz w:val="24"/>
              <w:szCs w:val="24"/>
              <w:lang w:eastAsia="zh-CN"/>
            </w:rPr>
            <w:t xml:space="preserve">).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Furthermore, back to the model, five key factors which have great impact on the establishment of relationship commitment and trust must be discussed. In the case of doing business with Ireland in a British perspective, the shared values should be one of the most important factors (Saunders 2012). There are a series of shared values for doing business in the two countries, for example, a more sustainable business operation and model for both companies in UK and Ireland, the tightly connected people (i.e. UK has the largest Irish-born community outside of Ireland), reliable exporter both UK and Ireland. In addition, when it comes to the opportunistic behavior, both Irish and British must notice that they should not maximise their own profit in the early stage meeting and cooperation which would potentially do harm to the relationship establishment (Jevons, Colin &amp; Gabbott 2000). Much more than that, being authentic is another key factor to build a reliable relationship in doing business, which means the British companies or organisations must be creating the authenticity of connecting different perspectives, beliefs and personality. This can effectively accelerate the establishment of a good relationship. </w:t>
          </w:r>
        </w:p>
        <w:p>
          <w:pPr>
            <w:spacing w:line="360" w:lineRule="auto"/>
            <w:jc w:val="both"/>
            <w:rPr>
              <w:rFonts w:ascii="Calibri" w:hAnsi="Calibri" w:cs="Calibri"/>
              <w:sz w:val="24"/>
              <w:szCs w:val="24"/>
            </w:rPr>
          </w:pPr>
        </w:p>
        <w:p>
          <w:pPr>
            <w:spacing w:line="360" w:lineRule="auto"/>
            <w:jc w:val="center"/>
            <w:rPr>
              <w:rFonts w:ascii="Calibri" w:hAnsi="Calibri" w:cs="Calibri"/>
              <w:sz w:val="24"/>
              <w:szCs w:val="24"/>
            </w:rPr>
          </w:pPr>
          <w:r>
            <w:rPr>
              <w:rFonts w:ascii="Calibri" w:hAnsi="Calibri" w:cs="Calibri"/>
              <w:sz w:val="24"/>
              <w:szCs w:val="24"/>
            </w:rPr>
            <w:drawing>
              <wp:inline distT="0" distB="0" distL="0" distR="0">
                <wp:extent cx="4319270" cy="2788285"/>
                <wp:effectExtent l="0" t="0" r="5080" b="0"/>
                <wp:docPr id="2" name="图片 2"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包含 屏幕截图&#10;&#10;描述已自动生成"/>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329731" cy="2795416"/>
                        </a:xfrm>
                        <a:prstGeom prst="rect">
                          <a:avLst/>
                        </a:prstGeom>
                      </pic:spPr>
                    </pic:pic>
                  </a:graphicData>
                </a:graphic>
              </wp:inline>
            </w:drawing>
          </w:r>
        </w:p>
        <w:p>
          <w:pPr>
            <w:spacing w:line="360" w:lineRule="auto"/>
            <w:jc w:val="center"/>
            <w:rPr>
              <w:rFonts w:ascii="Calibri" w:hAnsi="Calibri" w:cs="Calibri"/>
              <w:i/>
              <w:iCs/>
              <w:sz w:val="24"/>
              <w:szCs w:val="24"/>
            </w:rPr>
          </w:pPr>
          <w:r>
            <w:rPr>
              <w:rFonts w:ascii="Calibri" w:hAnsi="Calibri" w:cs="Calibri"/>
              <w:i/>
              <w:iCs/>
              <w:sz w:val="24"/>
              <w:szCs w:val="24"/>
            </w:rPr>
            <w:t xml:space="preserve">Figure 2. Model of establishment of trust and relationships in IBS, adapted from Friman et al. 2002, p. 404. </w:t>
          </w:r>
        </w:p>
        <w:p>
          <w:pPr>
            <w:spacing w:line="360" w:lineRule="auto"/>
            <w:rPr>
              <w:rFonts w:ascii="Calibri" w:hAnsi="Calibri" w:cs="Calibri"/>
              <w:sz w:val="24"/>
              <w:szCs w:val="24"/>
            </w:rPr>
          </w:pPr>
        </w:p>
        <w:p>
          <w:pPr>
            <w:pStyle w:val="18"/>
            <w:widowControl/>
            <w:numPr>
              <w:ilvl w:val="0"/>
              <w:numId w:val="1"/>
            </w:numPr>
            <w:spacing w:line="360" w:lineRule="auto"/>
            <w:ind w:firstLineChars="0"/>
            <w:jc w:val="left"/>
            <w:rPr>
              <w:rFonts w:ascii="Calibri" w:hAnsi="Calibri" w:cs="Calibri"/>
              <w:kern w:val="0"/>
              <w:sz w:val="24"/>
              <w:szCs w:val="24"/>
              <w:lang w:eastAsia="en-US"/>
            </w:rPr>
          </w:pPr>
          <w:r>
            <w:rPr>
              <w:rFonts w:ascii="Calibri" w:hAnsi="Calibri" w:cs="Calibri"/>
              <w:b/>
              <w:bCs/>
              <w:sz w:val="24"/>
              <w:szCs w:val="24"/>
            </w:rPr>
            <w:t>Culture and cultural-related considerations of doing business with Ireland</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The culture and </w:t>
          </w:r>
          <w:r>
            <w:rPr>
              <w:rFonts w:hint="eastAsia" w:ascii="Calibri" w:hAnsi="Calibri" w:cs="Calibri"/>
              <w:sz w:val="24"/>
              <w:szCs w:val="24"/>
              <w:lang w:val="en-US" w:eastAsia="zh-CN"/>
            </w:rPr>
            <w:t>power</w:t>
          </w:r>
          <w:r>
            <w:rPr>
              <w:rFonts w:ascii="Calibri" w:hAnsi="Calibri" w:cs="Calibri"/>
              <w:sz w:val="24"/>
              <w:szCs w:val="24"/>
            </w:rPr>
            <w:t xml:space="preserve"> distance can be measured in the following underlying value dimensions, for example, individualism versus collectivism, large power distance versus small power distance, strong uncertainty avoidance versus weak uncertainty avoidance and masculinity versus femininity (Rosenbloom &amp; Larsen 2003). Further, some other index such as indulgence, individualism, etc. also contributes to form the distance. For the most common sense, the UK and Ireland have quite similar culture especially in the 21</w:t>
          </w:r>
          <w:r>
            <w:rPr>
              <w:rFonts w:ascii="Calibri" w:hAnsi="Calibri" w:cs="Calibri"/>
              <w:sz w:val="24"/>
              <w:szCs w:val="24"/>
              <w:vertAlign w:val="superscript"/>
            </w:rPr>
            <w:t>st</w:t>
          </w:r>
          <w:r>
            <w:rPr>
              <w:rFonts w:ascii="Calibri" w:hAnsi="Calibri" w:cs="Calibri"/>
              <w:sz w:val="24"/>
              <w:szCs w:val="24"/>
            </w:rPr>
            <w:t xml:space="preserve"> century as people in two countries share the language and history.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hint="eastAsia" w:ascii="Calibri" w:hAnsi="Calibri" w:cs="Calibri"/>
              <w:sz w:val="24"/>
              <w:szCs w:val="24"/>
              <w:lang w:val="en-US" w:eastAsia="zh-CN"/>
            </w:rPr>
            <w:t>T</w:t>
          </w:r>
          <w:r>
            <w:rPr>
              <w:rFonts w:ascii="Calibri" w:hAnsi="Calibri" w:cs="Calibri"/>
              <w:sz w:val="24"/>
              <w:szCs w:val="24"/>
              <w:lang w:eastAsia="zh-CN"/>
            </w:rPr>
            <w:t xml:space="preserve">he cultural web is also a model (or a pattern) to identify the culture-related factors to the international business communication. In the case of doing business with Ireland in a British perspective, the analysis on the factors (rituals &amp; routines, stories, symbols, control systems, power structures and organisational structure) can profoundly affect the practice. As for the rituals and routines, literally, it means that the daily behaviours and activities of bilateral people are accepted by both sides (Shirlow et al. 2005). For instance, while British and Irish employees having breakfast together, both two sides should order the co-accepted drinks or food. Since the rituals and routines is highly related to the management, thus, the daily behaviours must be rigorously considered for both British and Irish organisations (Van Dusen 2004). The stories could be not a challenge for Irish and British people as Ireland is able to get most of British TV channels and news and the UK is also able to receive the Irish channels (O’Brien 2016). Moreover, Ireland and the UK have shared the daily commercial brands, educational systems, law systems and federal systems, thus, Irish and British people will have a better knowledge with each other in terms of stories (O’Brien 2016).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hint="eastAsia" w:ascii="Calibri" w:hAnsi="Calibri" w:cs="Calibri"/>
              <w:sz w:val="24"/>
              <w:szCs w:val="24"/>
              <w:lang w:eastAsia="zh-CN"/>
            </w:rPr>
            <w:t>S</w:t>
          </w:r>
          <w:r>
            <w:rPr>
              <w:rFonts w:ascii="Calibri" w:hAnsi="Calibri" w:cs="Calibri"/>
              <w:sz w:val="24"/>
              <w:szCs w:val="24"/>
              <w:lang w:eastAsia="zh-CN"/>
            </w:rPr>
            <w:t xml:space="preserve">ymbols is another key element in the “Web Culture”, which is typically defined as the visual representations of the country such as images, logos and other representative things. </w:t>
          </w:r>
          <w:r>
            <w:rPr>
              <w:rFonts w:hint="eastAsia" w:ascii="Calibri" w:hAnsi="Calibri"/>
              <w:sz w:val="24"/>
              <w:szCs w:val="24"/>
              <w:lang w:eastAsia="zh-CN"/>
            </w:rPr>
            <w:t>Colour is one of the most important symbol in the Irish identity, for instance, the color green is acknowledged by the worldwide as the official color of Ireland. However, green color is tightly related to being Irish and Catholic especially in Northern Ireland.</w:t>
          </w:r>
          <w:r>
            <w:rPr>
              <w:rFonts w:ascii="Calibri" w:hAnsi="Calibri" w:cs="Calibri"/>
              <w:sz w:val="24"/>
              <w:szCs w:val="24"/>
              <w:lang w:eastAsia="zh-CN"/>
            </w:rPr>
            <w:t xml:space="preserve">Further, the dress codes must be taken into consideration in international business communication in case of doing business with Ireland in a British perspective. Further, control systems, power structures and organisational structure in Ireland are very similar to the UK, and thus it is not a problem on these sections for bilateral companies (Nash 2005, Shirlow 2001). Other cultural-related considerations must be taken into account, for example, the punctuality is a critical element to Irish people with the acceptance range of maximum 15 minutes late (Graham &amp; Nash 2006). In addition, a large number of Irish companies would not like to meet a foreign company unless it has fully introduced itself and already made an appointment (Atlas 2019). Much more than that, the communications and interactions in Irish workplace are more personable and relaxed than in Britain and thus the British companies should pay much attention to adjusting the nuances in terms of cultural differences in the working environment (Nash 2005). While considering gift giving is very common in the UK, Irish companies do not welcome this activity in the business context. </w:t>
          </w:r>
          <w:bookmarkStart w:id="3" w:name="_Toc532286885"/>
        </w:p>
        <w:p>
          <w:pPr>
            <w:spacing w:line="360" w:lineRule="auto"/>
            <w:jc w:val="both"/>
            <w:rPr>
              <w:rFonts w:ascii="Calibri" w:hAnsi="Calibri" w:cs="Calibri"/>
              <w:sz w:val="24"/>
              <w:szCs w:val="24"/>
              <w:lang w:eastAsia="zh-CN"/>
            </w:rPr>
          </w:pPr>
        </w:p>
        <w:p>
          <w:pPr>
            <w:pStyle w:val="2"/>
            <w:jc w:val="both"/>
            <w:rPr>
              <w:rFonts w:ascii="Calibri" w:hAnsi="Calibri" w:cs="Calibri"/>
            </w:rPr>
          </w:pPr>
          <w:r>
            <w:rPr>
              <w:rFonts w:ascii="Calibri" w:hAnsi="Calibri" w:cs="Calibri"/>
            </w:rPr>
            <w:t xml:space="preserve">Conclusion </w:t>
          </w:r>
          <w:bookmarkEnd w:id="3"/>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hint="eastAsia" w:ascii="Calibri" w:hAnsi="Calibri" w:cs="Calibri"/>
              <w:sz w:val="24"/>
              <w:szCs w:val="24"/>
              <w:lang w:eastAsia="zh-CN"/>
            </w:rPr>
            <w:t>T</w:t>
          </w:r>
          <w:r>
            <w:rPr>
              <w:rFonts w:ascii="Calibri" w:hAnsi="Calibri" w:cs="Calibri"/>
              <w:sz w:val="24"/>
              <w:szCs w:val="24"/>
              <w:lang w:eastAsia="zh-CN"/>
            </w:rPr>
            <w:t xml:space="preserve">his report systematically and critically analyses the divergent international cultures within business with the combinations of assumed business communication situations both positively and negatively. This paper aims at evaluating the challenges and sensitivities from a British perspective of doing business with Ireland in terms of international business communication. The introduction demonstrates a basic and fundamental description of UK and Ireland including economic situation, policies, international situations and so on. In the main body part of the report, there are three findings relevant to the topic: 1) A model of language-based communication zones in a British perspective while doing business with Ireland; 2) The establishment of trust and relationships with Irish organisations; 3) The culture and cultural-related considerations of doing business with Ireland. To explain, the first finding implies how the differences of language impacts the process and outcomes of international business communication. More specifically, in the case of doing business with Ireland, the parallel model (unilingual to unilingual) is most suitable to the situation. The second finding demonstrates the importance of establishing trust and relationships bilaterally and how the to maximise the positive outcomes in terms of establishment of trust and relationships between Ireland and the UK. The third finding identifies the cultural differences between Ireland and UK while doing international business communications. For example, the punctuality, diet habit and other relevant factors must be taken into consideration in the international business communication. Much more than that, the differences on the national identities such as logos, icons, colours are must be fully respected by UK and Ireland with the purpose of enhancing bilateral relationship, trust and responsibility. In conclusion, there are three main factors that affecting doing business with Ireland from a British perspective, that are languages, cultures, trust and difficulties on relationship establishment.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p>
        <w:p>
          <w:pPr>
            <w:pStyle w:val="2"/>
            <w:rPr>
              <w:rFonts w:ascii="Calibri" w:hAnsi="Calibri" w:cs="Calibri"/>
            </w:rPr>
          </w:pPr>
          <w:bookmarkStart w:id="4" w:name="_Toc532286886"/>
          <w:r>
            <w:rPr>
              <w:rFonts w:ascii="Calibri" w:hAnsi="Calibri" w:cs="Calibri"/>
            </w:rPr>
            <w:t>Bibliography</w:t>
          </w:r>
          <w:bookmarkEnd w:id="4"/>
        </w:p>
        <w:p>
          <w:pPr>
            <w:spacing w:line="360" w:lineRule="auto"/>
            <w:jc w:val="both"/>
            <w:rPr>
              <w:rFonts w:ascii="Calibri" w:hAnsi="Calibri" w:cs="Calibri"/>
            </w:rPr>
          </w:pPr>
        </w:p>
        <w:p>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Atlas </w:t>
          </w:r>
          <w:r>
            <w:rPr>
              <w:rFonts w:hint="eastAsia" w:ascii="Calibri" w:hAnsi="Calibri" w:cs="Calibri"/>
              <w:sz w:val="24"/>
              <w:szCs w:val="24"/>
              <w:lang w:val="en-US" w:eastAsia="zh-CN"/>
            </w:rPr>
            <w:t>(</w:t>
          </w:r>
          <w:r>
            <w:rPr>
              <w:rFonts w:ascii="Calibri" w:hAnsi="Calibri" w:cs="Calibri"/>
              <w:sz w:val="24"/>
              <w:szCs w:val="24"/>
              <w:lang w:eastAsia="zh-CN"/>
            </w:rPr>
            <w:t>2019</w:t>
          </w:r>
          <w:r>
            <w:rPr>
              <w:rFonts w:hint="eastAsia" w:ascii="Calibri" w:hAnsi="Calibri" w:cs="Calibri"/>
              <w:sz w:val="24"/>
              <w:szCs w:val="24"/>
              <w:lang w:val="en-US" w:eastAsia="zh-CN"/>
            </w:rPr>
            <w:t>)</w:t>
          </w:r>
          <w:r>
            <w:rPr>
              <w:rFonts w:ascii="Calibri" w:hAnsi="Calibri" w:cs="Calibri"/>
              <w:sz w:val="24"/>
              <w:szCs w:val="24"/>
              <w:lang w:eastAsia="zh-CN"/>
            </w:rPr>
            <w:t>, Cultural Competence Program: Irish culture, Cultural Atlas,</w:t>
          </w:r>
          <w:r>
            <w:rPr>
              <w:rFonts w:hint="eastAsia" w:ascii="Calibri" w:hAnsi="Calibri" w:cs="Calibri"/>
              <w:sz w:val="24"/>
              <w:szCs w:val="24"/>
              <w:lang w:val="en-US" w:eastAsia="zh-CN"/>
            </w:rPr>
            <w:t>[online]avaliable at</w:t>
          </w:r>
          <w:r>
            <w:rPr>
              <w:rFonts w:ascii="Calibri" w:hAnsi="Calibri" w:cs="Calibri"/>
              <w:sz w:val="24"/>
              <w:szCs w:val="24"/>
              <w:lang w:eastAsia="zh-CN"/>
            </w:rPr>
            <w:t>&lt;https://culturalatlas.sbs.com.au/irish-culture/irish-culture-core-concepts#irish-culture-core-concepts&gt;.</w:t>
          </w:r>
          <w:r>
            <w:rPr>
              <w:rFonts w:hint="eastAsia" w:ascii="Calibri" w:hAnsi="Calibri"/>
              <w:sz w:val="24"/>
              <w:szCs w:val="24"/>
              <w:lang w:eastAsia="zh-CN"/>
            </w:rPr>
            <w:t xml:space="preserve"> Last accessed</w:t>
          </w:r>
          <w:r>
            <w:rPr>
              <w:rFonts w:hint="eastAsia" w:ascii="Calibri" w:hAnsi="Calibri"/>
              <w:sz w:val="24"/>
              <w:szCs w:val="24"/>
              <w:lang w:val="en-US" w:eastAsia="zh-CN"/>
            </w:rPr>
            <w:t>:</w:t>
          </w:r>
          <w:r>
            <w:rPr>
              <w:rFonts w:hint="eastAsia" w:ascii="Calibri" w:hAnsi="Calibri"/>
              <w:sz w:val="24"/>
              <w:szCs w:val="24"/>
              <w:lang w:eastAsia="zh-CN"/>
            </w:rPr>
            <w:t xml:space="preserve"> 4</w:t>
          </w:r>
          <w:r>
            <w:rPr>
              <w:rFonts w:hint="eastAsia" w:ascii="Calibri" w:hAnsi="Calibri"/>
              <w:sz w:val="24"/>
              <w:szCs w:val="24"/>
              <w:vertAlign w:val="superscript"/>
              <w:lang w:val="en-US" w:eastAsia="zh-CN"/>
            </w:rPr>
            <w:t>th</w:t>
          </w:r>
          <w:bookmarkStart w:id="5" w:name="_GoBack"/>
          <w:bookmarkEnd w:id="5"/>
          <w:r>
            <w:rPr>
              <w:rFonts w:hint="eastAsia" w:ascii="Calibri" w:hAnsi="Calibri"/>
              <w:sz w:val="24"/>
              <w:szCs w:val="24"/>
              <w:lang w:eastAsia="zh-CN"/>
            </w:rPr>
            <w:t xml:space="preserve"> Jan 2020</w:t>
          </w:r>
        </w:p>
        <w:p>
          <w:pPr>
            <w:spacing w:line="360" w:lineRule="auto"/>
            <w:jc w:val="both"/>
            <w:rPr>
              <w:rFonts w:ascii="Calibri" w:hAnsi="Calibri" w:cs="Calibri"/>
            </w:rPr>
          </w:pPr>
        </w:p>
      </w:sdtContent>
    </w:sdt>
    <w:p>
      <w:pPr>
        <w:spacing w:line="360" w:lineRule="auto"/>
        <w:jc w:val="both"/>
        <w:rPr>
          <w:rFonts w:ascii="Calibri" w:hAnsi="Calibri" w:cs="Calibri"/>
          <w:sz w:val="24"/>
          <w:szCs w:val="24"/>
        </w:rPr>
      </w:pPr>
      <w:r>
        <w:rPr>
          <w:rFonts w:ascii="Calibri" w:hAnsi="Calibri" w:cs="Calibri"/>
          <w:sz w:val="24"/>
          <w:szCs w:val="24"/>
        </w:rPr>
        <w:t xml:space="preserve">Babcock, RD &amp; Du-Babcock, B </w:t>
      </w:r>
      <w:r>
        <w:rPr>
          <w:rFonts w:hint="eastAsia" w:ascii="Calibri" w:hAnsi="Calibri" w:cs="Calibri"/>
          <w:sz w:val="24"/>
          <w:szCs w:val="24"/>
          <w:lang w:val="en-US" w:eastAsia="zh-CN"/>
        </w:rPr>
        <w:t>(</w:t>
      </w:r>
      <w:r>
        <w:rPr>
          <w:rFonts w:ascii="Calibri" w:hAnsi="Calibri" w:cs="Calibri"/>
          <w:sz w:val="24"/>
          <w:szCs w:val="24"/>
        </w:rPr>
        <w:t>2001</w:t>
      </w:r>
      <w:r>
        <w:rPr>
          <w:rFonts w:hint="eastAsia" w:ascii="Calibri" w:hAnsi="Calibri" w:cs="Calibri"/>
          <w:sz w:val="24"/>
          <w:szCs w:val="24"/>
          <w:lang w:val="en-US" w:eastAsia="zh-CN"/>
        </w:rPr>
        <w:t>)</w:t>
      </w:r>
      <w:r>
        <w:rPr>
          <w:rFonts w:ascii="Calibri" w:hAnsi="Calibri" w:cs="Calibri"/>
          <w:sz w:val="24"/>
          <w:szCs w:val="24"/>
        </w:rPr>
        <w:t xml:space="preserve">, ‘Language-based communication zones in the international business communication’, </w:t>
      </w:r>
      <w:r>
        <w:rPr>
          <w:rFonts w:ascii="Calibri" w:hAnsi="Calibri" w:cs="Calibri"/>
          <w:i/>
          <w:iCs/>
          <w:sz w:val="24"/>
          <w:szCs w:val="24"/>
        </w:rPr>
        <w:t>Journal of Business Communication (1973)</w:t>
      </w:r>
      <w:r>
        <w:rPr>
          <w:rFonts w:ascii="Calibri" w:hAnsi="Calibri" w:cs="Calibri"/>
          <w:sz w:val="24"/>
          <w:szCs w:val="24"/>
        </w:rPr>
        <w:t>, vol. 38, no. 4, pp. 372-412.</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Beamer, L </w:t>
      </w:r>
      <w:r>
        <w:rPr>
          <w:rFonts w:hint="eastAsia" w:ascii="Calibri" w:hAnsi="Calibri" w:cs="Calibri"/>
          <w:sz w:val="24"/>
          <w:szCs w:val="24"/>
          <w:lang w:val="en-US" w:eastAsia="zh-CN"/>
        </w:rPr>
        <w:t>(</w:t>
      </w:r>
      <w:r>
        <w:rPr>
          <w:rFonts w:ascii="Calibri" w:hAnsi="Calibri" w:cs="Calibri"/>
          <w:sz w:val="24"/>
          <w:szCs w:val="24"/>
        </w:rPr>
        <w:t>1992</w:t>
      </w:r>
      <w:r>
        <w:rPr>
          <w:rFonts w:hint="eastAsia" w:ascii="Calibri" w:hAnsi="Calibri" w:cs="Calibri"/>
          <w:sz w:val="24"/>
          <w:szCs w:val="24"/>
          <w:lang w:val="en-US" w:eastAsia="zh-CN"/>
        </w:rPr>
        <w:t>)</w:t>
      </w:r>
      <w:r>
        <w:rPr>
          <w:rFonts w:ascii="Calibri" w:hAnsi="Calibri" w:cs="Calibri"/>
          <w:sz w:val="24"/>
          <w:szCs w:val="24"/>
        </w:rPr>
        <w:t xml:space="preserve">, ‘Learning intercultural communication competence’, </w:t>
      </w:r>
      <w:r>
        <w:rPr>
          <w:rFonts w:ascii="Calibri" w:hAnsi="Calibri" w:cs="Calibri"/>
          <w:i/>
          <w:iCs/>
          <w:sz w:val="24"/>
          <w:szCs w:val="24"/>
        </w:rPr>
        <w:t>The Journal</w:t>
      </w:r>
      <w:r>
        <w:rPr>
          <w:rFonts w:ascii="Calibri" w:hAnsi="Calibri" w:cs="Calibri"/>
          <w:i/>
          <w:iCs/>
          <w:sz w:val="24"/>
          <w:szCs w:val="24"/>
          <w:lang w:eastAsia="zh-CN"/>
        </w:rPr>
        <w:t xml:space="preserve"> </w:t>
      </w:r>
      <w:r>
        <w:rPr>
          <w:rFonts w:ascii="Calibri" w:hAnsi="Calibri" w:cs="Calibri"/>
          <w:i/>
          <w:iCs/>
          <w:sz w:val="24"/>
          <w:szCs w:val="24"/>
        </w:rPr>
        <w:t>of Business Communication</w:t>
      </w:r>
      <w:r>
        <w:rPr>
          <w:rFonts w:ascii="Calibri" w:hAnsi="Calibri" w:cs="Calibri"/>
          <w:sz w:val="24"/>
          <w:szCs w:val="24"/>
        </w:rPr>
        <w:t>, vol. 29, pp. 285-304.</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Brenkert, GG </w:t>
      </w:r>
      <w:r>
        <w:rPr>
          <w:rFonts w:hint="eastAsia" w:ascii="Calibri" w:hAnsi="Calibri" w:cs="Calibri"/>
          <w:sz w:val="24"/>
          <w:szCs w:val="24"/>
          <w:lang w:val="en-US" w:eastAsia="zh-CN"/>
        </w:rPr>
        <w:t>(</w:t>
      </w:r>
      <w:r>
        <w:rPr>
          <w:rFonts w:ascii="Calibri" w:hAnsi="Calibri" w:cs="Calibri"/>
          <w:sz w:val="24"/>
          <w:szCs w:val="24"/>
        </w:rPr>
        <w:t>1998</w:t>
      </w:r>
      <w:r>
        <w:rPr>
          <w:rFonts w:hint="eastAsia" w:ascii="Calibri" w:hAnsi="Calibri" w:cs="Calibri"/>
          <w:sz w:val="24"/>
          <w:szCs w:val="24"/>
          <w:lang w:val="en-US" w:eastAsia="zh-CN"/>
        </w:rPr>
        <w:t>)</w:t>
      </w:r>
      <w:r>
        <w:rPr>
          <w:rFonts w:ascii="Calibri" w:hAnsi="Calibri" w:cs="Calibri"/>
          <w:sz w:val="24"/>
          <w:szCs w:val="24"/>
        </w:rPr>
        <w:t xml:space="preserve">, ‘Trust, morality and international business’, </w:t>
      </w:r>
      <w:r>
        <w:rPr>
          <w:rFonts w:ascii="Calibri" w:hAnsi="Calibri" w:cs="Calibri"/>
          <w:i/>
          <w:iCs/>
          <w:sz w:val="24"/>
          <w:szCs w:val="24"/>
        </w:rPr>
        <w:t>Business Ethics Quarterly</w:t>
      </w:r>
      <w:r>
        <w:rPr>
          <w:rFonts w:ascii="Calibri" w:hAnsi="Calibri" w:cs="Calibri"/>
          <w:sz w:val="24"/>
          <w:szCs w:val="24"/>
        </w:rPr>
        <w:t>, vol. 8, no. 2, pp. 293-317.</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Du-Babcock, B &amp; Babcock, R </w:t>
      </w:r>
      <w:r>
        <w:rPr>
          <w:rFonts w:hint="eastAsia" w:ascii="Calibri" w:hAnsi="Calibri" w:cs="Calibri"/>
          <w:sz w:val="24"/>
          <w:szCs w:val="24"/>
          <w:lang w:val="en-US" w:eastAsia="zh-CN"/>
        </w:rPr>
        <w:t>(</w:t>
      </w:r>
      <w:r>
        <w:rPr>
          <w:rFonts w:ascii="Calibri" w:hAnsi="Calibri" w:cs="Calibri"/>
          <w:sz w:val="24"/>
          <w:szCs w:val="24"/>
        </w:rPr>
        <w:t>1996</w:t>
      </w:r>
      <w:r>
        <w:rPr>
          <w:rFonts w:hint="eastAsia" w:ascii="Calibri" w:hAnsi="Calibri" w:cs="Calibri"/>
          <w:sz w:val="24"/>
          <w:szCs w:val="24"/>
          <w:lang w:val="en-US" w:eastAsia="zh-CN"/>
        </w:rPr>
        <w:t>)</w:t>
      </w:r>
      <w:r>
        <w:rPr>
          <w:rFonts w:ascii="Calibri" w:hAnsi="Calibri" w:cs="Calibri"/>
          <w:sz w:val="24"/>
          <w:szCs w:val="24"/>
        </w:rPr>
        <w:t>, ‘Patterns of expatriate-local personnel communication</w:t>
      </w:r>
    </w:p>
    <w:p>
      <w:pPr>
        <w:spacing w:line="360" w:lineRule="auto"/>
        <w:jc w:val="both"/>
        <w:rPr>
          <w:rFonts w:ascii="Calibri" w:hAnsi="Calibri" w:cs="Calibri"/>
          <w:sz w:val="24"/>
          <w:szCs w:val="24"/>
        </w:rPr>
      </w:pPr>
      <w:r>
        <w:rPr>
          <w:rFonts w:ascii="Calibri" w:hAnsi="Calibri" w:cs="Calibri"/>
          <w:sz w:val="24"/>
          <w:szCs w:val="24"/>
        </w:rPr>
        <w:t xml:space="preserve">in multinational corporations’, </w:t>
      </w:r>
      <w:r>
        <w:rPr>
          <w:rFonts w:ascii="Calibri" w:hAnsi="Calibri" w:cs="Calibri"/>
          <w:i/>
          <w:iCs/>
          <w:sz w:val="24"/>
          <w:szCs w:val="24"/>
        </w:rPr>
        <w:t>The Journal of Business Communication</w:t>
      </w:r>
      <w:r>
        <w:rPr>
          <w:rFonts w:ascii="Calibri" w:hAnsi="Calibri" w:cs="Calibri"/>
          <w:sz w:val="24"/>
          <w:szCs w:val="24"/>
        </w:rPr>
        <w:t>,</w:t>
      </w:r>
      <w:r>
        <w:rPr>
          <w:rFonts w:ascii="Calibri" w:hAnsi="Calibri" w:cs="Calibri"/>
          <w:sz w:val="24"/>
          <w:szCs w:val="24"/>
          <w:lang w:eastAsia="zh-CN"/>
        </w:rPr>
        <w:t xml:space="preserve"> vol. </w:t>
      </w:r>
      <w:r>
        <w:rPr>
          <w:rFonts w:ascii="Calibri" w:hAnsi="Calibri" w:cs="Calibri"/>
          <w:sz w:val="24"/>
          <w:szCs w:val="24"/>
        </w:rPr>
        <w:t>33, pp. 141-164.</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Du-Babcock, B </w:t>
      </w:r>
      <w:r>
        <w:rPr>
          <w:rFonts w:hint="eastAsia" w:ascii="Calibri" w:hAnsi="Calibri" w:cs="Calibri"/>
          <w:sz w:val="24"/>
          <w:szCs w:val="24"/>
          <w:lang w:val="en-US" w:eastAsia="zh-CN"/>
        </w:rPr>
        <w:t>(</w:t>
      </w:r>
      <w:r>
        <w:rPr>
          <w:rFonts w:ascii="Calibri" w:hAnsi="Calibri" w:cs="Calibri"/>
          <w:sz w:val="24"/>
          <w:szCs w:val="24"/>
        </w:rPr>
        <w:t>1999</w:t>
      </w:r>
      <w:r>
        <w:rPr>
          <w:rFonts w:hint="eastAsia" w:ascii="Calibri" w:hAnsi="Calibri" w:cs="Calibri"/>
          <w:sz w:val="24"/>
          <w:szCs w:val="24"/>
          <w:lang w:val="en-US" w:eastAsia="zh-CN"/>
        </w:rPr>
        <w:t>)</w:t>
      </w:r>
      <w:r>
        <w:rPr>
          <w:rFonts w:ascii="Calibri" w:hAnsi="Calibri" w:cs="Calibri"/>
          <w:sz w:val="24"/>
          <w:szCs w:val="24"/>
        </w:rPr>
        <w:t>, ‘Topic management and turn taking in professional communication</w:t>
      </w:r>
      <w:r>
        <w:rPr>
          <w:rFonts w:ascii="Calibri" w:hAnsi="Calibri" w:cs="Calibri"/>
          <w:sz w:val="24"/>
          <w:szCs w:val="24"/>
          <w:lang w:eastAsia="zh-CN"/>
        </w:rPr>
        <w:t xml:space="preserve">: </w:t>
      </w:r>
      <w:r>
        <w:rPr>
          <w:rFonts w:ascii="Calibri" w:hAnsi="Calibri" w:cs="Calibri"/>
          <w:sz w:val="24"/>
          <w:szCs w:val="24"/>
        </w:rPr>
        <w:t>First-versus second-language strategies’,</w:t>
      </w:r>
      <w:r>
        <w:rPr>
          <w:rFonts w:ascii="Calibri" w:hAnsi="Calibri" w:cs="Calibri"/>
          <w:i/>
          <w:iCs/>
          <w:sz w:val="24"/>
          <w:szCs w:val="24"/>
        </w:rPr>
        <w:t xml:space="preserve"> Management Communication</w:t>
      </w:r>
      <w:r>
        <w:rPr>
          <w:rFonts w:ascii="Calibri" w:hAnsi="Calibri" w:cs="Calibri"/>
          <w:i/>
          <w:iCs/>
          <w:sz w:val="24"/>
          <w:szCs w:val="24"/>
          <w:lang w:eastAsia="zh-CN"/>
        </w:rPr>
        <w:t xml:space="preserve"> </w:t>
      </w:r>
      <w:r>
        <w:rPr>
          <w:rFonts w:ascii="Calibri" w:hAnsi="Calibri" w:cs="Calibri"/>
          <w:i/>
          <w:iCs/>
          <w:sz w:val="24"/>
          <w:szCs w:val="24"/>
        </w:rPr>
        <w:t>Quarterly</w:t>
      </w:r>
      <w:r>
        <w:rPr>
          <w:rFonts w:ascii="Calibri" w:hAnsi="Calibri" w:cs="Calibri"/>
          <w:sz w:val="24"/>
          <w:szCs w:val="24"/>
        </w:rPr>
        <w:t>, vol. 12, pp. 544-574.</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Dweyer, FR &amp; Schurr, PH </w:t>
      </w:r>
      <w:r>
        <w:rPr>
          <w:rFonts w:hint="eastAsia" w:ascii="Calibri" w:hAnsi="Calibri" w:cs="Calibri"/>
          <w:sz w:val="24"/>
          <w:szCs w:val="24"/>
          <w:lang w:val="en-US" w:eastAsia="zh-CN"/>
        </w:rPr>
        <w:t>(</w:t>
      </w:r>
      <w:r>
        <w:rPr>
          <w:rFonts w:ascii="Calibri" w:hAnsi="Calibri" w:cs="Calibri"/>
          <w:sz w:val="24"/>
          <w:szCs w:val="24"/>
        </w:rPr>
        <w:t>1987</w:t>
      </w:r>
      <w:r>
        <w:rPr>
          <w:rFonts w:hint="eastAsia" w:ascii="Calibri" w:hAnsi="Calibri" w:cs="Calibri"/>
          <w:sz w:val="24"/>
          <w:szCs w:val="24"/>
          <w:lang w:val="en-US" w:eastAsia="zh-CN"/>
        </w:rPr>
        <w:t>)</w:t>
      </w:r>
      <w:r>
        <w:rPr>
          <w:rFonts w:ascii="Calibri" w:hAnsi="Calibri" w:cs="Calibri"/>
          <w:sz w:val="24"/>
          <w:szCs w:val="24"/>
        </w:rPr>
        <w:t>, ‘Developing buyer–seller relationships’,</w:t>
      </w:r>
      <w:r>
        <w:rPr>
          <w:rFonts w:ascii="Calibri" w:hAnsi="Calibri" w:cs="Calibri"/>
          <w:sz w:val="24"/>
          <w:szCs w:val="24"/>
          <w:lang w:eastAsia="zh-CN"/>
        </w:rPr>
        <w:t xml:space="preserve"> </w:t>
      </w:r>
      <w:r>
        <w:rPr>
          <w:rFonts w:ascii="Calibri" w:hAnsi="Calibri" w:cs="Calibri"/>
          <w:i/>
          <w:iCs/>
          <w:sz w:val="24"/>
          <w:szCs w:val="24"/>
        </w:rPr>
        <w:t>J Mark</w:t>
      </w:r>
      <w:r>
        <w:rPr>
          <w:rFonts w:ascii="Calibri" w:hAnsi="Calibri" w:cs="Calibri"/>
          <w:sz w:val="24"/>
          <w:szCs w:val="24"/>
        </w:rPr>
        <w:t>, vol. 51, pp. 11-27.</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Forsgren, M &amp; Johanson, J </w:t>
      </w:r>
      <w:r>
        <w:rPr>
          <w:rFonts w:hint="eastAsia" w:ascii="Calibri" w:hAnsi="Calibri" w:cs="Calibri"/>
          <w:sz w:val="24"/>
          <w:szCs w:val="24"/>
          <w:lang w:val="en-US" w:eastAsia="zh-CN"/>
        </w:rPr>
        <w:t>(</w:t>
      </w:r>
      <w:r>
        <w:rPr>
          <w:rFonts w:ascii="Calibri" w:hAnsi="Calibri" w:cs="Calibri"/>
          <w:sz w:val="24"/>
          <w:szCs w:val="24"/>
        </w:rPr>
        <w:t>2014</w:t>
      </w:r>
      <w:r>
        <w:rPr>
          <w:rFonts w:hint="eastAsia" w:ascii="Calibri" w:hAnsi="Calibri" w:cs="Calibri"/>
          <w:sz w:val="24"/>
          <w:szCs w:val="24"/>
          <w:lang w:val="en-US" w:eastAsia="zh-CN"/>
        </w:rPr>
        <w:t>)</w:t>
      </w:r>
      <w:r>
        <w:rPr>
          <w:rFonts w:ascii="Calibri" w:hAnsi="Calibri" w:cs="Calibri"/>
          <w:sz w:val="24"/>
          <w:szCs w:val="24"/>
        </w:rPr>
        <w:t xml:space="preserve">, </w:t>
      </w:r>
      <w:r>
        <w:rPr>
          <w:rFonts w:ascii="Calibri" w:hAnsi="Calibri" w:cs="Calibri"/>
          <w:i/>
          <w:iCs/>
          <w:sz w:val="24"/>
          <w:szCs w:val="24"/>
        </w:rPr>
        <w:t>Managing networks in international business</w:t>
      </w:r>
      <w:r>
        <w:rPr>
          <w:rFonts w:ascii="Calibri" w:hAnsi="Calibri" w:cs="Calibri"/>
          <w:sz w:val="24"/>
          <w:szCs w:val="24"/>
        </w:rPr>
        <w:t xml:space="preserve">, Routledge.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Friman, M, Gärling, T, Millett, B, Mattsson, J &amp; Johnston, R </w:t>
      </w:r>
      <w:r>
        <w:rPr>
          <w:rFonts w:hint="eastAsia" w:ascii="Calibri" w:hAnsi="Calibri" w:cs="Calibri"/>
          <w:sz w:val="24"/>
          <w:szCs w:val="24"/>
          <w:lang w:val="en-US" w:eastAsia="zh-CN"/>
        </w:rPr>
        <w:t>(</w:t>
      </w:r>
      <w:r>
        <w:rPr>
          <w:rFonts w:ascii="Calibri" w:hAnsi="Calibri" w:cs="Calibri"/>
          <w:sz w:val="24"/>
          <w:szCs w:val="24"/>
        </w:rPr>
        <w:t>2002</w:t>
      </w:r>
      <w:r>
        <w:rPr>
          <w:rFonts w:hint="eastAsia" w:ascii="Calibri" w:hAnsi="Calibri" w:cs="Calibri"/>
          <w:sz w:val="24"/>
          <w:szCs w:val="24"/>
          <w:lang w:val="en-US" w:eastAsia="zh-CN"/>
        </w:rPr>
        <w:t>)</w:t>
      </w:r>
      <w:r>
        <w:rPr>
          <w:rFonts w:ascii="Calibri" w:hAnsi="Calibri" w:cs="Calibri"/>
          <w:sz w:val="24"/>
          <w:szCs w:val="24"/>
        </w:rPr>
        <w:t>, ‘An analysis of international business-to-business relationships based on the Commitment–Trust theory’, Industrial marketing management, vol. 31, no. 5, pp. 403-409.</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Gimenez, J </w:t>
      </w:r>
      <w:r>
        <w:rPr>
          <w:rFonts w:hint="eastAsia" w:ascii="Calibri" w:hAnsi="Calibri" w:cs="Calibri"/>
          <w:sz w:val="24"/>
          <w:szCs w:val="24"/>
          <w:lang w:val="en-US" w:eastAsia="zh-CN"/>
        </w:rPr>
        <w:t>(</w:t>
      </w:r>
      <w:r>
        <w:rPr>
          <w:rFonts w:ascii="Calibri" w:hAnsi="Calibri" w:cs="Calibri"/>
          <w:sz w:val="24"/>
          <w:szCs w:val="24"/>
        </w:rPr>
        <w:t>2006</w:t>
      </w:r>
      <w:r>
        <w:rPr>
          <w:rFonts w:hint="eastAsia" w:ascii="Calibri" w:hAnsi="Calibri" w:cs="Calibri"/>
          <w:sz w:val="24"/>
          <w:szCs w:val="24"/>
          <w:lang w:val="en-US" w:eastAsia="zh-CN"/>
        </w:rPr>
        <w:t>)</w:t>
      </w:r>
      <w:r>
        <w:rPr>
          <w:rFonts w:ascii="Calibri" w:hAnsi="Calibri" w:cs="Calibri"/>
          <w:sz w:val="24"/>
          <w:szCs w:val="24"/>
        </w:rPr>
        <w:t xml:space="preserve">, ‘Embedded business emails: Meeting new demands in international business communication’, </w:t>
      </w:r>
      <w:r>
        <w:rPr>
          <w:rFonts w:ascii="Calibri" w:hAnsi="Calibri" w:cs="Calibri"/>
          <w:i/>
          <w:iCs/>
          <w:sz w:val="24"/>
          <w:szCs w:val="24"/>
        </w:rPr>
        <w:t>English for Specific purposes</w:t>
      </w:r>
      <w:r>
        <w:rPr>
          <w:rFonts w:ascii="Calibri" w:hAnsi="Calibri" w:cs="Calibri"/>
          <w:sz w:val="24"/>
          <w:szCs w:val="24"/>
        </w:rPr>
        <w:t>, vol. 25, no. 2, pp. 154-172.</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Government of UK </w:t>
      </w:r>
      <w:r>
        <w:rPr>
          <w:rFonts w:hint="eastAsia" w:ascii="Calibri" w:hAnsi="Calibri" w:cs="Calibri"/>
          <w:sz w:val="24"/>
          <w:szCs w:val="24"/>
          <w:lang w:val="en-US" w:eastAsia="zh-CN"/>
        </w:rPr>
        <w:t>(</w:t>
      </w:r>
      <w:r>
        <w:rPr>
          <w:rFonts w:ascii="Calibri" w:hAnsi="Calibri" w:cs="Calibri"/>
          <w:sz w:val="24"/>
          <w:szCs w:val="24"/>
        </w:rPr>
        <w:t>2017</w:t>
      </w:r>
      <w:r>
        <w:rPr>
          <w:rFonts w:hint="eastAsia" w:ascii="Calibri" w:hAnsi="Calibri" w:cs="Calibri"/>
          <w:sz w:val="24"/>
          <w:szCs w:val="24"/>
          <w:lang w:val="en-US" w:eastAsia="zh-CN"/>
        </w:rPr>
        <w:t>)</w:t>
      </w:r>
      <w:r>
        <w:rPr>
          <w:rFonts w:ascii="Calibri" w:hAnsi="Calibri" w:cs="Calibri"/>
          <w:sz w:val="24"/>
          <w:szCs w:val="24"/>
        </w:rPr>
        <w:t xml:space="preserve">, </w:t>
      </w:r>
      <w:r>
        <w:rPr>
          <w:rFonts w:ascii="Calibri" w:hAnsi="Calibri" w:cs="Calibri"/>
          <w:i/>
          <w:iCs/>
          <w:sz w:val="24"/>
          <w:szCs w:val="24"/>
        </w:rPr>
        <w:t>Overseas Business Risk – Ireland</w:t>
      </w:r>
      <w:r>
        <w:rPr>
          <w:rFonts w:ascii="Calibri" w:hAnsi="Calibri" w:cs="Calibri"/>
          <w:sz w:val="24"/>
          <w:szCs w:val="24"/>
        </w:rPr>
        <w:t>, the UK Government: Department for International Trade, Foreign &amp; Commonwealth Office,</w:t>
      </w:r>
      <w:r>
        <w:rPr>
          <w:rFonts w:hint="eastAsia" w:ascii="Calibri" w:hAnsi="Calibri" w:cs="Calibri"/>
          <w:sz w:val="24"/>
          <w:szCs w:val="24"/>
          <w:lang w:val="en-US" w:eastAsia="zh-CN"/>
        </w:rPr>
        <w:t>[online]</w:t>
      </w:r>
      <w:r>
        <w:rPr>
          <w:rFonts w:ascii="Calibri" w:hAnsi="Calibri" w:cs="Calibri"/>
          <w:sz w:val="24"/>
          <w:szCs w:val="24"/>
        </w:rPr>
        <w:t xml:space="preserve"> </w:t>
      </w:r>
      <w:r>
        <w:rPr>
          <w:rFonts w:hint="eastAsia" w:ascii="Calibri" w:hAnsi="Calibri" w:cs="Calibri"/>
          <w:sz w:val="24"/>
          <w:szCs w:val="24"/>
          <w:lang w:val="en-US" w:eastAsia="zh-CN"/>
        </w:rPr>
        <w:t>available at</w:t>
      </w:r>
      <w:r>
        <w:rPr>
          <w:rFonts w:ascii="Calibri" w:hAnsi="Calibri" w:cs="Calibri"/>
          <w:sz w:val="24"/>
          <w:szCs w:val="24"/>
        </w:rPr>
        <w:t>&lt;https://www.gov.uk/government/publications/overseas-business-risk-ireland/overseas-business-risk-ireland&gt;.</w:t>
      </w:r>
      <w:r>
        <w:rPr>
          <w:rFonts w:hint="eastAsia" w:ascii="Calibri" w:hAnsi="Calibri"/>
          <w:sz w:val="24"/>
          <w:szCs w:val="24"/>
          <w:lang w:val="en-US" w:eastAsia="zh-CN"/>
        </w:rPr>
        <w:t>date accessed:</w:t>
      </w:r>
      <w:r>
        <w:rPr>
          <w:rFonts w:hint="eastAsia" w:ascii="Calibri" w:hAnsi="Calibri"/>
          <w:sz w:val="24"/>
          <w:szCs w:val="24"/>
        </w:rPr>
        <w:t xml:space="preserve"> 3</w:t>
      </w:r>
      <w:r>
        <w:rPr>
          <w:rFonts w:hint="eastAsia" w:ascii="Calibri" w:hAnsi="Calibri"/>
          <w:sz w:val="24"/>
          <w:szCs w:val="24"/>
          <w:vertAlign w:val="superscript"/>
          <w:lang w:val="en-US" w:eastAsia="zh-CN"/>
        </w:rPr>
        <w:t>rd</w:t>
      </w:r>
      <w:r>
        <w:rPr>
          <w:rFonts w:hint="eastAsia" w:ascii="Calibri" w:hAnsi="Calibri"/>
          <w:sz w:val="24"/>
          <w:szCs w:val="24"/>
          <w:lang w:val="en-US" w:eastAsia="zh-CN"/>
        </w:rPr>
        <w:t xml:space="preserve"> </w:t>
      </w:r>
      <w:r>
        <w:rPr>
          <w:rFonts w:hint="eastAsia" w:ascii="Calibri" w:hAnsi="Calibri"/>
          <w:sz w:val="24"/>
          <w:szCs w:val="24"/>
        </w:rPr>
        <w:t xml:space="preserve"> January 2020</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Graham, B &amp; Nash, C </w:t>
      </w:r>
      <w:r>
        <w:rPr>
          <w:rFonts w:hint="eastAsia" w:ascii="Calibri" w:hAnsi="Calibri" w:cs="Calibri"/>
          <w:sz w:val="24"/>
          <w:szCs w:val="24"/>
          <w:lang w:val="en-US" w:eastAsia="zh-CN"/>
        </w:rPr>
        <w:t>(</w:t>
      </w:r>
      <w:r>
        <w:rPr>
          <w:rFonts w:ascii="Calibri" w:hAnsi="Calibri" w:cs="Calibri"/>
          <w:sz w:val="24"/>
          <w:szCs w:val="24"/>
        </w:rPr>
        <w:t>2006</w:t>
      </w:r>
      <w:r>
        <w:rPr>
          <w:rFonts w:hint="eastAsia" w:ascii="Calibri" w:hAnsi="Calibri" w:cs="Calibri"/>
          <w:sz w:val="24"/>
          <w:szCs w:val="24"/>
          <w:lang w:val="en-US" w:eastAsia="zh-CN"/>
        </w:rPr>
        <w:t>)</w:t>
      </w:r>
      <w:r>
        <w:rPr>
          <w:rFonts w:ascii="Calibri" w:hAnsi="Calibri" w:cs="Calibri"/>
          <w:sz w:val="24"/>
          <w:szCs w:val="24"/>
        </w:rPr>
        <w:t xml:space="preserve">, ‘A shared future: territoriality, pluralism and public policy in Northern Ireland’, </w:t>
      </w:r>
      <w:r>
        <w:rPr>
          <w:rFonts w:ascii="Calibri" w:hAnsi="Calibri" w:cs="Calibri"/>
          <w:i/>
          <w:iCs/>
          <w:sz w:val="24"/>
          <w:szCs w:val="24"/>
        </w:rPr>
        <w:t>Political Geography</w:t>
      </w:r>
      <w:r>
        <w:rPr>
          <w:rFonts w:ascii="Calibri" w:hAnsi="Calibri" w:cs="Calibri"/>
          <w:sz w:val="24"/>
          <w:szCs w:val="24"/>
        </w:rPr>
        <w:t xml:space="preserve">, vol. 25, no. 3, </w:t>
      </w:r>
      <w:r>
        <w:rPr>
          <w:rFonts w:hint="eastAsia" w:ascii="Calibri" w:hAnsi="Calibri" w:cs="Calibri"/>
          <w:sz w:val="24"/>
          <w:szCs w:val="24"/>
          <w:lang w:eastAsia="zh-CN"/>
        </w:rPr>
        <w:t>p</w:t>
      </w:r>
      <w:r>
        <w:rPr>
          <w:rFonts w:ascii="Calibri" w:hAnsi="Calibri" w:cs="Calibri"/>
          <w:sz w:val="24"/>
          <w:szCs w:val="24"/>
          <w:lang w:eastAsia="zh-CN"/>
        </w:rPr>
        <w:t xml:space="preserve">p. </w:t>
      </w:r>
      <w:r>
        <w:rPr>
          <w:rFonts w:ascii="Calibri" w:hAnsi="Calibri" w:cs="Calibri"/>
          <w:sz w:val="24"/>
          <w:szCs w:val="24"/>
        </w:rPr>
        <w:t>253-278.</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Hooker, J </w:t>
      </w:r>
      <w:r>
        <w:rPr>
          <w:rFonts w:hint="eastAsia" w:ascii="Calibri" w:hAnsi="Calibri" w:cs="Calibri"/>
          <w:sz w:val="24"/>
          <w:szCs w:val="24"/>
          <w:lang w:val="en-US" w:eastAsia="zh-CN"/>
        </w:rPr>
        <w:t>(</w:t>
      </w:r>
      <w:r>
        <w:rPr>
          <w:rFonts w:ascii="Calibri" w:hAnsi="Calibri" w:cs="Calibri"/>
          <w:sz w:val="24"/>
          <w:szCs w:val="24"/>
        </w:rPr>
        <w:t>2012</w:t>
      </w:r>
      <w:r>
        <w:rPr>
          <w:rFonts w:hint="eastAsia" w:ascii="Calibri" w:hAnsi="Calibri" w:cs="Calibri"/>
          <w:sz w:val="24"/>
          <w:szCs w:val="24"/>
          <w:lang w:val="en-US" w:eastAsia="zh-CN"/>
        </w:rPr>
        <w:t>)</w:t>
      </w:r>
      <w:r>
        <w:rPr>
          <w:rFonts w:ascii="Calibri" w:hAnsi="Calibri" w:cs="Calibri"/>
          <w:sz w:val="24"/>
          <w:szCs w:val="24"/>
        </w:rPr>
        <w:t xml:space="preserve">, ‘19 Cultural Differences in Business Communication’, </w:t>
      </w:r>
      <w:r>
        <w:rPr>
          <w:rFonts w:ascii="Calibri" w:hAnsi="Calibri" w:cs="Calibri"/>
          <w:i/>
          <w:iCs/>
          <w:sz w:val="24"/>
          <w:szCs w:val="24"/>
        </w:rPr>
        <w:t>The handbook of intercultural discourse and communication</w:t>
      </w:r>
      <w:r>
        <w:rPr>
          <w:rFonts w:ascii="Calibri" w:hAnsi="Calibri" w:cs="Calibri"/>
          <w:sz w:val="24"/>
          <w:szCs w:val="24"/>
        </w:rPr>
        <w:t>, vol. 29, p. 389.</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Jevons, C &amp; Gabbott, M </w:t>
      </w:r>
      <w:r>
        <w:rPr>
          <w:rFonts w:hint="eastAsia" w:ascii="Calibri" w:hAnsi="Calibri" w:cs="Calibri"/>
          <w:sz w:val="24"/>
          <w:szCs w:val="24"/>
          <w:lang w:val="en-US" w:eastAsia="zh-CN"/>
        </w:rPr>
        <w:t>(</w:t>
      </w:r>
      <w:r>
        <w:rPr>
          <w:rFonts w:ascii="Calibri" w:hAnsi="Calibri" w:cs="Calibri"/>
          <w:sz w:val="24"/>
          <w:szCs w:val="24"/>
        </w:rPr>
        <w:t>2000</w:t>
      </w:r>
      <w:r>
        <w:rPr>
          <w:rFonts w:hint="eastAsia" w:ascii="Calibri" w:hAnsi="Calibri" w:cs="Calibri"/>
          <w:sz w:val="24"/>
          <w:szCs w:val="24"/>
          <w:lang w:val="en-US" w:eastAsia="zh-CN"/>
        </w:rPr>
        <w:t>)</w:t>
      </w:r>
      <w:r>
        <w:rPr>
          <w:rFonts w:ascii="Calibri" w:hAnsi="Calibri" w:cs="Calibri"/>
          <w:sz w:val="24"/>
          <w:szCs w:val="24"/>
        </w:rPr>
        <w:t xml:space="preserve">, ‘Trust, brand equity and brand reality in internet business relationships: an interdisciplinary approach’, </w:t>
      </w:r>
      <w:r>
        <w:rPr>
          <w:rFonts w:ascii="Calibri" w:hAnsi="Calibri" w:cs="Calibri"/>
          <w:i/>
          <w:iCs/>
          <w:sz w:val="24"/>
          <w:szCs w:val="24"/>
        </w:rPr>
        <w:t>Journal of Marketing Management</w:t>
      </w:r>
      <w:r>
        <w:rPr>
          <w:rFonts w:ascii="Calibri" w:hAnsi="Calibri" w:cs="Calibri"/>
          <w:sz w:val="24"/>
          <w:szCs w:val="24"/>
        </w:rPr>
        <w:t>, vol. 16, no. 6, pp. 619-634.</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Katsikeas, CS, Skarmeas, D &amp; Bello, DC </w:t>
      </w:r>
      <w:r>
        <w:rPr>
          <w:rFonts w:hint="eastAsia" w:ascii="Calibri" w:hAnsi="Calibri" w:cs="Calibri"/>
          <w:sz w:val="24"/>
          <w:szCs w:val="24"/>
          <w:lang w:val="en-US" w:eastAsia="zh-CN"/>
        </w:rPr>
        <w:t>(</w:t>
      </w:r>
      <w:r>
        <w:rPr>
          <w:rFonts w:ascii="Calibri" w:hAnsi="Calibri" w:cs="Calibri"/>
          <w:sz w:val="24"/>
          <w:szCs w:val="24"/>
        </w:rPr>
        <w:t>2009</w:t>
      </w:r>
      <w:r>
        <w:rPr>
          <w:rFonts w:hint="eastAsia" w:ascii="Calibri" w:hAnsi="Calibri" w:cs="Calibri"/>
          <w:sz w:val="24"/>
          <w:szCs w:val="24"/>
          <w:lang w:val="en-US" w:eastAsia="zh-CN"/>
        </w:rPr>
        <w:t>)</w:t>
      </w:r>
      <w:r>
        <w:rPr>
          <w:rFonts w:ascii="Calibri" w:hAnsi="Calibri" w:cs="Calibri"/>
          <w:sz w:val="24"/>
          <w:szCs w:val="24"/>
        </w:rPr>
        <w:t xml:space="preserve">, ‘Developing successful trust-based international exchange relationships’, </w:t>
      </w:r>
      <w:r>
        <w:rPr>
          <w:rFonts w:ascii="Calibri" w:hAnsi="Calibri" w:cs="Calibri"/>
          <w:i/>
          <w:iCs/>
          <w:sz w:val="24"/>
          <w:szCs w:val="24"/>
        </w:rPr>
        <w:t>Journal of international business studies</w:t>
      </w:r>
      <w:r>
        <w:rPr>
          <w:rFonts w:ascii="Calibri" w:hAnsi="Calibri" w:cs="Calibri"/>
          <w:sz w:val="24"/>
          <w:szCs w:val="24"/>
        </w:rPr>
        <w:t>, vol. 40, no. 1, pp. 132-155.</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Kumar, N, Scheer, LK &amp; Steenkamp, J </w:t>
      </w:r>
      <w:r>
        <w:rPr>
          <w:rFonts w:hint="eastAsia" w:ascii="Calibri" w:hAnsi="Calibri" w:cs="Calibri"/>
          <w:sz w:val="24"/>
          <w:szCs w:val="24"/>
          <w:lang w:val="en-US" w:eastAsia="zh-CN"/>
        </w:rPr>
        <w:t>(</w:t>
      </w:r>
      <w:r>
        <w:rPr>
          <w:rFonts w:ascii="Calibri" w:hAnsi="Calibri" w:cs="Calibri"/>
          <w:sz w:val="24"/>
          <w:szCs w:val="24"/>
        </w:rPr>
        <w:t>1995</w:t>
      </w:r>
      <w:r>
        <w:rPr>
          <w:rFonts w:hint="eastAsia" w:ascii="Calibri" w:hAnsi="Calibri" w:cs="Calibri"/>
          <w:sz w:val="24"/>
          <w:szCs w:val="24"/>
          <w:lang w:val="en-US" w:eastAsia="zh-CN"/>
        </w:rPr>
        <w:t>)</w:t>
      </w:r>
      <w:r>
        <w:rPr>
          <w:rFonts w:ascii="Calibri" w:hAnsi="Calibri" w:cs="Calibri"/>
          <w:sz w:val="24"/>
          <w:szCs w:val="24"/>
        </w:rPr>
        <w:t>, ‘The effects of perceived</w:t>
      </w:r>
      <w:r>
        <w:rPr>
          <w:rFonts w:ascii="Calibri" w:hAnsi="Calibri" w:cs="Calibri"/>
          <w:sz w:val="24"/>
          <w:szCs w:val="24"/>
          <w:lang w:eastAsia="zh-CN"/>
        </w:rPr>
        <w:t xml:space="preserve"> </w:t>
      </w:r>
      <w:r>
        <w:rPr>
          <w:rFonts w:ascii="Calibri" w:hAnsi="Calibri" w:cs="Calibri"/>
          <w:sz w:val="24"/>
          <w:szCs w:val="24"/>
        </w:rPr>
        <w:t xml:space="preserve">interdependence on dealer attitudes’, </w:t>
      </w:r>
      <w:r>
        <w:rPr>
          <w:rFonts w:ascii="Calibri" w:hAnsi="Calibri" w:cs="Calibri"/>
          <w:i/>
          <w:iCs/>
          <w:sz w:val="24"/>
          <w:szCs w:val="24"/>
        </w:rPr>
        <w:t>J Mark</w:t>
      </w:r>
      <w:r>
        <w:rPr>
          <w:rFonts w:ascii="Calibri" w:hAnsi="Calibri" w:cs="Calibri"/>
          <w:sz w:val="24"/>
          <w:szCs w:val="24"/>
        </w:rPr>
        <w:t>, vol. 32, pp. 348-356.</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Moorman, C, Deshpande, R &amp; Zaltman, G </w:t>
      </w:r>
      <w:r>
        <w:rPr>
          <w:rFonts w:hint="eastAsia" w:ascii="Calibri" w:hAnsi="Calibri" w:cs="Calibri"/>
          <w:sz w:val="24"/>
          <w:szCs w:val="24"/>
          <w:lang w:val="en-US" w:eastAsia="zh-CN"/>
        </w:rPr>
        <w:t>(</w:t>
      </w:r>
      <w:r>
        <w:rPr>
          <w:rFonts w:ascii="Calibri" w:hAnsi="Calibri" w:cs="Calibri"/>
          <w:sz w:val="24"/>
          <w:szCs w:val="24"/>
        </w:rPr>
        <w:t>1993</w:t>
      </w:r>
      <w:r>
        <w:rPr>
          <w:rFonts w:hint="eastAsia" w:ascii="Calibri" w:hAnsi="Calibri" w:cs="Calibri"/>
          <w:sz w:val="24"/>
          <w:szCs w:val="24"/>
          <w:lang w:val="en-US" w:eastAsia="zh-CN"/>
        </w:rPr>
        <w:t>)</w:t>
      </w:r>
      <w:r>
        <w:rPr>
          <w:rFonts w:ascii="Calibri" w:hAnsi="Calibri" w:cs="Calibri"/>
          <w:sz w:val="24"/>
          <w:szCs w:val="24"/>
        </w:rPr>
        <w:t>, ‘Factors affecting trust in</w:t>
      </w:r>
      <w:r>
        <w:rPr>
          <w:rFonts w:ascii="Calibri" w:hAnsi="Calibri" w:cs="Calibri"/>
          <w:sz w:val="24"/>
          <w:szCs w:val="24"/>
          <w:lang w:eastAsia="zh-CN"/>
        </w:rPr>
        <w:t xml:space="preserve"> </w:t>
      </w:r>
      <w:r>
        <w:rPr>
          <w:rFonts w:ascii="Calibri" w:hAnsi="Calibri" w:cs="Calibri"/>
          <w:sz w:val="24"/>
          <w:szCs w:val="24"/>
        </w:rPr>
        <w:t xml:space="preserve">market research relationships’, </w:t>
      </w:r>
      <w:r>
        <w:rPr>
          <w:rFonts w:ascii="Calibri" w:hAnsi="Calibri" w:cs="Calibri"/>
          <w:i/>
          <w:iCs/>
          <w:sz w:val="24"/>
          <w:szCs w:val="24"/>
        </w:rPr>
        <w:t>J Mark</w:t>
      </w:r>
      <w:r>
        <w:rPr>
          <w:rFonts w:ascii="Calibri" w:hAnsi="Calibri" w:cs="Calibri"/>
          <w:sz w:val="24"/>
          <w:szCs w:val="24"/>
        </w:rPr>
        <w:t>, vol. 57, pp. 81-101.</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Morgan, MR &amp; Hunt, SD </w:t>
      </w:r>
      <w:r>
        <w:rPr>
          <w:rFonts w:hint="eastAsia" w:ascii="Calibri" w:hAnsi="Calibri" w:cs="Calibri"/>
          <w:sz w:val="24"/>
          <w:szCs w:val="24"/>
          <w:lang w:val="en-US" w:eastAsia="zh-CN"/>
        </w:rPr>
        <w:t>(</w:t>
      </w:r>
      <w:r>
        <w:rPr>
          <w:rFonts w:ascii="Calibri" w:hAnsi="Calibri" w:cs="Calibri"/>
          <w:sz w:val="24"/>
          <w:szCs w:val="24"/>
        </w:rPr>
        <w:t>1994</w:t>
      </w:r>
      <w:r>
        <w:rPr>
          <w:rFonts w:hint="eastAsia" w:ascii="Calibri" w:hAnsi="Calibri" w:cs="Calibri"/>
          <w:sz w:val="24"/>
          <w:szCs w:val="24"/>
          <w:lang w:val="en-US" w:eastAsia="zh-CN"/>
        </w:rPr>
        <w:t>)</w:t>
      </w:r>
      <w:r>
        <w:rPr>
          <w:rFonts w:ascii="Calibri" w:hAnsi="Calibri" w:cs="Calibri"/>
          <w:sz w:val="24"/>
          <w:szCs w:val="24"/>
        </w:rPr>
        <w:t>, ‘The commitment-trust theory of relationship</w:t>
      </w:r>
      <w:r>
        <w:rPr>
          <w:rFonts w:ascii="Calibri" w:hAnsi="Calibri" w:cs="Calibri"/>
          <w:sz w:val="24"/>
          <w:szCs w:val="24"/>
          <w:lang w:eastAsia="zh-CN"/>
        </w:rPr>
        <w:t xml:space="preserve"> </w:t>
      </w:r>
      <w:r>
        <w:rPr>
          <w:rFonts w:ascii="Calibri" w:hAnsi="Calibri" w:cs="Calibri"/>
          <w:sz w:val="24"/>
          <w:szCs w:val="24"/>
        </w:rPr>
        <w:t xml:space="preserve">marketing’, </w:t>
      </w:r>
      <w:r>
        <w:rPr>
          <w:rFonts w:ascii="Calibri" w:hAnsi="Calibri" w:cs="Calibri"/>
          <w:i/>
          <w:iCs/>
          <w:sz w:val="24"/>
          <w:szCs w:val="24"/>
        </w:rPr>
        <w:t>J Mark</w:t>
      </w:r>
      <w:r>
        <w:rPr>
          <w:rFonts w:ascii="Calibri" w:hAnsi="Calibri" w:cs="Calibri"/>
          <w:sz w:val="24"/>
          <w:szCs w:val="24"/>
        </w:rPr>
        <w:t>, vol. 58, pp. 20-38.</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Nash, C </w:t>
      </w:r>
      <w:r>
        <w:rPr>
          <w:rFonts w:hint="eastAsia" w:ascii="Calibri" w:hAnsi="Calibri" w:cs="Calibri"/>
          <w:sz w:val="24"/>
          <w:szCs w:val="24"/>
          <w:lang w:val="en-US" w:eastAsia="zh-CN"/>
        </w:rPr>
        <w:t>(</w:t>
      </w:r>
      <w:r>
        <w:rPr>
          <w:rFonts w:ascii="Calibri" w:hAnsi="Calibri" w:cs="Calibri"/>
          <w:sz w:val="24"/>
          <w:szCs w:val="24"/>
        </w:rPr>
        <w:t>2005</w:t>
      </w:r>
      <w:r>
        <w:rPr>
          <w:rFonts w:hint="eastAsia" w:ascii="Calibri" w:hAnsi="Calibri" w:cs="Calibri"/>
          <w:sz w:val="24"/>
          <w:szCs w:val="24"/>
          <w:lang w:val="en-US" w:eastAsia="zh-CN"/>
        </w:rPr>
        <w:t>)</w:t>
      </w:r>
      <w:r>
        <w:rPr>
          <w:rFonts w:ascii="Calibri" w:hAnsi="Calibri" w:cs="Calibri"/>
          <w:sz w:val="24"/>
          <w:szCs w:val="24"/>
        </w:rPr>
        <w:t xml:space="preserve">, ‘Equity, diversity and interdependence: cultural policy in Northern Ireland’, </w:t>
      </w:r>
      <w:r>
        <w:rPr>
          <w:rFonts w:ascii="Calibri" w:hAnsi="Calibri" w:cs="Calibri"/>
          <w:i/>
          <w:iCs/>
          <w:sz w:val="24"/>
          <w:szCs w:val="24"/>
        </w:rPr>
        <w:t>Antipode</w:t>
      </w:r>
      <w:r>
        <w:rPr>
          <w:rFonts w:ascii="Calibri" w:hAnsi="Calibri" w:cs="Calibri"/>
          <w:sz w:val="24"/>
          <w:szCs w:val="24"/>
        </w:rPr>
        <w:t>, vol. 37, pp. 272-300.</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Nash, C </w:t>
      </w:r>
      <w:r>
        <w:rPr>
          <w:rFonts w:hint="eastAsia" w:ascii="Calibri" w:hAnsi="Calibri" w:cs="Calibri"/>
          <w:sz w:val="24"/>
          <w:szCs w:val="24"/>
          <w:lang w:val="en-US" w:eastAsia="zh-CN"/>
        </w:rPr>
        <w:t>(</w:t>
      </w:r>
      <w:r>
        <w:rPr>
          <w:rFonts w:ascii="Calibri" w:hAnsi="Calibri" w:cs="Calibri"/>
          <w:sz w:val="24"/>
          <w:szCs w:val="24"/>
        </w:rPr>
        <w:t>2005</w:t>
      </w:r>
      <w:r>
        <w:rPr>
          <w:rFonts w:hint="eastAsia" w:ascii="Calibri" w:hAnsi="Calibri" w:cs="Calibri"/>
          <w:sz w:val="24"/>
          <w:szCs w:val="24"/>
          <w:lang w:val="en-US" w:eastAsia="zh-CN"/>
        </w:rPr>
        <w:t>)</w:t>
      </w:r>
      <w:r>
        <w:rPr>
          <w:rFonts w:ascii="Calibri" w:hAnsi="Calibri" w:cs="Calibri"/>
          <w:sz w:val="24"/>
          <w:szCs w:val="24"/>
        </w:rPr>
        <w:t xml:space="preserve">, ‘Local histories in Northern Ireland’, </w:t>
      </w:r>
      <w:r>
        <w:rPr>
          <w:rFonts w:ascii="Calibri" w:hAnsi="Calibri" w:cs="Calibri"/>
          <w:i/>
          <w:iCs/>
          <w:sz w:val="24"/>
          <w:szCs w:val="24"/>
        </w:rPr>
        <w:t>History Workshop Journal</w:t>
      </w:r>
      <w:r>
        <w:rPr>
          <w:rFonts w:ascii="Calibri" w:hAnsi="Calibri" w:cs="Calibri"/>
          <w:sz w:val="24"/>
          <w:szCs w:val="24"/>
        </w:rPr>
        <w:t xml:space="preserve">, vol. 60, pp. 45-68.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Nickerson, C </w:t>
      </w:r>
      <w:r>
        <w:rPr>
          <w:rFonts w:hint="eastAsia" w:ascii="Calibri" w:hAnsi="Calibri" w:cs="Calibri"/>
          <w:sz w:val="24"/>
          <w:szCs w:val="24"/>
          <w:lang w:val="en-US" w:eastAsia="zh-CN"/>
        </w:rPr>
        <w:t>(</w:t>
      </w:r>
      <w:r>
        <w:rPr>
          <w:rFonts w:ascii="Calibri" w:hAnsi="Calibri" w:cs="Calibri"/>
          <w:sz w:val="24"/>
          <w:szCs w:val="24"/>
        </w:rPr>
        <w:t>2005</w:t>
      </w:r>
      <w:r>
        <w:rPr>
          <w:rFonts w:hint="eastAsia" w:ascii="Calibri" w:hAnsi="Calibri" w:cs="Calibri"/>
          <w:sz w:val="24"/>
          <w:szCs w:val="24"/>
          <w:lang w:val="en-US" w:eastAsia="zh-CN"/>
        </w:rPr>
        <w:t>)</w:t>
      </w:r>
      <w:r>
        <w:rPr>
          <w:rFonts w:ascii="Calibri" w:hAnsi="Calibri" w:cs="Calibri"/>
          <w:sz w:val="24"/>
          <w:szCs w:val="24"/>
        </w:rPr>
        <w:t xml:space="preserve">, ‘English as a lingua franca in international business contexts’, </w:t>
      </w:r>
      <w:r>
        <w:rPr>
          <w:rFonts w:ascii="Calibri" w:hAnsi="Calibri" w:cs="Calibri"/>
          <w:i/>
          <w:iCs/>
          <w:sz w:val="24"/>
          <w:szCs w:val="24"/>
        </w:rPr>
        <w:t>English for Specific Purpose</w:t>
      </w:r>
      <w:r>
        <w:rPr>
          <w:rFonts w:ascii="Calibri" w:hAnsi="Calibri" w:cs="Calibri"/>
          <w:sz w:val="24"/>
          <w:szCs w:val="24"/>
        </w:rPr>
        <w:t>, vol. 24, pp. 367-380.</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lang w:eastAsia="zh-CN"/>
        </w:rPr>
      </w:pPr>
      <w:r>
        <w:rPr>
          <w:rFonts w:hint="eastAsia" w:ascii="Calibri" w:hAnsi="Calibri" w:cs="Calibri"/>
          <w:sz w:val="24"/>
          <w:szCs w:val="24"/>
          <w:lang w:eastAsia="zh-CN"/>
        </w:rPr>
        <w:t>O</w:t>
      </w:r>
      <w:r>
        <w:rPr>
          <w:rFonts w:ascii="Calibri" w:hAnsi="Calibri" w:cs="Calibri"/>
          <w:sz w:val="24"/>
          <w:szCs w:val="24"/>
          <w:lang w:eastAsia="zh-CN"/>
        </w:rPr>
        <w:t xml:space="preserve">’Brien, U </w:t>
      </w:r>
      <w:r>
        <w:rPr>
          <w:rFonts w:hint="eastAsia" w:ascii="Calibri" w:hAnsi="Calibri" w:cs="Calibri"/>
          <w:sz w:val="24"/>
          <w:szCs w:val="24"/>
          <w:lang w:val="en-US" w:eastAsia="zh-CN"/>
        </w:rPr>
        <w:t>(</w:t>
      </w:r>
      <w:r>
        <w:rPr>
          <w:rFonts w:ascii="Calibri" w:hAnsi="Calibri" w:cs="Calibri"/>
          <w:sz w:val="24"/>
          <w:szCs w:val="24"/>
          <w:lang w:eastAsia="zh-CN"/>
        </w:rPr>
        <w:t>2016</w:t>
      </w:r>
      <w:r>
        <w:rPr>
          <w:rFonts w:hint="eastAsia" w:ascii="Calibri" w:hAnsi="Calibri" w:cs="Calibri"/>
          <w:sz w:val="24"/>
          <w:szCs w:val="24"/>
          <w:lang w:val="en-US" w:eastAsia="zh-CN"/>
        </w:rPr>
        <w:t>)</w:t>
      </w:r>
      <w:r>
        <w:rPr>
          <w:rFonts w:ascii="Calibri" w:hAnsi="Calibri" w:cs="Calibri"/>
          <w:sz w:val="24"/>
          <w:szCs w:val="24"/>
          <w:lang w:eastAsia="zh-CN"/>
        </w:rPr>
        <w:t xml:space="preserve">, What are the cultural differences between the Republic of Ireland and the UK?, Quora, </w:t>
      </w:r>
      <w:r>
        <w:rPr>
          <w:rFonts w:hint="eastAsia" w:ascii="Calibri" w:hAnsi="Calibri" w:cs="Calibri"/>
          <w:sz w:val="24"/>
          <w:szCs w:val="24"/>
          <w:lang w:val="en-US" w:eastAsia="zh-CN"/>
        </w:rPr>
        <w:t>[online]available at</w:t>
      </w:r>
      <w:r>
        <w:rPr>
          <w:rFonts w:ascii="Calibri" w:hAnsi="Calibri" w:cs="Calibri"/>
          <w:sz w:val="24"/>
          <w:szCs w:val="24"/>
          <w:lang w:eastAsia="zh-CN"/>
        </w:rPr>
        <w:t xml:space="preserve"> &lt;https://www.quora.com/What-are-the-cultural-differences-between-the-Republic-of-Ireland-and-the-UK&gt;.</w:t>
      </w:r>
      <w:r>
        <w:rPr>
          <w:rFonts w:hint="eastAsia" w:ascii="Calibri" w:hAnsi="Calibri"/>
          <w:sz w:val="24"/>
          <w:szCs w:val="24"/>
          <w:lang w:val="en-US" w:eastAsia="zh-CN"/>
        </w:rPr>
        <w:t>date accessed:</w:t>
      </w:r>
      <w:r>
        <w:rPr>
          <w:rFonts w:hint="eastAsia" w:ascii="Calibri" w:hAnsi="Calibri"/>
          <w:sz w:val="24"/>
          <w:szCs w:val="24"/>
          <w:lang w:eastAsia="zh-CN"/>
        </w:rPr>
        <w:t xml:space="preserve"> 5</w:t>
      </w:r>
      <w:r>
        <w:rPr>
          <w:rFonts w:hint="eastAsia" w:ascii="Calibri" w:hAnsi="Calibri"/>
          <w:sz w:val="24"/>
          <w:szCs w:val="24"/>
          <w:vertAlign w:val="superscript"/>
          <w:lang w:val="en-US" w:eastAsia="zh-CN"/>
        </w:rPr>
        <w:t>th</w:t>
      </w:r>
      <w:r>
        <w:rPr>
          <w:rFonts w:hint="eastAsia" w:ascii="Calibri" w:hAnsi="Calibri"/>
          <w:sz w:val="24"/>
          <w:szCs w:val="24"/>
          <w:lang w:eastAsia="zh-CN"/>
        </w:rPr>
        <w:t xml:space="preserve"> January 2020</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Poncini, G </w:t>
      </w:r>
      <w:r>
        <w:rPr>
          <w:rFonts w:hint="eastAsia" w:ascii="Calibri" w:hAnsi="Calibri" w:cs="Calibri"/>
          <w:sz w:val="24"/>
          <w:szCs w:val="24"/>
          <w:lang w:val="en-US" w:eastAsia="zh-CN"/>
        </w:rPr>
        <w:t>(</w:t>
      </w:r>
      <w:r>
        <w:rPr>
          <w:rFonts w:ascii="Calibri" w:hAnsi="Calibri" w:cs="Calibri"/>
          <w:sz w:val="24"/>
          <w:szCs w:val="24"/>
        </w:rPr>
        <w:t>2002</w:t>
      </w:r>
      <w:r>
        <w:rPr>
          <w:rFonts w:hint="eastAsia" w:ascii="Calibri" w:hAnsi="Calibri" w:cs="Calibri"/>
          <w:sz w:val="24"/>
          <w:szCs w:val="24"/>
          <w:lang w:val="en-US" w:eastAsia="zh-CN"/>
        </w:rPr>
        <w:t>)</w:t>
      </w:r>
      <w:r>
        <w:rPr>
          <w:rFonts w:ascii="Calibri" w:hAnsi="Calibri" w:cs="Calibri"/>
          <w:sz w:val="24"/>
          <w:szCs w:val="24"/>
        </w:rPr>
        <w:t xml:space="preserve">, ‘Investigating discourse at business meetings with multicultural participation’, </w:t>
      </w:r>
      <w:r>
        <w:rPr>
          <w:rFonts w:ascii="Calibri" w:hAnsi="Calibri" w:cs="Calibri"/>
          <w:i/>
          <w:iCs/>
          <w:sz w:val="24"/>
          <w:szCs w:val="24"/>
        </w:rPr>
        <w:t>International Review of Applied Linguistics in Language Teaching</w:t>
      </w:r>
      <w:r>
        <w:rPr>
          <w:rFonts w:ascii="Calibri" w:hAnsi="Calibri" w:cs="Calibri"/>
          <w:sz w:val="24"/>
          <w:szCs w:val="24"/>
        </w:rPr>
        <w:t>, vol. 40, no. 4, pp. 345–373.</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Pitzl, ML </w:t>
      </w:r>
      <w:r>
        <w:rPr>
          <w:rFonts w:hint="eastAsia" w:ascii="Calibri" w:hAnsi="Calibri" w:cs="Calibri"/>
          <w:sz w:val="24"/>
          <w:szCs w:val="24"/>
          <w:lang w:val="en-US" w:eastAsia="zh-CN"/>
        </w:rPr>
        <w:t>(</w:t>
      </w:r>
      <w:r>
        <w:rPr>
          <w:rFonts w:ascii="Calibri" w:hAnsi="Calibri" w:cs="Calibri"/>
          <w:sz w:val="24"/>
          <w:szCs w:val="24"/>
        </w:rPr>
        <w:t>2010</w:t>
      </w:r>
      <w:r>
        <w:rPr>
          <w:rFonts w:hint="eastAsia" w:ascii="Calibri" w:hAnsi="Calibri" w:cs="Calibri"/>
          <w:sz w:val="24"/>
          <w:szCs w:val="24"/>
          <w:lang w:val="en-US" w:eastAsia="zh-CN"/>
        </w:rPr>
        <w:t>)</w:t>
      </w:r>
      <w:r>
        <w:rPr>
          <w:rFonts w:ascii="Calibri" w:hAnsi="Calibri" w:cs="Calibri"/>
          <w:sz w:val="24"/>
          <w:szCs w:val="24"/>
        </w:rPr>
        <w:t xml:space="preserve">, ‘English as a lingua franca in international business: Resolving miscommunication and reaching shared understanding’, </w:t>
      </w:r>
      <w:r>
        <w:rPr>
          <w:rFonts w:ascii="Calibri" w:hAnsi="Calibri" w:cs="Calibri"/>
          <w:i/>
          <w:iCs/>
          <w:sz w:val="24"/>
          <w:szCs w:val="24"/>
        </w:rPr>
        <w:t>Rivista semestrale</w:t>
      </w:r>
      <w:r>
        <w:rPr>
          <w:rFonts w:ascii="Calibri" w:hAnsi="Calibri" w:cs="Calibri"/>
          <w:sz w:val="24"/>
          <w:szCs w:val="24"/>
        </w:rPr>
        <w:t xml:space="preserve">, vol. 2, pp. 361-369.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Saunders, MN </w:t>
      </w:r>
      <w:r>
        <w:rPr>
          <w:rFonts w:hint="eastAsia" w:ascii="Calibri" w:hAnsi="Calibri" w:cs="Calibri"/>
          <w:sz w:val="24"/>
          <w:szCs w:val="24"/>
          <w:lang w:val="en-US" w:eastAsia="zh-CN"/>
        </w:rPr>
        <w:t>(</w:t>
      </w:r>
      <w:r>
        <w:rPr>
          <w:rFonts w:ascii="Calibri" w:hAnsi="Calibri" w:cs="Calibri"/>
          <w:sz w:val="24"/>
          <w:szCs w:val="24"/>
        </w:rPr>
        <w:t>2012</w:t>
      </w:r>
      <w:r>
        <w:rPr>
          <w:rFonts w:hint="eastAsia" w:ascii="Calibri" w:hAnsi="Calibri" w:cs="Calibri"/>
          <w:sz w:val="24"/>
          <w:szCs w:val="24"/>
          <w:lang w:val="en-US" w:eastAsia="zh-CN"/>
        </w:rPr>
        <w:t>)</w:t>
      </w:r>
      <w:r>
        <w:rPr>
          <w:rFonts w:ascii="Calibri" w:hAnsi="Calibri" w:cs="Calibri"/>
          <w:sz w:val="24"/>
          <w:szCs w:val="24"/>
        </w:rPr>
        <w:t xml:space="preserve">, ‘Organizational trust: A cultural perspective’, </w:t>
      </w:r>
      <w:r>
        <w:rPr>
          <w:rFonts w:ascii="Calibri" w:hAnsi="Calibri" w:cs="Calibri"/>
          <w:i/>
          <w:iCs/>
          <w:sz w:val="24"/>
          <w:szCs w:val="24"/>
        </w:rPr>
        <w:t>Development and Learning in Organizations: An International Journal</w:t>
      </w:r>
      <w:r>
        <w:rPr>
          <w:rFonts w:ascii="Calibri" w:hAnsi="Calibri" w:cs="Calibri"/>
          <w:sz w:val="24"/>
          <w:szCs w:val="24"/>
        </w:rPr>
        <w:t xml:space="preserve">, vol. 26, no. 2, pp. 131-142.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Shirlow, P </w:t>
      </w:r>
      <w:r>
        <w:rPr>
          <w:rFonts w:hint="eastAsia" w:ascii="Calibri" w:hAnsi="Calibri" w:cs="Calibri"/>
          <w:sz w:val="24"/>
          <w:szCs w:val="24"/>
          <w:lang w:val="en-US" w:eastAsia="zh-CN"/>
        </w:rPr>
        <w:t>(</w:t>
      </w:r>
      <w:r>
        <w:rPr>
          <w:rFonts w:ascii="Calibri" w:hAnsi="Calibri" w:cs="Calibri"/>
          <w:sz w:val="24"/>
          <w:szCs w:val="24"/>
        </w:rPr>
        <w:t>200</w:t>
      </w:r>
      <w:r>
        <w:rPr>
          <w:rFonts w:hint="eastAsia" w:ascii="Calibri" w:hAnsi="Calibri" w:cs="Calibri"/>
          <w:sz w:val="24"/>
          <w:szCs w:val="24"/>
          <w:lang w:val="en-US" w:eastAsia="zh-CN"/>
        </w:rPr>
        <w:t>)</w:t>
      </w:r>
      <w:r>
        <w:rPr>
          <w:rFonts w:ascii="Calibri" w:hAnsi="Calibri" w:cs="Calibri"/>
          <w:sz w:val="24"/>
          <w:szCs w:val="24"/>
        </w:rPr>
        <w:t xml:space="preserve">1, ‘Fear and ethnic division’, </w:t>
      </w:r>
      <w:r>
        <w:rPr>
          <w:rFonts w:ascii="Calibri" w:hAnsi="Calibri" w:cs="Calibri"/>
          <w:i/>
          <w:iCs/>
          <w:sz w:val="24"/>
          <w:szCs w:val="24"/>
        </w:rPr>
        <w:t>Peace Review</w:t>
      </w:r>
      <w:r>
        <w:rPr>
          <w:rFonts w:ascii="Calibri" w:hAnsi="Calibri" w:cs="Calibri"/>
          <w:sz w:val="24"/>
          <w:szCs w:val="24"/>
        </w:rPr>
        <w:t>, vol. 13, no. 1, pp. 67-74.</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Shirlow, P, Graham, B, McMullan, A, Murtagh, B, Robinson, G &amp; Southern, N </w:t>
      </w:r>
      <w:r>
        <w:rPr>
          <w:rFonts w:hint="eastAsia" w:ascii="Calibri" w:hAnsi="Calibri" w:cs="Calibri"/>
          <w:sz w:val="24"/>
          <w:szCs w:val="24"/>
          <w:lang w:val="en-US" w:eastAsia="zh-CN"/>
        </w:rPr>
        <w:t>(</w:t>
      </w:r>
      <w:r>
        <w:rPr>
          <w:rFonts w:ascii="Calibri" w:hAnsi="Calibri" w:cs="Calibri"/>
          <w:sz w:val="24"/>
          <w:szCs w:val="24"/>
        </w:rPr>
        <w:t>2005</w:t>
      </w:r>
      <w:r>
        <w:rPr>
          <w:rFonts w:hint="eastAsia" w:ascii="Calibri" w:hAnsi="Calibri" w:cs="Calibri"/>
          <w:sz w:val="24"/>
          <w:szCs w:val="24"/>
          <w:lang w:val="en-US" w:eastAsia="zh-CN"/>
        </w:rPr>
        <w:t>)</w:t>
      </w:r>
      <w:r>
        <w:rPr>
          <w:rFonts w:ascii="Calibri" w:hAnsi="Calibri" w:cs="Calibri"/>
          <w:sz w:val="24"/>
          <w:szCs w:val="24"/>
        </w:rPr>
        <w:t xml:space="preserve">, </w:t>
      </w:r>
      <w:r>
        <w:rPr>
          <w:rFonts w:ascii="Calibri" w:hAnsi="Calibri" w:cs="Calibri"/>
          <w:i/>
          <w:iCs/>
          <w:sz w:val="24"/>
          <w:szCs w:val="24"/>
        </w:rPr>
        <w:t>Population change and social inclusion study</w:t>
      </w:r>
      <w:r>
        <w:rPr>
          <w:rFonts w:ascii="Calibri" w:hAnsi="Calibri" w:cs="Calibri"/>
          <w:sz w:val="24"/>
          <w:szCs w:val="24"/>
        </w:rPr>
        <w:t xml:space="preserve">, Derry/Londonderry, Belfast: OFMDFM. </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r>
        <w:rPr>
          <w:rFonts w:ascii="Calibri" w:hAnsi="Calibri" w:cs="Calibri"/>
          <w:sz w:val="24"/>
          <w:szCs w:val="24"/>
        </w:rPr>
        <w:t xml:space="preserve">Van Dusen, R </w:t>
      </w:r>
      <w:r>
        <w:rPr>
          <w:rFonts w:hint="eastAsia" w:ascii="Calibri" w:hAnsi="Calibri" w:cs="Calibri"/>
          <w:sz w:val="24"/>
          <w:szCs w:val="24"/>
          <w:lang w:val="en-US" w:eastAsia="zh-CN"/>
        </w:rPr>
        <w:t>(</w:t>
      </w:r>
      <w:r>
        <w:rPr>
          <w:rFonts w:ascii="Calibri" w:hAnsi="Calibri" w:cs="Calibri"/>
          <w:sz w:val="24"/>
          <w:szCs w:val="24"/>
        </w:rPr>
        <w:t>2004</w:t>
      </w:r>
      <w:r>
        <w:rPr>
          <w:rFonts w:hint="eastAsia" w:ascii="Calibri" w:hAnsi="Calibri" w:cs="Calibri"/>
          <w:sz w:val="24"/>
          <w:szCs w:val="24"/>
          <w:lang w:val="en-US" w:eastAsia="zh-CN"/>
        </w:rPr>
        <w:t>)</w:t>
      </w:r>
      <w:r>
        <w:rPr>
          <w:rFonts w:ascii="Calibri" w:hAnsi="Calibri" w:cs="Calibri"/>
          <w:sz w:val="24"/>
          <w:szCs w:val="24"/>
        </w:rPr>
        <w:t xml:space="preserve">, ‘The state, culture and rights: a response to Sallie Marston’s ‘‘Space, culture, state: uneven developments in political geography’, </w:t>
      </w:r>
      <w:r>
        <w:rPr>
          <w:rFonts w:ascii="Calibri" w:hAnsi="Calibri" w:cs="Calibri"/>
          <w:i/>
          <w:iCs/>
          <w:sz w:val="24"/>
          <w:szCs w:val="24"/>
        </w:rPr>
        <w:t>Political Geography</w:t>
      </w:r>
      <w:r>
        <w:rPr>
          <w:rFonts w:ascii="Calibri" w:hAnsi="Calibri" w:cs="Calibri"/>
          <w:sz w:val="24"/>
          <w:szCs w:val="24"/>
        </w:rPr>
        <w:t>, vol. 23, pp. 27-34.</w:t>
      </w:r>
    </w:p>
    <w:p>
      <w:pPr>
        <w:spacing w:line="360" w:lineRule="auto"/>
        <w:jc w:val="both"/>
        <w:rPr>
          <w:rFonts w:ascii="Calibri" w:hAnsi="Calibri" w:cs="Calibri"/>
          <w:sz w:val="24"/>
          <w:szCs w:val="24"/>
        </w:rPr>
      </w:pPr>
    </w:p>
    <w:p>
      <w:pPr>
        <w:spacing w:line="360" w:lineRule="auto"/>
        <w:jc w:val="both"/>
        <w:rPr>
          <w:rFonts w:ascii="Calibri" w:hAnsi="Calibri" w:cs="Calibri"/>
          <w:sz w:val="24"/>
          <w:szCs w:val="24"/>
        </w:rPr>
      </w:pPr>
    </w:p>
    <w:sectPr>
      <w:footerReference r:id="rId4" w:type="first"/>
      <w:pgSz w:w="11906" w:h="16838"/>
      <w:pgMar w:top="1440" w:right="1440" w:bottom="1440" w:left="1440" w:header="708" w:footer="708" w:gutter="0"/>
      <w:pgNumType w:start="1"/>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27435181"/>
      <w:docPartObj>
        <w:docPartGallery w:val="autotext"/>
      </w:docPartObj>
    </w:sdtPr>
    <w:sdtContent>
      <w:p>
        <w:pPr>
          <w:pStyle w:val="4"/>
          <w:jc w:val="center"/>
        </w:pPr>
        <w:r>
          <w:fldChar w:fldCharType="begin"/>
        </w:r>
        <w:r>
          <w:instrText xml:space="preserve">PAGE   \* MERGEFORMAT</w:instrText>
        </w:r>
        <w:r>
          <w:fldChar w:fldCharType="separate"/>
        </w:r>
        <w:r>
          <w:rPr>
            <w:lang w:val="zh-CN" w:eastAsia="zh-CN"/>
          </w:rPr>
          <w:t>2</w:t>
        </w:r>
        <w:r>
          <w:fldChar w:fldCharType="end"/>
        </w:r>
      </w:p>
    </w:sdtContent>
  </w:sdt>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59607439"/>
      <w:docPartObj>
        <w:docPartGallery w:val="autotext"/>
      </w:docPartObj>
    </w:sdtPr>
    <w:sdtContent>
      <w:p>
        <w:pPr>
          <w:pStyle w:val="4"/>
          <w:jc w:val="center"/>
        </w:pPr>
        <w:r>
          <w:fldChar w:fldCharType="begin"/>
        </w:r>
        <w:r>
          <w:instrText xml:space="preserve">PAGE   \* MERGEFORMAT</w:instrText>
        </w:r>
        <w:r>
          <w:fldChar w:fldCharType="separate"/>
        </w:r>
        <w:r>
          <w:rPr>
            <w:lang w:val="zh-CN" w:eastAsia="zh-CN"/>
          </w:rPr>
          <w:t>2</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277AB"/>
    <w:multiLevelType w:val="multilevel"/>
    <w:tmpl w:val="031277AB"/>
    <w:lvl w:ilvl="0" w:tentative="0">
      <w:start w:val="1"/>
      <w:numFmt w:val="bullet"/>
      <w:lvlText w:val=""/>
      <w:lvlJc w:val="left"/>
      <w:pPr>
        <w:ind w:left="420" w:hanging="420"/>
      </w:pPr>
      <w:rPr>
        <w:rFonts w:hint="default" w:ascii="Wingdings" w:hAnsi="Wingdings"/>
        <w:sz w:val="21"/>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781C09A4"/>
    <w:multiLevelType w:val="multilevel"/>
    <w:tmpl w:val="781C09A4"/>
    <w:lvl w:ilvl="0" w:tentative="0">
      <w:start w:val="1"/>
      <w:numFmt w:val="decimal"/>
      <w:lvlText w:val="%1)"/>
      <w:lvlJc w:val="left"/>
      <w:pPr>
        <w:ind w:left="660" w:hanging="420"/>
      </w:pPr>
    </w:lvl>
    <w:lvl w:ilvl="1" w:tentative="0">
      <w:start w:val="1"/>
      <w:numFmt w:val="lowerLetter"/>
      <w:lvlText w:val="%2)"/>
      <w:lvlJc w:val="left"/>
      <w:pPr>
        <w:ind w:left="1080" w:hanging="420"/>
      </w:pPr>
    </w:lvl>
    <w:lvl w:ilvl="2" w:tentative="0">
      <w:start w:val="1"/>
      <w:numFmt w:val="lowerRoman"/>
      <w:lvlText w:val="%3."/>
      <w:lvlJc w:val="right"/>
      <w:pPr>
        <w:ind w:left="1500" w:hanging="420"/>
      </w:pPr>
    </w:lvl>
    <w:lvl w:ilvl="3" w:tentative="0">
      <w:start w:val="1"/>
      <w:numFmt w:val="decimal"/>
      <w:lvlText w:val="%4."/>
      <w:lvlJc w:val="left"/>
      <w:pPr>
        <w:ind w:left="1920" w:hanging="420"/>
      </w:pPr>
    </w:lvl>
    <w:lvl w:ilvl="4" w:tentative="0">
      <w:start w:val="1"/>
      <w:numFmt w:val="lowerLetter"/>
      <w:lvlText w:val="%5)"/>
      <w:lvlJc w:val="left"/>
      <w:pPr>
        <w:ind w:left="2340" w:hanging="420"/>
      </w:pPr>
    </w:lvl>
    <w:lvl w:ilvl="5" w:tentative="0">
      <w:start w:val="1"/>
      <w:numFmt w:val="lowerRoman"/>
      <w:lvlText w:val="%6."/>
      <w:lvlJc w:val="right"/>
      <w:pPr>
        <w:ind w:left="2760" w:hanging="420"/>
      </w:pPr>
    </w:lvl>
    <w:lvl w:ilvl="6" w:tentative="0">
      <w:start w:val="1"/>
      <w:numFmt w:val="decimal"/>
      <w:lvlText w:val="%7."/>
      <w:lvlJc w:val="left"/>
      <w:pPr>
        <w:ind w:left="3180" w:hanging="420"/>
      </w:pPr>
    </w:lvl>
    <w:lvl w:ilvl="7" w:tentative="0">
      <w:start w:val="1"/>
      <w:numFmt w:val="lowerLetter"/>
      <w:lvlText w:val="%8)"/>
      <w:lvlJc w:val="left"/>
      <w:pPr>
        <w:ind w:left="3600" w:hanging="420"/>
      </w:pPr>
    </w:lvl>
    <w:lvl w:ilvl="8" w:tentative="0">
      <w:start w:val="1"/>
      <w:numFmt w:val="lowerRoman"/>
      <w:lvlText w:val="%9."/>
      <w:lvlJc w:val="right"/>
      <w:pPr>
        <w:ind w:left="402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41E33"/>
    <w:rsid w:val="000501EC"/>
    <w:rsid w:val="000649A1"/>
    <w:rsid w:val="00084B97"/>
    <w:rsid w:val="00097510"/>
    <w:rsid w:val="000A05AB"/>
    <w:rsid w:val="000A7D6C"/>
    <w:rsid w:val="000B6670"/>
    <w:rsid w:val="000D2ECD"/>
    <w:rsid w:val="000D69FA"/>
    <w:rsid w:val="000E7011"/>
    <w:rsid w:val="000F3FF2"/>
    <w:rsid w:val="000F4007"/>
    <w:rsid w:val="001052CB"/>
    <w:rsid w:val="00115B96"/>
    <w:rsid w:val="001226F1"/>
    <w:rsid w:val="00122985"/>
    <w:rsid w:val="00130171"/>
    <w:rsid w:val="00134ECF"/>
    <w:rsid w:val="001427C3"/>
    <w:rsid w:val="00146319"/>
    <w:rsid w:val="001467C6"/>
    <w:rsid w:val="00147A45"/>
    <w:rsid w:val="0016532D"/>
    <w:rsid w:val="0017356D"/>
    <w:rsid w:val="00173F61"/>
    <w:rsid w:val="0018076D"/>
    <w:rsid w:val="00187837"/>
    <w:rsid w:val="00194859"/>
    <w:rsid w:val="00197FE1"/>
    <w:rsid w:val="001C4A4D"/>
    <w:rsid w:val="001F3679"/>
    <w:rsid w:val="00205065"/>
    <w:rsid w:val="00217EA6"/>
    <w:rsid w:val="002216FA"/>
    <w:rsid w:val="00230CB0"/>
    <w:rsid w:val="00237DA7"/>
    <w:rsid w:val="002454E0"/>
    <w:rsid w:val="00252DA8"/>
    <w:rsid w:val="0026701F"/>
    <w:rsid w:val="00271EBB"/>
    <w:rsid w:val="00290484"/>
    <w:rsid w:val="002A06E9"/>
    <w:rsid w:val="002A15C2"/>
    <w:rsid w:val="002A299B"/>
    <w:rsid w:val="002A6A7C"/>
    <w:rsid w:val="002C161E"/>
    <w:rsid w:val="002C2B6A"/>
    <w:rsid w:val="002C307B"/>
    <w:rsid w:val="002D359D"/>
    <w:rsid w:val="003177B3"/>
    <w:rsid w:val="00323421"/>
    <w:rsid w:val="00324CCD"/>
    <w:rsid w:val="003348E1"/>
    <w:rsid w:val="003530C6"/>
    <w:rsid w:val="003555FF"/>
    <w:rsid w:val="0036259F"/>
    <w:rsid w:val="00364EB1"/>
    <w:rsid w:val="00370446"/>
    <w:rsid w:val="00371B9E"/>
    <w:rsid w:val="0037541A"/>
    <w:rsid w:val="003938ED"/>
    <w:rsid w:val="003B5B2F"/>
    <w:rsid w:val="003C76B8"/>
    <w:rsid w:val="003E3073"/>
    <w:rsid w:val="003F4B00"/>
    <w:rsid w:val="003F5160"/>
    <w:rsid w:val="00411729"/>
    <w:rsid w:val="00414F2B"/>
    <w:rsid w:val="0042141C"/>
    <w:rsid w:val="00426DB1"/>
    <w:rsid w:val="00434A3B"/>
    <w:rsid w:val="0043561C"/>
    <w:rsid w:val="004403A8"/>
    <w:rsid w:val="00444E46"/>
    <w:rsid w:val="00465F9A"/>
    <w:rsid w:val="00477314"/>
    <w:rsid w:val="00480210"/>
    <w:rsid w:val="00484C14"/>
    <w:rsid w:val="00496124"/>
    <w:rsid w:val="004A11F6"/>
    <w:rsid w:val="004B5F1C"/>
    <w:rsid w:val="004C7BC4"/>
    <w:rsid w:val="004D0643"/>
    <w:rsid w:val="004D2D98"/>
    <w:rsid w:val="004D519C"/>
    <w:rsid w:val="004D6913"/>
    <w:rsid w:val="004E0E6B"/>
    <w:rsid w:val="004E3F9E"/>
    <w:rsid w:val="004F29A6"/>
    <w:rsid w:val="004F2EFC"/>
    <w:rsid w:val="005058DA"/>
    <w:rsid w:val="00530A3D"/>
    <w:rsid w:val="005327C2"/>
    <w:rsid w:val="0053575A"/>
    <w:rsid w:val="00536F78"/>
    <w:rsid w:val="005406A3"/>
    <w:rsid w:val="005545A8"/>
    <w:rsid w:val="00562341"/>
    <w:rsid w:val="00563E65"/>
    <w:rsid w:val="005674F4"/>
    <w:rsid w:val="00573747"/>
    <w:rsid w:val="00576192"/>
    <w:rsid w:val="0057756B"/>
    <w:rsid w:val="00581959"/>
    <w:rsid w:val="00597DB3"/>
    <w:rsid w:val="005A05B7"/>
    <w:rsid w:val="005A79FF"/>
    <w:rsid w:val="005B7530"/>
    <w:rsid w:val="005D6125"/>
    <w:rsid w:val="005E2590"/>
    <w:rsid w:val="00600E42"/>
    <w:rsid w:val="00600F71"/>
    <w:rsid w:val="00610E91"/>
    <w:rsid w:val="00652328"/>
    <w:rsid w:val="00656146"/>
    <w:rsid w:val="00657EDB"/>
    <w:rsid w:val="00670F18"/>
    <w:rsid w:val="0069342E"/>
    <w:rsid w:val="006A3DFE"/>
    <w:rsid w:val="006C1436"/>
    <w:rsid w:val="006C5637"/>
    <w:rsid w:val="006D3D06"/>
    <w:rsid w:val="006D458E"/>
    <w:rsid w:val="006D57B7"/>
    <w:rsid w:val="006E62E2"/>
    <w:rsid w:val="007008D6"/>
    <w:rsid w:val="00727910"/>
    <w:rsid w:val="0074265E"/>
    <w:rsid w:val="00744DF1"/>
    <w:rsid w:val="00747336"/>
    <w:rsid w:val="00750064"/>
    <w:rsid w:val="00760F9B"/>
    <w:rsid w:val="00764304"/>
    <w:rsid w:val="007643D0"/>
    <w:rsid w:val="007854A8"/>
    <w:rsid w:val="00791EFB"/>
    <w:rsid w:val="00795867"/>
    <w:rsid w:val="007A625B"/>
    <w:rsid w:val="007A7137"/>
    <w:rsid w:val="007A7820"/>
    <w:rsid w:val="007C2ED1"/>
    <w:rsid w:val="007D1947"/>
    <w:rsid w:val="007E1859"/>
    <w:rsid w:val="007F3224"/>
    <w:rsid w:val="00817EB2"/>
    <w:rsid w:val="00832AA7"/>
    <w:rsid w:val="0085014D"/>
    <w:rsid w:val="008529A2"/>
    <w:rsid w:val="00857C5A"/>
    <w:rsid w:val="00862909"/>
    <w:rsid w:val="008648DA"/>
    <w:rsid w:val="00870C6E"/>
    <w:rsid w:val="0089461D"/>
    <w:rsid w:val="008A33C3"/>
    <w:rsid w:val="008B4927"/>
    <w:rsid w:val="008C5B86"/>
    <w:rsid w:val="008D21C0"/>
    <w:rsid w:val="008D4258"/>
    <w:rsid w:val="008E266B"/>
    <w:rsid w:val="008E4323"/>
    <w:rsid w:val="008E5041"/>
    <w:rsid w:val="008F2DCF"/>
    <w:rsid w:val="00915609"/>
    <w:rsid w:val="009253F2"/>
    <w:rsid w:val="00933908"/>
    <w:rsid w:val="00950108"/>
    <w:rsid w:val="0097135D"/>
    <w:rsid w:val="00977EB2"/>
    <w:rsid w:val="0098309B"/>
    <w:rsid w:val="00985B89"/>
    <w:rsid w:val="00986D20"/>
    <w:rsid w:val="009A5C20"/>
    <w:rsid w:val="009C22E6"/>
    <w:rsid w:val="009C2DFC"/>
    <w:rsid w:val="009D5236"/>
    <w:rsid w:val="009F2CBA"/>
    <w:rsid w:val="009F4ECB"/>
    <w:rsid w:val="00A10281"/>
    <w:rsid w:val="00A11229"/>
    <w:rsid w:val="00A12B58"/>
    <w:rsid w:val="00A23875"/>
    <w:rsid w:val="00A24149"/>
    <w:rsid w:val="00A310DB"/>
    <w:rsid w:val="00A403A3"/>
    <w:rsid w:val="00A5074C"/>
    <w:rsid w:val="00A7216F"/>
    <w:rsid w:val="00A77F17"/>
    <w:rsid w:val="00A92159"/>
    <w:rsid w:val="00AA2A91"/>
    <w:rsid w:val="00AA63D7"/>
    <w:rsid w:val="00AF07DA"/>
    <w:rsid w:val="00AF55CC"/>
    <w:rsid w:val="00B0304F"/>
    <w:rsid w:val="00B2334C"/>
    <w:rsid w:val="00B2437A"/>
    <w:rsid w:val="00B2580D"/>
    <w:rsid w:val="00B3161A"/>
    <w:rsid w:val="00B53F80"/>
    <w:rsid w:val="00B866BC"/>
    <w:rsid w:val="00BA0E70"/>
    <w:rsid w:val="00BA0FE8"/>
    <w:rsid w:val="00BD0B81"/>
    <w:rsid w:val="00BD79F7"/>
    <w:rsid w:val="00C1027D"/>
    <w:rsid w:val="00C23112"/>
    <w:rsid w:val="00C412F7"/>
    <w:rsid w:val="00C4305A"/>
    <w:rsid w:val="00C50B71"/>
    <w:rsid w:val="00C9342D"/>
    <w:rsid w:val="00CA027B"/>
    <w:rsid w:val="00CA09F3"/>
    <w:rsid w:val="00CC6821"/>
    <w:rsid w:val="00CD251C"/>
    <w:rsid w:val="00CF5E15"/>
    <w:rsid w:val="00D02676"/>
    <w:rsid w:val="00D12D98"/>
    <w:rsid w:val="00D16A4B"/>
    <w:rsid w:val="00D25794"/>
    <w:rsid w:val="00D42666"/>
    <w:rsid w:val="00D55794"/>
    <w:rsid w:val="00D57F61"/>
    <w:rsid w:val="00D854A5"/>
    <w:rsid w:val="00DA26E4"/>
    <w:rsid w:val="00DB1F0C"/>
    <w:rsid w:val="00DB36CC"/>
    <w:rsid w:val="00DD567E"/>
    <w:rsid w:val="00DE725B"/>
    <w:rsid w:val="00E11A4E"/>
    <w:rsid w:val="00E13454"/>
    <w:rsid w:val="00E20A53"/>
    <w:rsid w:val="00E232C6"/>
    <w:rsid w:val="00E65C49"/>
    <w:rsid w:val="00E87F27"/>
    <w:rsid w:val="00E91FF9"/>
    <w:rsid w:val="00EA5A60"/>
    <w:rsid w:val="00EA6ED3"/>
    <w:rsid w:val="00EB425A"/>
    <w:rsid w:val="00EB502A"/>
    <w:rsid w:val="00EC5D03"/>
    <w:rsid w:val="00EC60EC"/>
    <w:rsid w:val="00F13EB7"/>
    <w:rsid w:val="00F1750D"/>
    <w:rsid w:val="00F2460C"/>
    <w:rsid w:val="00F523D4"/>
    <w:rsid w:val="00F52CC1"/>
    <w:rsid w:val="00F638D1"/>
    <w:rsid w:val="00F63CDF"/>
    <w:rsid w:val="00F65981"/>
    <w:rsid w:val="00F7527E"/>
    <w:rsid w:val="00F85F58"/>
    <w:rsid w:val="00FA5FE0"/>
    <w:rsid w:val="00FA6528"/>
    <w:rsid w:val="00FB2C6D"/>
    <w:rsid w:val="00FF3D9B"/>
    <w:rsid w:val="00FF53A7"/>
    <w:rsid w:val="06EA7620"/>
    <w:rsid w:val="1A5058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semiHidden/>
    <w:unhideWhenUsed/>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4">
    <w:name w:val="footer"/>
    <w:basedOn w:val="1"/>
    <w:link w:val="17"/>
    <w:unhideWhenUsed/>
    <w:uiPriority w:val="99"/>
    <w:pPr>
      <w:tabs>
        <w:tab w:val="center" w:pos="4153"/>
        <w:tab w:val="right" w:pos="8306"/>
      </w:tabs>
      <w:snapToGrid w:val="0"/>
      <w:spacing w:line="240" w:lineRule="auto"/>
    </w:pPr>
    <w:rPr>
      <w:sz w:val="18"/>
      <w:szCs w:val="18"/>
    </w:rPr>
  </w:style>
  <w:style w:type="paragraph" w:styleId="5">
    <w:name w:val="header"/>
    <w:basedOn w:val="1"/>
    <w:link w:val="16"/>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6">
    <w:name w:val="toc 1"/>
    <w:basedOn w:val="1"/>
    <w:next w:val="1"/>
    <w:unhideWhenUsed/>
    <w:qFormat/>
    <w:uiPriority w:val="39"/>
    <w:pPr>
      <w:spacing w:after="100"/>
    </w:pPr>
  </w:style>
  <w:style w:type="paragraph" w:styleId="7">
    <w:name w:val="toc 2"/>
    <w:basedOn w:val="1"/>
    <w:next w:val="1"/>
    <w:unhideWhenUsed/>
    <w:uiPriority w:val="39"/>
    <w:pPr>
      <w:spacing w:after="100"/>
      <w:ind w:left="220"/>
    </w:pPr>
  </w:style>
  <w:style w:type="character" w:styleId="9">
    <w:name w:val="Hyperlink"/>
    <w:basedOn w:val="8"/>
    <w:unhideWhenUsed/>
    <w:qFormat/>
    <w:uiPriority w:val="99"/>
    <w:rPr>
      <w:color w:val="0563C1" w:themeColor="hyperlink"/>
      <w:u w:val="single"/>
      <w14:textFill>
        <w14:solidFill>
          <w14:schemeClr w14:val="hlink"/>
        </w14:solidFill>
      </w14:textFill>
    </w:rPr>
  </w:style>
  <w:style w:type="paragraph"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无间隔 字符"/>
    <w:basedOn w:val="8"/>
    <w:link w:val="11"/>
    <w:uiPriority w:val="1"/>
    <w:rPr>
      <w:rFonts w:eastAsiaTheme="minorEastAsia"/>
      <w:lang w:val="en-US"/>
    </w:rPr>
  </w:style>
  <w:style w:type="character" w:customStyle="1" w:styleId="13">
    <w:name w:val="标题 1 字符"/>
    <w:basedOn w:val="8"/>
    <w:link w:val="2"/>
    <w:uiPriority w:val="9"/>
    <w:rPr>
      <w:rFonts w:asciiTheme="majorHAnsi" w:hAnsiTheme="majorHAnsi" w:eastAsiaTheme="majorEastAsia" w:cstheme="majorBidi"/>
      <w:color w:val="2E75B6" w:themeColor="accent1" w:themeShade="BF"/>
      <w:sz w:val="32"/>
      <w:szCs w:val="32"/>
    </w:rPr>
  </w:style>
  <w:style w:type="paragraph" w:customStyle="1" w:styleId="14">
    <w:name w:val="TOC Heading"/>
    <w:basedOn w:val="2"/>
    <w:next w:val="1"/>
    <w:unhideWhenUsed/>
    <w:qFormat/>
    <w:uiPriority w:val="39"/>
    <w:pPr>
      <w:outlineLvl w:val="9"/>
    </w:pPr>
    <w:rPr>
      <w:lang w:val="en-US"/>
    </w:rPr>
  </w:style>
  <w:style w:type="character" w:customStyle="1" w:styleId="15">
    <w:name w:val="标题 2 字符"/>
    <w:basedOn w:val="8"/>
    <w:link w:val="3"/>
    <w:uiPriority w:val="9"/>
    <w:rPr>
      <w:rFonts w:asciiTheme="majorHAnsi" w:hAnsiTheme="majorHAnsi" w:eastAsiaTheme="majorEastAsia" w:cstheme="majorBidi"/>
      <w:color w:val="2E75B6" w:themeColor="accent1" w:themeShade="BF"/>
      <w:sz w:val="26"/>
      <w:szCs w:val="26"/>
    </w:rPr>
  </w:style>
  <w:style w:type="character" w:customStyle="1" w:styleId="16">
    <w:name w:val="页眉 字符"/>
    <w:basedOn w:val="8"/>
    <w:link w:val="5"/>
    <w:uiPriority w:val="99"/>
    <w:rPr>
      <w:sz w:val="18"/>
      <w:szCs w:val="18"/>
    </w:rPr>
  </w:style>
  <w:style w:type="character" w:customStyle="1" w:styleId="17">
    <w:name w:val="页脚 字符"/>
    <w:basedOn w:val="8"/>
    <w:link w:val="4"/>
    <w:uiPriority w:val="99"/>
    <w:rPr>
      <w:sz w:val="18"/>
      <w:szCs w:val="18"/>
    </w:rPr>
  </w:style>
  <w:style w:type="paragraph" w:styleId="18">
    <w:name w:val="List Paragraph"/>
    <w:basedOn w:val="1"/>
    <w:qFormat/>
    <w:uiPriority w:val="34"/>
    <w:pPr>
      <w:widowControl w:val="0"/>
      <w:spacing w:after="0" w:line="240" w:lineRule="auto"/>
      <w:ind w:firstLine="420" w:firstLineChars="200"/>
      <w:jc w:val="both"/>
    </w:pPr>
    <w:rPr>
      <w:kern w:val="2"/>
      <w:sz w:val="21"/>
      <w:lang w:eastAsia="zh-CN"/>
    </w:rPr>
  </w:style>
  <w:style w:type="character" w:customStyle="1" w:styleId="19">
    <w:name w:val="Unresolved Mention"/>
    <w:basedOn w:val="8"/>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glossaryDocument" Target="glossary/document.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bordersDoNotSurroundHeader w:val="1"/>
  <w:bordersDoNotSurroundFooter w:val="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943F2"/>
    <w:rsid w:val="00145AD8"/>
    <w:rsid w:val="002F47F3"/>
    <w:rsid w:val="003203C2"/>
    <w:rsid w:val="00344448"/>
    <w:rsid w:val="007E66AB"/>
    <w:rsid w:val="009A3F4E"/>
    <w:rsid w:val="00A34C42"/>
    <w:rsid w:val="00AE4D1C"/>
    <w:rsid w:val="00BC1251"/>
    <w:rsid w:val="00C67429"/>
    <w:rsid w:val="00C83F07"/>
    <w:rsid w:val="00E64F2A"/>
    <w:rsid w:val="00FC69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uiPriority w:val="1"/>
  </w:style>
  <w:style w:type="table" w:default="1" w:styleId="3">
    <w:name w:val="Normal Table"/>
    <w:semiHidden/>
    <w:unhideWhenUsed/>
    <w:uiPriority w:val="99"/>
    <w:tblPr>
      <w:tblLayout w:type="fixed"/>
      <w:tblCellMar>
        <w:top w:w="0" w:type="dxa"/>
        <w:left w:w="108" w:type="dxa"/>
        <w:bottom w:w="0" w:type="dxa"/>
        <w:right w:w="108" w:type="dxa"/>
      </w:tblCellMar>
    </w:tblPr>
  </w:style>
  <w:style w:type="paragraph" w:customStyle="1" w:styleId="4">
    <w:name w:val="DCBCB7F12FD741FCBCDF0AE63ED3B4BF"/>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CA571BF-1234-4E1E-AA67-8219DDE66FEF}">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15</Pages>
  <Words>3365</Words>
  <Characters>19186</Characters>
  <Lines>159</Lines>
  <Paragraphs>45</Paragraphs>
  <TotalTime>48</TotalTime>
  <ScaleCrop>false</ScaleCrop>
  <LinksUpToDate>false</LinksUpToDate>
  <CharactersWithSpaces>22506</CharactersWithSpaces>
  <Application>WPS Office_11.2.0.8341_F1E327BC-269C-435d-A152-05C5408002CA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2018-12-11T10:19:00Z</dcterms:created>
  <dc:creator>Marie Pitson</dc:creator>
  <cp:lastModifiedBy>11707</cp:lastModifiedBy>
  <dcterms:modified xsi:type="dcterms:W3CDTF">2020-01-17T12:07:47Z</dcterms:modified>
  <dc:title>A critical evaluation and analysis on the challenges and sensitivities from a British perspective of doing business with Ireland in rationale of international business communication</dc:title>
  <cp:revision>1123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1033-11.2.0.8341</vt:lpwstr>
  </property>
</Properties>
</file>