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DB5BF" w14:textId="77777777" w:rsidR="006C23E4" w:rsidRDefault="00037A50">
      <w:pPr>
        <w:spacing w:after="0" w:line="360" w:lineRule="auto"/>
        <w:jc w:val="both"/>
        <w:rPr>
          <w:rFonts w:ascii="Arial" w:hAnsi="Arial" w:cs="Arial"/>
          <w:color w:val="auto"/>
          <w:sz w:val="22"/>
          <w:szCs w:val="22"/>
          <w:lang w:val="en-GB"/>
        </w:rPr>
      </w:pPr>
      <w:bookmarkStart w:id="0" w:name="_Hlk216711890"/>
      <w:bookmarkEnd w:id="0"/>
      <w:r>
        <w:rPr>
          <w:rFonts w:ascii="Arial" w:hAnsi="Arial" w:cs="Arial"/>
          <w:color w:val="auto"/>
          <w:sz w:val="22"/>
          <w:szCs w:val="22"/>
          <w:lang w:val="en-GB"/>
        </w:rPr>
        <w:t xml:space="preserve"> </w:t>
      </w:r>
    </w:p>
    <w:p w14:paraId="6D8DB5C0" w14:textId="77777777" w:rsidR="006C23E4" w:rsidRDefault="006C23E4">
      <w:pPr>
        <w:spacing w:after="0" w:line="360" w:lineRule="auto"/>
        <w:jc w:val="both"/>
        <w:rPr>
          <w:rFonts w:ascii="Arial" w:hAnsi="Arial" w:cs="Arial"/>
          <w:color w:val="auto"/>
          <w:sz w:val="22"/>
          <w:szCs w:val="22"/>
          <w:lang w:val="en-GB"/>
        </w:rPr>
      </w:pPr>
    </w:p>
    <w:p w14:paraId="6D8DB5C1" w14:textId="77777777" w:rsidR="006C23E4" w:rsidRDefault="006C23E4">
      <w:pPr>
        <w:spacing w:after="0" w:line="360" w:lineRule="auto"/>
        <w:jc w:val="both"/>
        <w:rPr>
          <w:rFonts w:ascii="Arial" w:hAnsi="Arial" w:cs="Arial"/>
          <w:color w:val="auto"/>
          <w:sz w:val="22"/>
          <w:szCs w:val="22"/>
          <w:lang w:val="en-GB"/>
        </w:rPr>
      </w:pPr>
    </w:p>
    <w:p w14:paraId="6D8DB5C2" w14:textId="77777777" w:rsidR="006C23E4" w:rsidRDefault="006C23E4">
      <w:pPr>
        <w:spacing w:after="0" w:line="360" w:lineRule="auto"/>
        <w:jc w:val="both"/>
        <w:rPr>
          <w:rFonts w:ascii="Arial" w:hAnsi="Arial" w:cs="Arial"/>
          <w:color w:val="auto"/>
          <w:sz w:val="22"/>
          <w:szCs w:val="22"/>
          <w:lang w:val="en-GB"/>
        </w:rPr>
      </w:pPr>
    </w:p>
    <w:p w14:paraId="6D8DB5C3" w14:textId="77777777" w:rsidR="006C23E4" w:rsidRDefault="006C23E4">
      <w:pPr>
        <w:spacing w:after="0" w:line="360" w:lineRule="auto"/>
        <w:jc w:val="both"/>
        <w:rPr>
          <w:rFonts w:ascii="Arial" w:hAnsi="Arial" w:cs="Arial"/>
          <w:color w:val="auto"/>
          <w:sz w:val="22"/>
          <w:szCs w:val="22"/>
          <w:lang w:val="en-GB"/>
        </w:rPr>
      </w:pPr>
    </w:p>
    <w:p w14:paraId="6D8DB5C4" w14:textId="77777777" w:rsidR="006C23E4" w:rsidRDefault="006C23E4">
      <w:pPr>
        <w:spacing w:after="0" w:line="360" w:lineRule="auto"/>
        <w:jc w:val="both"/>
        <w:rPr>
          <w:rFonts w:ascii="Arial" w:hAnsi="Arial" w:cs="Arial"/>
          <w:color w:val="auto"/>
          <w:sz w:val="22"/>
          <w:szCs w:val="22"/>
          <w:lang w:val="en-GB"/>
        </w:rPr>
      </w:pPr>
    </w:p>
    <w:p w14:paraId="6D8DB5C5" w14:textId="77777777" w:rsidR="006C23E4" w:rsidRDefault="006C23E4">
      <w:pPr>
        <w:spacing w:after="0" w:line="360" w:lineRule="auto"/>
        <w:jc w:val="both"/>
        <w:rPr>
          <w:rFonts w:ascii="Arial" w:hAnsi="Arial" w:cs="Arial"/>
          <w:color w:val="auto"/>
          <w:sz w:val="22"/>
          <w:szCs w:val="22"/>
          <w:lang w:val="en-GB"/>
        </w:rPr>
      </w:pPr>
    </w:p>
    <w:p w14:paraId="6D8DB5C6" w14:textId="77777777" w:rsidR="006C23E4" w:rsidRDefault="006C23E4">
      <w:pPr>
        <w:spacing w:after="0" w:line="360" w:lineRule="auto"/>
        <w:jc w:val="both"/>
        <w:rPr>
          <w:rFonts w:ascii="Arial" w:hAnsi="Arial" w:cs="Arial"/>
          <w:color w:val="auto"/>
          <w:sz w:val="22"/>
          <w:szCs w:val="22"/>
          <w:lang w:val="en-GB"/>
        </w:rPr>
      </w:pPr>
    </w:p>
    <w:p w14:paraId="6D8DB5C7" w14:textId="77777777" w:rsidR="006C23E4" w:rsidRDefault="006C23E4">
      <w:pPr>
        <w:spacing w:after="0" w:line="360" w:lineRule="auto"/>
        <w:ind w:left="0" w:right="56" w:firstLine="0"/>
        <w:jc w:val="both"/>
        <w:rPr>
          <w:rFonts w:ascii="Arial" w:hAnsi="Arial" w:cs="Arial"/>
          <w:color w:val="auto"/>
          <w:sz w:val="22"/>
          <w:szCs w:val="22"/>
          <w:lang w:val="en-GB"/>
        </w:rPr>
      </w:pPr>
    </w:p>
    <w:p w14:paraId="6D8DB5C8" w14:textId="7CDC5FC0" w:rsidR="006C23E4" w:rsidRDefault="00B9331F">
      <w:pPr>
        <w:spacing w:after="0" w:line="360" w:lineRule="auto"/>
        <w:ind w:left="0" w:right="56" w:firstLine="0"/>
        <w:jc w:val="center"/>
        <w:rPr>
          <w:rFonts w:ascii="Arial" w:hAnsi="Arial" w:cs="Arial"/>
          <w:b/>
          <w:bCs/>
          <w:color w:val="auto"/>
          <w:sz w:val="32"/>
          <w:szCs w:val="32"/>
          <w:lang w:val="en-GB"/>
        </w:rPr>
      </w:pPr>
      <w:r>
        <w:rPr>
          <w:rFonts w:ascii="Arial" w:hAnsi="Arial" w:cs="Arial"/>
          <w:b/>
          <w:bCs/>
          <w:color w:val="auto"/>
          <w:sz w:val="32"/>
          <w:szCs w:val="32"/>
          <w:lang w:val="en-GB"/>
        </w:rPr>
        <w:t xml:space="preserve">INDIVIDUAL </w:t>
      </w:r>
      <w:r w:rsidR="00037A50">
        <w:rPr>
          <w:rFonts w:ascii="Arial" w:hAnsi="Arial" w:cs="Arial"/>
          <w:b/>
          <w:bCs/>
          <w:color w:val="auto"/>
          <w:sz w:val="32"/>
          <w:szCs w:val="32"/>
          <w:lang w:val="en-GB"/>
        </w:rPr>
        <w:t>REPORT</w:t>
      </w:r>
    </w:p>
    <w:p w14:paraId="6D8DB5CA" w14:textId="77777777" w:rsidR="006C23E4" w:rsidRDefault="006C23E4">
      <w:pPr>
        <w:spacing w:after="0" w:line="360" w:lineRule="auto"/>
        <w:ind w:left="0" w:right="56" w:firstLine="0"/>
        <w:jc w:val="both"/>
        <w:rPr>
          <w:rFonts w:ascii="Arial" w:hAnsi="Arial" w:cs="Arial"/>
          <w:color w:val="auto"/>
          <w:sz w:val="22"/>
          <w:szCs w:val="22"/>
          <w:lang w:val="en-GB"/>
        </w:rPr>
      </w:pPr>
    </w:p>
    <w:p w14:paraId="6D8DB5CB" w14:textId="77777777" w:rsidR="006C23E4" w:rsidRDefault="006C23E4">
      <w:pPr>
        <w:spacing w:after="0" w:line="360" w:lineRule="auto"/>
        <w:ind w:left="0" w:right="56" w:firstLine="0"/>
        <w:jc w:val="both"/>
        <w:rPr>
          <w:rFonts w:ascii="Arial" w:hAnsi="Arial" w:cs="Arial"/>
          <w:color w:val="auto"/>
          <w:sz w:val="22"/>
          <w:szCs w:val="22"/>
          <w:lang w:val="en-GB"/>
        </w:rPr>
      </w:pPr>
    </w:p>
    <w:p w14:paraId="6D8DB5CC" w14:textId="77777777" w:rsidR="006C23E4" w:rsidRDefault="006C23E4">
      <w:pPr>
        <w:spacing w:after="0" w:line="360" w:lineRule="auto"/>
        <w:ind w:left="0" w:right="56" w:firstLine="0"/>
        <w:jc w:val="both"/>
        <w:rPr>
          <w:rFonts w:ascii="Arial" w:hAnsi="Arial" w:cs="Arial"/>
          <w:color w:val="auto"/>
          <w:sz w:val="22"/>
          <w:szCs w:val="22"/>
          <w:lang w:val="en-GB"/>
        </w:rPr>
      </w:pPr>
    </w:p>
    <w:p w14:paraId="6D8DB5CD" w14:textId="77777777" w:rsidR="006C23E4" w:rsidRDefault="006C23E4">
      <w:pPr>
        <w:spacing w:after="0" w:line="360" w:lineRule="auto"/>
        <w:ind w:left="0" w:right="56" w:firstLine="0"/>
        <w:jc w:val="both"/>
        <w:rPr>
          <w:rFonts w:ascii="Arial" w:hAnsi="Arial" w:cs="Arial"/>
          <w:color w:val="auto"/>
          <w:sz w:val="22"/>
          <w:szCs w:val="22"/>
          <w:lang w:val="en-GB"/>
        </w:rPr>
      </w:pPr>
    </w:p>
    <w:p w14:paraId="6D8DB5CE" w14:textId="77777777" w:rsidR="006C23E4" w:rsidRDefault="006C23E4">
      <w:pPr>
        <w:spacing w:after="0" w:line="360" w:lineRule="auto"/>
        <w:ind w:left="0" w:right="56" w:firstLine="0"/>
        <w:jc w:val="both"/>
        <w:rPr>
          <w:rFonts w:ascii="Arial" w:hAnsi="Arial" w:cs="Arial"/>
          <w:color w:val="auto"/>
          <w:sz w:val="22"/>
          <w:szCs w:val="22"/>
          <w:lang w:val="en-GB"/>
        </w:rPr>
      </w:pPr>
    </w:p>
    <w:p w14:paraId="6D8DB5CF"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0"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1"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2"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3"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4"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5"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6" w14:textId="77777777" w:rsidR="006C23E4" w:rsidRDefault="006C23E4">
      <w:pPr>
        <w:spacing w:after="0" w:line="360" w:lineRule="auto"/>
        <w:ind w:left="0" w:right="56" w:firstLine="0"/>
        <w:jc w:val="both"/>
        <w:rPr>
          <w:rFonts w:ascii="Arial" w:hAnsi="Arial" w:cs="Arial"/>
          <w:color w:val="auto"/>
          <w:sz w:val="22"/>
          <w:szCs w:val="22"/>
          <w:lang w:val="en-GB"/>
        </w:rPr>
      </w:pPr>
    </w:p>
    <w:p w14:paraId="6D8DB5D7" w14:textId="77777777" w:rsidR="006C23E4" w:rsidRDefault="00037A50" w:rsidP="00776A73">
      <w:pPr>
        <w:spacing w:after="0" w:line="360" w:lineRule="auto"/>
        <w:ind w:left="730" w:hanging="370"/>
        <w:jc w:val="both"/>
        <w:rPr>
          <w:rFonts w:ascii="Arial" w:hAnsi="Arial" w:cs="Arial"/>
          <w:color w:val="auto"/>
          <w:sz w:val="22"/>
          <w:szCs w:val="22"/>
          <w:lang w:val="en-GB"/>
        </w:rPr>
      </w:pPr>
      <w:r>
        <w:rPr>
          <w:rFonts w:ascii="Arial" w:hAnsi="Arial" w:cs="Arial"/>
          <w:color w:val="auto"/>
          <w:sz w:val="22"/>
          <w:szCs w:val="22"/>
          <w:lang w:val="en-GB"/>
        </w:rPr>
        <w:t>Name: Larissa Kellyn Silva Neves</w:t>
      </w:r>
    </w:p>
    <w:p w14:paraId="6D8DB5D8" w14:textId="77777777" w:rsidR="006C23E4" w:rsidRDefault="00037A50" w:rsidP="00776A73">
      <w:pPr>
        <w:spacing w:after="0" w:line="360" w:lineRule="auto"/>
        <w:ind w:left="730" w:hanging="370"/>
        <w:jc w:val="both"/>
        <w:rPr>
          <w:rFonts w:ascii="Arial" w:hAnsi="Arial" w:cs="Arial"/>
          <w:color w:val="auto"/>
          <w:sz w:val="22"/>
          <w:szCs w:val="22"/>
          <w:lang w:val="en-GB"/>
        </w:rPr>
      </w:pPr>
      <w:r>
        <w:rPr>
          <w:rFonts w:ascii="Arial" w:hAnsi="Arial" w:cs="Arial"/>
          <w:color w:val="auto"/>
          <w:sz w:val="22"/>
          <w:szCs w:val="22"/>
          <w:lang w:val="en-GB"/>
        </w:rPr>
        <w:t>Student Number: 2424528</w:t>
      </w:r>
    </w:p>
    <w:p w14:paraId="414CEF67" w14:textId="70D59338" w:rsidR="003267B1" w:rsidRPr="00AF27B1" w:rsidRDefault="003267B1" w:rsidP="00776A73">
      <w:pPr>
        <w:spacing w:after="0" w:line="360" w:lineRule="auto"/>
        <w:ind w:left="730" w:hanging="370"/>
        <w:jc w:val="both"/>
        <w:rPr>
          <w:rFonts w:ascii="Arial" w:hAnsi="Arial" w:cs="Arial"/>
          <w:color w:val="auto"/>
          <w:sz w:val="22"/>
          <w:szCs w:val="22"/>
          <w:lang w:val="en-GB"/>
        </w:rPr>
      </w:pPr>
      <w:r>
        <w:rPr>
          <w:rFonts w:ascii="Arial" w:hAnsi="Arial" w:cs="Arial"/>
          <w:color w:val="auto"/>
          <w:sz w:val="22"/>
          <w:szCs w:val="22"/>
          <w:lang w:val="en-GB"/>
        </w:rPr>
        <w:t>Program</w:t>
      </w:r>
      <w:r w:rsidR="00AF27B1">
        <w:rPr>
          <w:rFonts w:ascii="Arial" w:hAnsi="Arial" w:cs="Arial"/>
          <w:color w:val="auto"/>
          <w:sz w:val="22"/>
          <w:szCs w:val="22"/>
          <w:lang w:val="en-GB"/>
        </w:rPr>
        <w:t>me: B</w:t>
      </w:r>
      <w:r w:rsidR="00AF27B1" w:rsidRPr="00AF27B1">
        <w:rPr>
          <w:rFonts w:ascii="Arial" w:hAnsi="Arial" w:cs="Arial"/>
          <w:color w:val="auto"/>
          <w:sz w:val="22"/>
          <w:szCs w:val="22"/>
          <w:lang w:val="en-GB"/>
        </w:rPr>
        <w:t>A (Hons) Leadership and Management Skills for the Workplace</w:t>
      </w:r>
    </w:p>
    <w:p w14:paraId="6D8DB5D9" w14:textId="558BE8F9" w:rsidR="006C23E4" w:rsidRDefault="00037A50" w:rsidP="00776A73">
      <w:pPr>
        <w:spacing w:after="0" w:line="360" w:lineRule="auto"/>
        <w:ind w:left="730" w:hanging="370"/>
        <w:jc w:val="both"/>
        <w:rPr>
          <w:rFonts w:ascii="Arial" w:hAnsi="Arial" w:cs="Arial"/>
          <w:color w:val="auto"/>
          <w:sz w:val="22"/>
          <w:szCs w:val="22"/>
          <w:lang w:val="en-GB"/>
        </w:rPr>
      </w:pPr>
      <w:r>
        <w:rPr>
          <w:rFonts w:ascii="Arial" w:hAnsi="Arial" w:cs="Arial"/>
          <w:color w:val="auto"/>
          <w:sz w:val="22"/>
          <w:szCs w:val="22"/>
          <w:lang w:val="en-GB"/>
        </w:rPr>
        <w:t xml:space="preserve">Lecturer’s name: </w:t>
      </w:r>
      <w:r w:rsidR="00874C36">
        <w:rPr>
          <w:rFonts w:ascii="Arial" w:hAnsi="Arial" w:cs="Arial"/>
          <w:color w:val="auto"/>
          <w:sz w:val="22"/>
          <w:szCs w:val="22"/>
          <w:lang w:val="en-GB"/>
        </w:rPr>
        <w:t>Amer Karrem</w:t>
      </w:r>
    </w:p>
    <w:p w14:paraId="6D8DB5DA" w14:textId="09DDD540" w:rsidR="006C23E4" w:rsidRDefault="00037A50" w:rsidP="00776A73">
      <w:pPr>
        <w:spacing w:after="0" w:line="360" w:lineRule="auto"/>
        <w:ind w:left="730" w:hanging="370"/>
        <w:jc w:val="both"/>
        <w:rPr>
          <w:rFonts w:ascii="Arial" w:hAnsi="Arial" w:cs="Arial"/>
          <w:color w:val="auto"/>
          <w:sz w:val="22"/>
          <w:szCs w:val="22"/>
          <w:lang w:val="en-GB"/>
        </w:rPr>
      </w:pPr>
      <w:r>
        <w:rPr>
          <w:rFonts w:ascii="Arial" w:hAnsi="Arial" w:cs="Arial"/>
          <w:color w:val="auto"/>
          <w:sz w:val="22"/>
          <w:szCs w:val="22"/>
          <w:lang w:val="en-GB"/>
        </w:rPr>
        <w:t xml:space="preserve">Module name: </w:t>
      </w:r>
      <w:r w:rsidR="00874C36">
        <w:rPr>
          <w:rFonts w:ascii="Arial" w:hAnsi="Arial" w:cs="Arial"/>
          <w:color w:val="auto"/>
          <w:sz w:val="22"/>
          <w:szCs w:val="22"/>
          <w:lang w:val="en-GB"/>
        </w:rPr>
        <w:t>Developin</w:t>
      </w:r>
      <w:r w:rsidR="0082704B">
        <w:rPr>
          <w:rFonts w:ascii="Arial" w:hAnsi="Arial" w:cs="Arial"/>
          <w:color w:val="auto"/>
          <w:sz w:val="22"/>
          <w:szCs w:val="22"/>
          <w:lang w:val="en-GB"/>
        </w:rPr>
        <w:t>g</w:t>
      </w:r>
      <w:r w:rsidR="00874C36">
        <w:rPr>
          <w:rFonts w:ascii="Arial" w:hAnsi="Arial" w:cs="Arial"/>
          <w:color w:val="auto"/>
          <w:sz w:val="22"/>
          <w:szCs w:val="22"/>
          <w:lang w:val="en-GB"/>
        </w:rPr>
        <w:t xml:space="preserve"> and Managing </w:t>
      </w:r>
      <w:r w:rsidR="0082704B">
        <w:rPr>
          <w:rFonts w:ascii="Arial" w:hAnsi="Arial" w:cs="Arial"/>
          <w:color w:val="auto"/>
          <w:sz w:val="22"/>
          <w:szCs w:val="22"/>
          <w:lang w:val="en-GB"/>
        </w:rPr>
        <w:t>Individuals</w:t>
      </w:r>
      <w:r w:rsidR="00874C36">
        <w:rPr>
          <w:rFonts w:ascii="Arial" w:hAnsi="Arial" w:cs="Arial"/>
          <w:color w:val="auto"/>
          <w:sz w:val="22"/>
          <w:szCs w:val="22"/>
          <w:lang w:val="en-GB"/>
        </w:rPr>
        <w:t xml:space="preserve"> and Teams</w:t>
      </w:r>
    </w:p>
    <w:p w14:paraId="6D8DB5DB" w14:textId="5BD20672" w:rsidR="006C23E4" w:rsidRDefault="00037A50" w:rsidP="00776A73">
      <w:pPr>
        <w:spacing w:after="0" w:line="360" w:lineRule="auto"/>
        <w:ind w:left="730" w:hanging="370"/>
        <w:jc w:val="both"/>
        <w:rPr>
          <w:rFonts w:ascii="Arial" w:hAnsi="Arial" w:cs="Arial"/>
          <w:color w:val="auto"/>
          <w:sz w:val="22"/>
          <w:szCs w:val="22"/>
          <w:lang w:val="en-GB"/>
        </w:rPr>
      </w:pPr>
      <w:r>
        <w:rPr>
          <w:rFonts w:ascii="Arial" w:hAnsi="Arial" w:cs="Arial"/>
          <w:color w:val="auto"/>
          <w:sz w:val="22"/>
          <w:szCs w:val="22"/>
          <w:lang w:val="en-GB"/>
        </w:rPr>
        <w:t>Module code: LCLM 500</w:t>
      </w:r>
      <w:r w:rsidR="00874C36">
        <w:rPr>
          <w:rFonts w:ascii="Arial" w:hAnsi="Arial" w:cs="Arial"/>
          <w:color w:val="auto"/>
          <w:sz w:val="22"/>
          <w:szCs w:val="22"/>
          <w:lang w:val="en-GB"/>
        </w:rPr>
        <w:t>2</w:t>
      </w:r>
    </w:p>
    <w:p w14:paraId="6D8DB5DC" w14:textId="67ACF113" w:rsidR="005F7E8F" w:rsidRDefault="005F7E8F">
      <w:pPr>
        <w:suppressAutoHyphens w:val="0"/>
        <w:spacing w:after="160" w:line="276" w:lineRule="auto"/>
        <w:ind w:left="0" w:firstLine="0"/>
        <w:rPr>
          <w:rFonts w:ascii="Arial" w:hAnsi="Arial" w:cs="Arial"/>
          <w:color w:val="auto"/>
          <w:sz w:val="22"/>
          <w:szCs w:val="22"/>
          <w:lang w:val="en-GB"/>
        </w:rPr>
      </w:pPr>
      <w:r>
        <w:rPr>
          <w:rFonts w:ascii="Arial" w:hAnsi="Arial" w:cs="Arial"/>
          <w:color w:val="auto"/>
          <w:sz w:val="22"/>
          <w:szCs w:val="22"/>
          <w:lang w:val="en-GB"/>
        </w:rPr>
        <w:br w:type="page"/>
      </w:r>
    </w:p>
    <w:bookmarkStart w:id="1" w:name="_Toc224149800" w:displacedByCustomXml="next"/>
    <w:sdt>
      <w:sdtPr>
        <w:rPr>
          <w:rFonts w:ascii="Calibri" w:eastAsia="Calibri" w:hAnsi="Calibri" w:cs="Calibri"/>
          <w:color w:val="000000"/>
          <w:kern w:val="3"/>
          <w:sz w:val="24"/>
          <w:szCs w:val="24"/>
          <w:lang w:val="en-GB"/>
        </w:rPr>
        <w:id w:val="-641497045"/>
        <w:docPartObj>
          <w:docPartGallery w:val="Table of Contents"/>
          <w:docPartUnique/>
        </w:docPartObj>
      </w:sdtPr>
      <w:sdtEndPr>
        <w:rPr>
          <w:b/>
          <w:bCs/>
          <w:sz w:val="22"/>
          <w:szCs w:val="22"/>
        </w:rPr>
      </w:sdtEndPr>
      <w:sdtContent>
        <w:p w14:paraId="5C0164AC" w14:textId="2008C55E" w:rsidR="006774CA" w:rsidRDefault="00DD58EB" w:rsidP="001101C4">
          <w:pPr>
            <w:pStyle w:val="TOCHeading"/>
            <w:jc w:val="center"/>
            <w:rPr>
              <w:b/>
              <w:bCs/>
              <w:color w:val="auto"/>
              <w:lang w:val="en-GB"/>
            </w:rPr>
          </w:pPr>
          <w:r w:rsidRPr="001101C4">
            <w:rPr>
              <w:b/>
              <w:bCs/>
              <w:color w:val="auto"/>
              <w:lang w:val="en-GB"/>
            </w:rPr>
            <w:t>Table of C</w:t>
          </w:r>
          <w:r w:rsidR="006774CA" w:rsidRPr="001101C4">
            <w:rPr>
              <w:b/>
              <w:bCs/>
              <w:color w:val="auto"/>
              <w:lang w:val="en-GB"/>
            </w:rPr>
            <w:t>ontents</w:t>
          </w:r>
          <w:bookmarkEnd w:id="1"/>
        </w:p>
        <w:p w14:paraId="2D1342A0" w14:textId="77777777" w:rsidR="001101C4" w:rsidRPr="001101C4" w:rsidRDefault="001101C4" w:rsidP="001101C4">
          <w:pPr>
            <w:rPr>
              <w:lang w:val="en-GB"/>
            </w:rPr>
          </w:pPr>
        </w:p>
        <w:p w14:paraId="56E759B0" w14:textId="3CAA4EB9" w:rsidR="006774CA" w:rsidRPr="000F3E41"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r w:rsidRPr="001101C4">
            <w:rPr>
              <w:sz w:val="22"/>
              <w:szCs w:val="22"/>
            </w:rPr>
            <w:fldChar w:fldCharType="begin"/>
          </w:r>
          <w:r w:rsidRPr="001101C4">
            <w:rPr>
              <w:sz w:val="22"/>
              <w:szCs w:val="22"/>
            </w:rPr>
            <w:instrText xml:space="preserve"> TOC \o "1-3" \h \z \u </w:instrText>
          </w:r>
          <w:r w:rsidRPr="001101C4">
            <w:rPr>
              <w:sz w:val="22"/>
              <w:szCs w:val="22"/>
            </w:rPr>
            <w:fldChar w:fldCharType="separate"/>
          </w:r>
          <w:hyperlink w:anchor="_Toc224149801" w:history="1">
            <w:r w:rsidRPr="000F3E41">
              <w:rPr>
                <w:rStyle w:val="Hyperlink"/>
                <w:b/>
                <w:bCs/>
                <w:noProof/>
                <w:sz w:val="22"/>
                <w:szCs w:val="22"/>
              </w:rPr>
              <w:t>1 – Intr</w:t>
            </w:r>
            <w:r w:rsidRPr="000F3E41">
              <w:rPr>
                <w:rStyle w:val="Hyperlink"/>
                <w:b/>
                <w:bCs/>
                <w:noProof/>
                <w:sz w:val="22"/>
                <w:szCs w:val="22"/>
              </w:rPr>
              <w:t>o</w:t>
            </w:r>
            <w:r w:rsidRPr="000F3E41">
              <w:rPr>
                <w:rStyle w:val="Hyperlink"/>
                <w:b/>
                <w:bCs/>
                <w:noProof/>
                <w:sz w:val="22"/>
                <w:szCs w:val="22"/>
              </w:rPr>
              <w:t>duction</w:t>
            </w:r>
            <w:r w:rsidRPr="000F3E41">
              <w:rPr>
                <w:b/>
                <w:bCs/>
                <w:noProof/>
                <w:webHidden/>
                <w:sz w:val="22"/>
                <w:szCs w:val="22"/>
              </w:rPr>
              <w:tab/>
            </w:r>
            <w:r w:rsidRPr="000F3E41">
              <w:rPr>
                <w:b/>
                <w:bCs/>
                <w:noProof/>
                <w:webHidden/>
                <w:sz w:val="22"/>
                <w:szCs w:val="22"/>
              </w:rPr>
              <w:fldChar w:fldCharType="begin"/>
            </w:r>
            <w:r w:rsidRPr="000F3E41">
              <w:rPr>
                <w:b/>
                <w:bCs/>
                <w:noProof/>
                <w:webHidden/>
                <w:sz w:val="22"/>
                <w:szCs w:val="22"/>
              </w:rPr>
              <w:instrText xml:space="preserve"> PAGEREF _Toc224149801 \h </w:instrText>
            </w:r>
            <w:r w:rsidRPr="000F3E41">
              <w:rPr>
                <w:b/>
                <w:bCs/>
                <w:noProof/>
                <w:webHidden/>
                <w:sz w:val="22"/>
                <w:szCs w:val="22"/>
              </w:rPr>
            </w:r>
            <w:r w:rsidRPr="000F3E41">
              <w:rPr>
                <w:b/>
                <w:bCs/>
                <w:noProof/>
                <w:webHidden/>
                <w:sz w:val="22"/>
                <w:szCs w:val="22"/>
              </w:rPr>
              <w:fldChar w:fldCharType="separate"/>
            </w:r>
            <w:r w:rsidR="00E172A2" w:rsidRPr="000F3E41">
              <w:rPr>
                <w:b/>
                <w:bCs/>
                <w:noProof/>
                <w:webHidden/>
                <w:sz w:val="22"/>
                <w:szCs w:val="22"/>
              </w:rPr>
              <w:t>2</w:t>
            </w:r>
            <w:r w:rsidRPr="000F3E41">
              <w:rPr>
                <w:b/>
                <w:bCs/>
                <w:noProof/>
                <w:webHidden/>
                <w:sz w:val="22"/>
                <w:szCs w:val="22"/>
              </w:rPr>
              <w:fldChar w:fldCharType="end"/>
            </w:r>
          </w:hyperlink>
        </w:p>
        <w:p w14:paraId="0468AAF4" w14:textId="0F8370AC" w:rsidR="006774CA" w:rsidRPr="00EC5EFD"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2" w:history="1">
            <w:r w:rsidRPr="00EC5EFD">
              <w:rPr>
                <w:rStyle w:val="Hyperlink"/>
                <w:b/>
                <w:bCs/>
                <w:noProof/>
                <w:sz w:val="22"/>
                <w:szCs w:val="22"/>
              </w:rPr>
              <w:t>2 – Key HR factors affecting the company</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_Toc224149802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3</w:t>
            </w:r>
            <w:r w:rsidRPr="00EC5EFD">
              <w:rPr>
                <w:b/>
                <w:bCs/>
                <w:noProof/>
                <w:webHidden/>
                <w:sz w:val="22"/>
                <w:szCs w:val="22"/>
              </w:rPr>
              <w:fldChar w:fldCharType="end"/>
            </w:r>
          </w:hyperlink>
        </w:p>
        <w:p w14:paraId="3E730957" w14:textId="747DA5A0" w:rsidR="006774CA" w:rsidRPr="00EC5EFD" w:rsidRDefault="006774CA" w:rsidP="001101C4">
          <w:pPr>
            <w:pStyle w:val="TOC2"/>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3" w:history="1">
            <w:r w:rsidRPr="00EC5EFD">
              <w:rPr>
                <w:rStyle w:val="Hyperlink"/>
                <w:b/>
                <w:bCs/>
                <w:noProof/>
                <w:sz w:val="22"/>
                <w:szCs w:val="22"/>
                <w:lang w:val="en-GB"/>
              </w:rPr>
              <w:t>2.1 Meeting up with technological advancement</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_Toc224149803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3</w:t>
            </w:r>
            <w:r w:rsidRPr="00EC5EFD">
              <w:rPr>
                <w:b/>
                <w:bCs/>
                <w:noProof/>
                <w:webHidden/>
                <w:sz w:val="22"/>
                <w:szCs w:val="22"/>
              </w:rPr>
              <w:fldChar w:fldCharType="end"/>
            </w:r>
          </w:hyperlink>
        </w:p>
        <w:p w14:paraId="5E3A1902" w14:textId="46CBA1E7" w:rsidR="006774CA" w:rsidRPr="00EC5EFD" w:rsidRDefault="006774CA" w:rsidP="001101C4">
          <w:pPr>
            <w:pStyle w:val="TOC2"/>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4" w:history="1">
            <w:r w:rsidRPr="00EC5EFD">
              <w:rPr>
                <w:rStyle w:val="Hyperlink"/>
                <w:b/>
                <w:bCs/>
                <w:noProof/>
                <w:sz w:val="22"/>
                <w:szCs w:val="22"/>
                <w:lang w:val="en-GB"/>
              </w:rPr>
              <w:t>2.2 Talent Acquisition and retention</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_Toc224149804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3</w:t>
            </w:r>
            <w:r w:rsidRPr="00EC5EFD">
              <w:rPr>
                <w:b/>
                <w:bCs/>
                <w:noProof/>
                <w:webHidden/>
                <w:sz w:val="22"/>
                <w:szCs w:val="22"/>
              </w:rPr>
              <w:fldChar w:fldCharType="end"/>
            </w:r>
          </w:hyperlink>
        </w:p>
        <w:p w14:paraId="75DE49B9" w14:textId="1388545D" w:rsidR="006774CA" w:rsidRPr="00EC5EFD" w:rsidRDefault="006774CA" w:rsidP="001101C4">
          <w:pPr>
            <w:pStyle w:val="TOC2"/>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5" w:history="1">
            <w:r w:rsidRPr="00EC5EFD">
              <w:rPr>
                <w:rStyle w:val="Hyperlink"/>
                <w:b/>
                <w:bCs/>
                <w:noProof/>
                <w:sz w:val="22"/>
                <w:szCs w:val="22"/>
              </w:rPr>
              <w:t>2.3 Diversity, Equity and Inclusion (DEI</w:t>
            </w:r>
            <w:r w:rsidRPr="00EC5EFD">
              <w:rPr>
                <w:rStyle w:val="Hyperlink"/>
                <w:b/>
                <w:bCs/>
                <w:noProof/>
                <w:sz w:val="22"/>
                <w:szCs w:val="22"/>
                <w:lang w:val="en-GB"/>
              </w:rPr>
              <w:t>)</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_Toc224149805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3</w:t>
            </w:r>
            <w:r w:rsidRPr="00EC5EFD">
              <w:rPr>
                <w:b/>
                <w:bCs/>
                <w:noProof/>
                <w:webHidden/>
                <w:sz w:val="22"/>
                <w:szCs w:val="22"/>
              </w:rPr>
              <w:fldChar w:fldCharType="end"/>
            </w:r>
          </w:hyperlink>
        </w:p>
        <w:p w14:paraId="6BBF42E7" w14:textId="1331826A" w:rsidR="006774CA" w:rsidRPr="00EC5EFD"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6" w:history="1">
            <w:r w:rsidRPr="00EC5EFD">
              <w:rPr>
                <w:rStyle w:val="Hyperlink"/>
                <w:b/>
                <w:bCs/>
                <w:noProof/>
                <w:sz w:val="22"/>
                <w:szCs w:val="22"/>
                <w:lang w:val="en-GB"/>
              </w:rPr>
              <w:t>3 – Evaluation of contemporary HR practices to address key factors.</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_Toc224149806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3</w:t>
            </w:r>
            <w:r w:rsidRPr="00EC5EFD">
              <w:rPr>
                <w:b/>
                <w:bCs/>
                <w:noProof/>
                <w:webHidden/>
                <w:sz w:val="22"/>
                <w:szCs w:val="22"/>
              </w:rPr>
              <w:fldChar w:fldCharType="end"/>
            </w:r>
          </w:hyperlink>
        </w:p>
        <w:p w14:paraId="23768C22" w14:textId="52EFE129" w:rsidR="006774CA" w:rsidRPr="00EC5EFD"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7" w:history="1">
            <w:r w:rsidRPr="00EC5EFD">
              <w:rPr>
                <w:rStyle w:val="Hyperlink"/>
                <w:b/>
                <w:bCs/>
                <w:noProof/>
                <w:sz w:val="22"/>
                <w:szCs w:val="22"/>
                <w:lang w:val="en-GB"/>
              </w:rPr>
              <w:t>4 – How to ensure that continuous practices are being implemented</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_Toc224149807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4</w:t>
            </w:r>
            <w:r w:rsidRPr="00EC5EFD">
              <w:rPr>
                <w:b/>
                <w:bCs/>
                <w:noProof/>
                <w:webHidden/>
                <w:sz w:val="22"/>
                <w:szCs w:val="22"/>
              </w:rPr>
              <w:fldChar w:fldCharType="end"/>
            </w:r>
          </w:hyperlink>
        </w:p>
        <w:p w14:paraId="15EAC3B4" w14:textId="5C5CC8C2" w:rsidR="006774CA" w:rsidRPr="00EC5EFD"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8" w:history="1">
            <w:r w:rsidRPr="00EC5EFD">
              <w:rPr>
                <w:rStyle w:val="Hyperlink"/>
                <w:b/>
                <w:bCs/>
                <w:noProof/>
                <w:sz w:val="22"/>
                <w:szCs w:val="22"/>
                <w:lang w:val="en-GB"/>
              </w:rPr>
              <w:t>5 – Recommendations</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_Toc224149808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6</w:t>
            </w:r>
            <w:r w:rsidRPr="00EC5EFD">
              <w:rPr>
                <w:b/>
                <w:bCs/>
                <w:noProof/>
                <w:webHidden/>
                <w:sz w:val="22"/>
                <w:szCs w:val="22"/>
              </w:rPr>
              <w:fldChar w:fldCharType="end"/>
            </w:r>
          </w:hyperlink>
        </w:p>
        <w:p w14:paraId="6A629193" w14:textId="6E587F0B" w:rsidR="006774CA" w:rsidRPr="00EC5EFD"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09" w:history="1">
            <w:r w:rsidRPr="00EC5EFD">
              <w:rPr>
                <w:rStyle w:val="Hyperlink"/>
                <w:b/>
                <w:bCs/>
                <w:noProof/>
                <w:sz w:val="22"/>
                <w:szCs w:val="22"/>
                <w:lang w:val="en-GB"/>
              </w:rPr>
              <w:t>6 - Conclusion</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_Toc224149809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7</w:t>
            </w:r>
            <w:r w:rsidRPr="00EC5EFD">
              <w:rPr>
                <w:b/>
                <w:bCs/>
                <w:noProof/>
                <w:webHidden/>
                <w:sz w:val="22"/>
                <w:szCs w:val="22"/>
              </w:rPr>
              <w:fldChar w:fldCharType="end"/>
            </w:r>
          </w:hyperlink>
        </w:p>
        <w:p w14:paraId="6277B5A7" w14:textId="55E1FFEE" w:rsidR="006774CA" w:rsidRPr="00EC5EFD" w:rsidRDefault="006774CA" w:rsidP="001101C4">
          <w:pPr>
            <w:pStyle w:val="TOC1"/>
            <w:tabs>
              <w:tab w:val="right" w:leader="dot" w:pos="9069"/>
            </w:tabs>
            <w:spacing w:after="0" w:line="360" w:lineRule="auto"/>
            <w:rPr>
              <w:rFonts w:asciiTheme="minorHAnsi" w:eastAsiaTheme="minorEastAsia" w:hAnsiTheme="minorHAnsi" w:cstheme="minorBidi"/>
              <w:b/>
              <w:bCs/>
              <w:noProof/>
              <w:color w:val="auto"/>
              <w:kern w:val="2"/>
              <w:sz w:val="22"/>
              <w:szCs w:val="22"/>
              <w14:ligatures w14:val="standardContextual"/>
            </w:rPr>
          </w:pPr>
          <w:hyperlink w:anchor="_Toc224149810" w:history="1">
            <w:r w:rsidRPr="00EC5EFD">
              <w:rPr>
                <w:rStyle w:val="Hyperlink"/>
                <w:b/>
                <w:bCs/>
                <w:noProof/>
                <w:sz w:val="22"/>
                <w:szCs w:val="22"/>
              </w:rPr>
              <w:t>8 - Reference List</w:t>
            </w:r>
            <w:r w:rsidRPr="00EC5EFD">
              <w:rPr>
                <w:b/>
                <w:bCs/>
                <w:noProof/>
                <w:webHidden/>
                <w:sz w:val="22"/>
                <w:szCs w:val="22"/>
              </w:rPr>
              <w:tab/>
            </w:r>
            <w:r w:rsidRPr="00EC5EFD">
              <w:rPr>
                <w:b/>
                <w:bCs/>
                <w:noProof/>
                <w:webHidden/>
                <w:sz w:val="22"/>
                <w:szCs w:val="22"/>
              </w:rPr>
              <w:fldChar w:fldCharType="begin"/>
            </w:r>
            <w:r w:rsidRPr="00EC5EFD">
              <w:rPr>
                <w:b/>
                <w:bCs/>
                <w:noProof/>
                <w:webHidden/>
                <w:sz w:val="22"/>
                <w:szCs w:val="22"/>
              </w:rPr>
              <w:instrText xml:space="preserve"> PAGEREF _Toc224149810 \h </w:instrText>
            </w:r>
            <w:r w:rsidRPr="00EC5EFD">
              <w:rPr>
                <w:b/>
                <w:bCs/>
                <w:noProof/>
                <w:webHidden/>
                <w:sz w:val="22"/>
                <w:szCs w:val="22"/>
              </w:rPr>
            </w:r>
            <w:r w:rsidRPr="00EC5EFD">
              <w:rPr>
                <w:b/>
                <w:bCs/>
                <w:noProof/>
                <w:webHidden/>
                <w:sz w:val="22"/>
                <w:szCs w:val="22"/>
              </w:rPr>
              <w:fldChar w:fldCharType="separate"/>
            </w:r>
            <w:r w:rsidR="00E172A2" w:rsidRPr="00EC5EFD">
              <w:rPr>
                <w:b/>
                <w:bCs/>
                <w:noProof/>
                <w:webHidden/>
                <w:sz w:val="22"/>
                <w:szCs w:val="22"/>
              </w:rPr>
              <w:t>8</w:t>
            </w:r>
            <w:r w:rsidRPr="00EC5EFD">
              <w:rPr>
                <w:b/>
                <w:bCs/>
                <w:noProof/>
                <w:webHidden/>
                <w:sz w:val="22"/>
                <w:szCs w:val="22"/>
              </w:rPr>
              <w:fldChar w:fldCharType="end"/>
            </w:r>
          </w:hyperlink>
        </w:p>
        <w:p w14:paraId="3C7FF346" w14:textId="06D920E1" w:rsidR="006774CA" w:rsidRPr="001101C4" w:rsidRDefault="006774CA" w:rsidP="001101C4">
          <w:pPr>
            <w:spacing w:after="0" w:line="360" w:lineRule="auto"/>
            <w:rPr>
              <w:sz w:val="22"/>
              <w:szCs w:val="22"/>
            </w:rPr>
          </w:pPr>
          <w:r w:rsidRPr="001101C4">
            <w:rPr>
              <w:b/>
              <w:bCs/>
              <w:sz w:val="22"/>
              <w:szCs w:val="22"/>
              <w:lang w:val="en-GB"/>
            </w:rPr>
            <w:fldChar w:fldCharType="end"/>
          </w:r>
        </w:p>
      </w:sdtContent>
    </w:sdt>
    <w:p w14:paraId="70A95518" w14:textId="77777777" w:rsidR="005F7E8F" w:rsidRPr="001101C4" w:rsidRDefault="005F7E8F" w:rsidP="001101C4">
      <w:pPr>
        <w:suppressAutoHyphens w:val="0"/>
        <w:spacing w:after="0" w:line="360" w:lineRule="auto"/>
        <w:ind w:left="0" w:firstLine="0"/>
        <w:rPr>
          <w:rFonts w:ascii="Arial" w:hAnsi="Arial" w:cs="Arial"/>
          <w:color w:val="auto"/>
          <w:sz w:val="22"/>
          <w:szCs w:val="22"/>
          <w:lang w:val="en-GB"/>
        </w:rPr>
      </w:pPr>
      <w:r w:rsidRPr="001101C4">
        <w:rPr>
          <w:rFonts w:ascii="Arial" w:hAnsi="Arial" w:cs="Arial"/>
          <w:color w:val="auto"/>
          <w:sz w:val="22"/>
          <w:szCs w:val="22"/>
          <w:lang w:val="en-GB"/>
        </w:rPr>
        <w:br w:type="page"/>
      </w:r>
    </w:p>
    <w:p w14:paraId="5BD2BF73" w14:textId="77777777" w:rsidR="006C23E4" w:rsidRDefault="006C23E4">
      <w:pPr>
        <w:pageBreakBefore/>
        <w:suppressAutoHyphens w:val="0"/>
        <w:spacing w:after="0" w:line="360" w:lineRule="auto"/>
        <w:ind w:left="0" w:firstLine="0"/>
        <w:jc w:val="both"/>
        <w:rPr>
          <w:rFonts w:ascii="Arial" w:hAnsi="Arial" w:cs="Arial"/>
          <w:color w:val="auto"/>
          <w:sz w:val="22"/>
          <w:szCs w:val="22"/>
          <w:lang w:val="en-GB"/>
        </w:rPr>
      </w:pPr>
    </w:p>
    <w:p w14:paraId="6D8DB5E9" w14:textId="715128ED" w:rsidR="006C23E4" w:rsidRPr="000F3E41" w:rsidRDefault="00037A50" w:rsidP="00776A73">
      <w:pPr>
        <w:pStyle w:val="Heading1"/>
        <w:spacing w:line="360" w:lineRule="auto"/>
        <w:jc w:val="center"/>
        <w:rPr>
          <w:rFonts w:ascii="Arial" w:hAnsi="Arial" w:cs="Arial"/>
          <w:b/>
          <w:bCs/>
          <w:color w:val="auto"/>
          <w:szCs w:val="32"/>
          <w:lang w:val="en-GB"/>
        </w:rPr>
      </w:pPr>
      <w:bookmarkStart w:id="2" w:name="_Toc11991"/>
      <w:bookmarkStart w:id="3" w:name="_Toc223898304"/>
      <w:bookmarkStart w:id="4" w:name="_Toc224149234"/>
      <w:bookmarkStart w:id="5" w:name="_Toc224149801"/>
      <w:r w:rsidRPr="000F3E41">
        <w:rPr>
          <w:rFonts w:ascii="Arial" w:hAnsi="Arial" w:cs="Arial"/>
          <w:b/>
          <w:bCs/>
          <w:color w:val="auto"/>
          <w:szCs w:val="32"/>
          <w:lang w:val="en-GB"/>
        </w:rPr>
        <w:t xml:space="preserve">1 – </w:t>
      </w:r>
      <w:bookmarkEnd w:id="2"/>
      <w:r w:rsidRPr="000F3E41">
        <w:rPr>
          <w:rFonts w:ascii="Arial" w:hAnsi="Arial" w:cs="Arial"/>
          <w:b/>
          <w:bCs/>
          <w:color w:val="auto"/>
          <w:szCs w:val="32"/>
          <w:lang w:val="en-GB"/>
        </w:rPr>
        <w:t>Introduction</w:t>
      </w:r>
      <w:bookmarkEnd w:id="3"/>
      <w:bookmarkEnd w:id="4"/>
      <w:bookmarkEnd w:id="5"/>
    </w:p>
    <w:p w14:paraId="625E000F" w14:textId="7913B4E4" w:rsidR="0053777D" w:rsidRPr="00E97479" w:rsidRDefault="00A9487C" w:rsidP="00776A73">
      <w:pPr>
        <w:spacing w:after="0" w:line="360" w:lineRule="auto"/>
        <w:ind w:left="0" w:firstLine="708"/>
        <w:jc w:val="both"/>
        <w:rPr>
          <w:rFonts w:ascii="Arial" w:hAnsi="Arial" w:cs="Arial"/>
          <w:sz w:val="22"/>
          <w:szCs w:val="22"/>
          <w:lang w:val="en-GB"/>
        </w:rPr>
      </w:pPr>
      <w:r w:rsidRPr="00E97479">
        <w:rPr>
          <w:rFonts w:ascii="Arial" w:hAnsi="Arial" w:cs="Arial"/>
          <w:sz w:val="22"/>
          <w:szCs w:val="22"/>
          <w:lang w:val="en-GB"/>
        </w:rPr>
        <w:t>In the scenario of the case in question, the HR department of the companies Waitrose &amp; Partner faces many problems</w:t>
      </w:r>
      <w:bookmarkStart w:id="6" w:name="_Toc11992"/>
      <w:r w:rsidR="00DE4B22" w:rsidRPr="00E97479">
        <w:rPr>
          <w:rFonts w:ascii="Arial" w:hAnsi="Arial" w:cs="Arial"/>
          <w:sz w:val="22"/>
          <w:szCs w:val="22"/>
          <w:lang w:val="en-GB"/>
        </w:rPr>
        <w:t>,</w:t>
      </w:r>
      <w:r w:rsidR="0053777D" w:rsidRPr="00E97479">
        <w:rPr>
          <w:rFonts w:ascii="Arial" w:hAnsi="Arial" w:cs="Arial"/>
          <w:sz w:val="22"/>
          <w:szCs w:val="22"/>
          <w:lang w:val="en-GB"/>
        </w:rPr>
        <w:t xml:space="preserve"> linked to rapid changes in the retail sector. These challenges include keeping pace with technological advancements, attracting and retaining talent in a competitive labour market, and strengthening Diversity, Equity and Inclusion (DEI) across the organisation. These issues have created pressure on the HR department and highlighted the need for strategic, modern solutions.</w:t>
      </w:r>
    </w:p>
    <w:p w14:paraId="6D8DB5ED" w14:textId="38EAA44C" w:rsidR="003E0C97" w:rsidRPr="00E97479" w:rsidRDefault="0053777D" w:rsidP="00776A73">
      <w:pPr>
        <w:spacing w:after="0" w:line="360" w:lineRule="auto"/>
        <w:ind w:left="0" w:firstLine="708"/>
        <w:jc w:val="both"/>
        <w:rPr>
          <w:rFonts w:ascii="Arial" w:hAnsi="Arial" w:cs="Arial"/>
          <w:sz w:val="22"/>
          <w:szCs w:val="22"/>
          <w:lang w:val="en-GB"/>
        </w:rPr>
      </w:pPr>
      <w:r w:rsidRPr="00E97479">
        <w:rPr>
          <w:rFonts w:ascii="Arial" w:hAnsi="Arial" w:cs="Arial"/>
          <w:sz w:val="22"/>
          <w:szCs w:val="22"/>
          <w:lang w:val="en-GB"/>
        </w:rPr>
        <w:t>This report, written from the perspective of an HR practitioner, outlines the key factors contributing to these challenges and evaluates a range of contemporary HR practices that can address them. It examines how digital learning, HR analytics, employer branding, wellbeing initiatives, inclusive recruitment, and DEI programmes can support organisational improvement. The report also critically assesses the essential role of departmental managers in ensuring these practices are implemented quickly and effectively.</w:t>
      </w:r>
      <w:r w:rsidR="00B27B70" w:rsidRPr="00E97479">
        <w:rPr>
          <w:rFonts w:ascii="Arial" w:hAnsi="Arial" w:cs="Arial"/>
          <w:sz w:val="22"/>
          <w:szCs w:val="22"/>
          <w:lang w:val="en-GB"/>
        </w:rPr>
        <w:t xml:space="preserve"> </w:t>
      </w:r>
      <w:r w:rsidRPr="00E97479">
        <w:rPr>
          <w:rFonts w:ascii="Arial" w:hAnsi="Arial" w:cs="Arial"/>
          <w:sz w:val="22"/>
          <w:szCs w:val="22"/>
          <w:lang w:val="en-GB"/>
        </w:rPr>
        <w:t xml:space="preserve">Overall, </w:t>
      </w:r>
      <w:r w:rsidR="008F4161" w:rsidRPr="00E97479">
        <w:rPr>
          <w:rFonts w:ascii="Arial" w:hAnsi="Arial" w:cs="Arial"/>
          <w:sz w:val="22"/>
          <w:szCs w:val="22"/>
          <w:lang w:val="en-GB"/>
        </w:rPr>
        <w:t>will be</w:t>
      </w:r>
      <w:r w:rsidR="003574D1" w:rsidRPr="00E97479">
        <w:rPr>
          <w:rFonts w:ascii="Arial" w:hAnsi="Arial" w:cs="Arial"/>
          <w:sz w:val="22"/>
          <w:szCs w:val="22"/>
          <w:lang w:val="en-GB"/>
        </w:rPr>
        <w:t xml:space="preserve"> analysed</w:t>
      </w:r>
      <w:r w:rsidRPr="00E97479">
        <w:rPr>
          <w:rFonts w:ascii="Arial" w:hAnsi="Arial" w:cs="Arial"/>
          <w:sz w:val="22"/>
          <w:szCs w:val="22"/>
          <w:lang w:val="en-GB"/>
        </w:rPr>
        <w:t xml:space="preserve"> how Waitrose &amp; Partners can strengthen its HR approach and respond proactively to current organisational demands.</w:t>
      </w:r>
    </w:p>
    <w:p w14:paraId="1CADBD38" w14:textId="77777777" w:rsidR="003E0C97" w:rsidRPr="00E97479" w:rsidRDefault="003E0C97" w:rsidP="00776A73">
      <w:pPr>
        <w:suppressAutoHyphens w:val="0"/>
        <w:spacing w:after="160" w:line="360" w:lineRule="auto"/>
        <w:ind w:left="0" w:firstLine="0"/>
        <w:rPr>
          <w:rFonts w:ascii="Arial" w:hAnsi="Arial" w:cs="Arial"/>
          <w:sz w:val="22"/>
          <w:szCs w:val="22"/>
          <w:lang w:val="en-GB"/>
        </w:rPr>
      </w:pPr>
      <w:r w:rsidRPr="00E97479">
        <w:rPr>
          <w:rFonts w:ascii="Arial" w:hAnsi="Arial" w:cs="Arial"/>
          <w:sz w:val="22"/>
          <w:szCs w:val="22"/>
          <w:lang w:val="en-GB"/>
        </w:rPr>
        <w:br w:type="page"/>
      </w:r>
    </w:p>
    <w:p w14:paraId="4F7E3CAD" w14:textId="77777777" w:rsidR="006C23E4" w:rsidRPr="00E97479" w:rsidRDefault="006C23E4" w:rsidP="00776A73">
      <w:pPr>
        <w:spacing w:after="0" w:line="360" w:lineRule="auto"/>
        <w:ind w:left="0" w:firstLine="708"/>
        <w:jc w:val="both"/>
        <w:rPr>
          <w:rFonts w:ascii="Arial" w:hAnsi="Arial" w:cs="Arial"/>
          <w:sz w:val="22"/>
          <w:szCs w:val="22"/>
          <w:lang w:val="en-GB"/>
        </w:rPr>
      </w:pPr>
    </w:p>
    <w:p w14:paraId="6D8DB5EE" w14:textId="6C5E8EB3" w:rsidR="006C23E4" w:rsidRPr="000F3E41" w:rsidRDefault="00037A50" w:rsidP="00776A73">
      <w:pPr>
        <w:pStyle w:val="Heading1"/>
        <w:spacing w:line="360" w:lineRule="auto"/>
        <w:jc w:val="center"/>
        <w:rPr>
          <w:rFonts w:ascii="Arial" w:hAnsi="Arial" w:cs="Arial"/>
          <w:b/>
          <w:bCs/>
          <w:color w:val="auto"/>
          <w:szCs w:val="32"/>
          <w:lang w:val="en-GB"/>
        </w:rPr>
      </w:pPr>
      <w:bookmarkStart w:id="7" w:name="_Toc223898305"/>
      <w:bookmarkStart w:id="8" w:name="_Toc224149235"/>
      <w:bookmarkStart w:id="9" w:name="_Toc224149802"/>
      <w:r w:rsidRPr="000F3E41">
        <w:rPr>
          <w:rFonts w:ascii="Arial" w:hAnsi="Arial" w:cs="Arial"/>
          <w:b/>
          <w:bCs/>
          <w:color w:val="auto"/>
          <w:szCs w:val="32"/>
          <w:lang w:val="en-GB"/>
        </w:rPr>
        <w:t xml:space="preserve">2 </w:t>
      </w:r>
      <w:r w:rsidR="00393CB4" w:rsidRPr="000F3E41">
        <w:rPr>
          <w:rFonts w:ascii="Arial" w:hAnsi="Arial" w:cs="Arial"/>
          <w:b/>
          <w:bCs/>
          <w:color w:val="auto"/>
          <w:szCs w:val="32"/>
          <w:lang w:val="en-GB"/>
        </w:rPr>
        <w:t>–</w:t>
      </w:r>
      <w:r w:rsidRPr="000F3E41">
        <w:rPr>
          <w:rFonts w:ascii="Arial" w:hAnsi="Arial" w:cs="Arial"/>
          <w:b/>
          <w:bCs/>
          <w:color w:val="auto"/>
          <w:szCs w:val="32"/>
          <w:lang w:val="en-GB"/>
        </w:rPr>
        <w:t xml:space="preserve"> </w:t>
      </w:r>
      <w:bookmarkEnd w:id="6"/>
      <w:bookmarkEnd w:id="7"/>
      <w:r w:rsidR="00B33E1A" w:rsidRPr="000F3E41">
        <w:rPr>
          <w:rFonts w:ascii="Arial" w:hAnsi="Arial" w:cs="Arial"/>
          <w:b/>
          <w:bCs/>
          <w:color w:val="auto"/>
          <w:szCs w:val="32"/>
          <w:lang w:val="en-GB"/>
        </w:rPr>
        <w:t>Key HR fac</w:t>
      </w:r>
      <w:r w:rsidR="00BC6DC9" w:rsidRPr="000F3E41">
        <w:rPr>
          <w:rFonts w:ascii="Arial" w:hAnsi="Arial" w:cs="Arial"/>
          <w:b/>
          <w:bCs/>
          <w:color w:val="auto"/>
          <w:szCs w:val="32"/>
          <w:lang w:val="en-GB"/>
        </w:rPr>
        <w:t>tors affecting the company</w:t>
      </w:r>
      <w:bookmarkEnd w:id="8"/>
      <w:bookmarkEnd w:id="9"/>
    </w:p>
    <w:p w14:paraId="3995BA00" w14:textId="77777777" w:rsidR="00B34288" w:rsidRPr="000F3E41" w:rsidRDefault="00B34288" w:rsidP="00776A73">
      <w:pPr>
        <w:pStyle w:val="Heading2"/>
        <w:spacing w:line="360" w:lineRule="auto"/>
        <w:rPr>
          <w:rFonts w:ascii="Arial" w:hAnsi="Arial" w:cs="Arial"/>
          <w:b/>
          <w:bCs/>
          <w:color w:val="auto"/>
          <w:sz w:val="22"/>
          <w:szCs w:val="22"/>
          <w:lang w:val="en-GB"/>
        </w:rPr>
      </w:pPr>
      <w:bookmarkStart w:id="10" w:name="_Toc224149236"/>
      <w:bookmarkStart w:id="11" w:name="_Toc224149803"/>
      <w:r w:rsidRPr="000F3E41">
        <w:rPr>
          <w:rFonts w:ascii="Arial" w:hAnsi="Arial" w:cs="Arial"/>
          <w:b/>
          <w:bCs/>
          <w:color w:val="auto"/>
          <w:sz w:val="22"/>
          <w:szCs w:val="22"/>
          <w:lang w:val="en-GB"/>
        </w:rPr>
        <w:t>2.1 Meeting up with technological advancement</w:t>
      </w:r>
      <w:bookmarkEnd w:id="10"/>
      <w:bookmarkEnd w:id="11"/>
      <w:r w:rsidRPr="000F3E41">
        <w:rPr>
          <w:rFonts w:ascii="Arial" w:hAnsi="Arial" w:cs="Arial"/>
          <w:b/>
          <w:bCs/>
          <w:color w:val="auto"/>
          <w:sz w:val="22"/>
          <w:szCs w:val="22"/>
          <w:lang w:val="en-GB"/>
        </w:rPr>
        <w:t xml:space="preserve"> </w:t>
      </w:r>
    </w:p>
    <w:p w14:paraId="1796AEDD" w14:textId="0E73366D" w:rsidR="00871A8B" w:rsidRPr="00E97479" w:rsidRDefault="00871A8B" w:rsidP="00776A73">
      <w:pPr>
        <w:spacing w:after="0" w:line="360" w:lineRule="auto"/>
        <w:ind w:left="0" w:firstLine="708"/>
        <w:jc w:val="both"/>
        <w:rPr>
          <w:rFonts w:ascii="Arial" w:hAnsi="Arial" w:cs="Arial"/>
          <w:sz w:val="22"/>
          <w:szCs w:val="22"/>
          <w:lang w:val="en-GB"/>
        </w:rPr>
      </w:pPr>
      <w:r w:rsidRPr="00E97479">
        <w:rPr>
          <w:rFonts w:ascii="Arial" w:hAnsi="Arial" w:cs="Arial"/>
          <w:sz w:val="22"/>
          <w:szCs w:val="22"/>
          <w:lang w:val="en-GB"/>
        </w:rPr>
        <w:t xml:space="preserve">Technological advancement is reshaping the retail sector, and Waitrose &amp; Partners must adapt to remain competitive. Digitalisation of </w:t>
      </w:r>
      <w:r w:rsidR="00527C11" w:rsidRPr="00E97479">
        <w:rPr>
          <w:rFonts w:ascii="Arial" w:hAnsi="Arial" w:cs="Arial"/>
          <w:sz w:val="22"/>
          <w:szCs w:val="22"/>
          <w:lang w:val="en-GB"/>
        </w:rPr>
        <w:t>r</w:t>
      </w:r>
      <w:r w:rsidRPr="00E97479">
        <w:rPr>
          <w:rFonts w:ascii="Arial" w:hAnsi="Arial" w:cs="Arial"/>
          <w:sz w:val="22"/>
          <w:szCs w:val="22"/>
          <w:lang w:val="en-GB"/>
        </w:rPr>
        <w:t xml:space="preserve">etail </w:t>
      </w:r>
      <w:r w:rsidR="00527C11" w:rsidRPr="00E97479">
        <w:rPr>
          <w:rFonts w:ascii="Arial" w:hAnsi="Arial" w:cs="Arial"/>
          <w:sz w:val="22"/>
          <w:szCs w:val="22"/>
          <w:lang w:val="en-GB"/>
        </w:rPr>
        <w:t>operations and changing skill requirements</w:t>
      </w:r>
      <w:r w:rsidR="00B868C6" w:rsidRPr="00E97479">
        <w:rPr>
          <w:rFonts w:ascii="Arial" w:hAnsi="Arial" w:cs="Arial"/>
          <w:sz w:val="22"/>
          <w:szCs w:val="22"/>
          <w:lang w:val="en-GB"/>
        </w:rPr>
        <w:t xml:space="preserve"> are factors that currently influence, since, t</w:t>
      </w:r>
      <w:r w:rsidRPr="00E97479">
        <w:rPr>
          <w:rFonts w:ascii="Arial" w:hAnsi="Arial" w:cs="Arial"/>
          <w:sz w:val="22"/>
          <w:szCs w:val="22"/>
          <w:lang w:val="en-GB"/>
        </w:rPr>
        <w:t>he rise of self</w:t>
      </w:r>
      <w:r w:rsidRPr="00E97479">
        <w:rPr>
          <w:rFonts w:ascii="Arial" w:hAnsi="Arial" w:cs="Arial"/>
          <w:sz w:val="22"/>
          <w:szCs w:val="22"/>
          <w:lang w:val="en-GB"/>
        </w:rPr>
        <w:noBreakHyphen/>
        <w:t>checkout systems, online grocery platforms, automated stock</w:t>
      </w:r>
      <w:r w:rsidRPr="00E97479">
        <w:rPr>
          <w:rFonts w:ascii="Arial" w:hAnsi="Arial" w:cs="Arial"/>
          <w:sz w:val="22"/>
          <w:szCs w:val="22"/>
          <w:lang w:val="en-GB"/>
        </w:rPr>
        <w:noBreakHyphen/>
        <w:t>management tools, and data</w:t>
      </w:r>
      <w:r w:rsidRPr="00E97479">
        <w:rPr>
          <w:rFonts w:ascii="Arial" w:hAnsi="Arial" w:cs="Arial"/>
          <w:sz w:val="22"/>
          <w:szCs w:val="22"/>
          <w:lang w:val="en-GB"/>
        </w:rPr>
        <w:noBreakHyphen/>
        <w:t>driven decision</w:t>
      </w:r>
      <w:r w:rsidRPr="00E97479">
        <w:rPr>
          <w:rFonts w:ascii="Arial" w:hAnsi="Arial" w:cs="Arial"/>
          <w:sz w:val="22"/>
          <w:szCs w:val="22"/>
          <w:lang w:val="en-GB"/>
        </w:rPr>
        <w:noBreakHyphen/>
        <w:t>making requires employees to develop new digital competencies. HR must ensure staff are trained to use emerging technologies effectively and confidently</w:t>
      </w:r>
      <w:r w:rsidR="001B3C40" w:rsidRPr="00E97479">
        <w:rPr>
          <w:rFonts w:ascii="Arial" w:hAnsi="Arial" w:cs="Arial"/>
          <w:sz w:val="22"/>
          <w:szCs w:val="22"/>
          <w:lang w:val="en-GB"/>
        </w:rPr>
        <w:t xml:space="preserve">. </w:t>
      </w:r>
      <w:r w:rsidRPr="00E97479">
        <w:rPr>
          <w:rFonts w:ascii="Arial" w:hAnsi="Arial" w:cs="Arial"/>
          <w:sz w:val="22"/>
          <w:szCs w:val="22"/>
          <w:lang w:val="en-GB"/>
        </w:rPr>
        <w:t>Traditional retail roles are evolving. Employees now need hybrid skills that combine customer service with digital literacy. HR must redesign job descriptions, update competency frameworks, and provide continuous learning opportunities.</w:t>
      </w:r>
    </w:p>
    <w:p w14:paraId="22FCF827" w14:textId="77777777" w:rsidR="00871A8B" w:rsidRPr="00E97479" w:rsidRDefault="00871A8B" w:rsidP="00776A73">
      <w:pPr>
        <w:spacing w:after="0" w:line="360" w:lineRule="auto"/>
        <w:ind w:left="0" w:firstLine="0"/>
        <w:jc w:val="both"/>
        <w:rPr>
          <w:rFonts w:ascii="Arial" w:hAnsi="Arial" w:cs="Arial"/>
          <w:sz w:val="22"/>
          <w:szCs w:val="22"/>
          <w:lang w:val="en-GB"/>
        </w:rPr>
      </w:pPr>
    </w:p>
    <w:p w14:paraId="6361B82C" w14:textId="28BEC378" w:rsidR="00B34288" w:rsidRPr="000F3E41" w:rsidRDefault="00B34288" w:rsidP="00776A73">
      <w:pPr>
        <w:pStyle w:val="Heading2"/>
        <w:spacing w:line="360" w:lineRule="auto"/>
        <w:rPr>
          <w:rFonts w:ascii="Arial" w:hAnsi="Arial" w:cs="Arial"/>
          <w:b/>
          <w:bCs/>
          <w:color w:val="auto"/>
          <w:sz w:val="22"/>
          <w:szCs w:val="22"/>
          <w:lang w:val="en-GB"/>
        </w:rPr>
      </w:pPr>
      <w:bookmarkStart w:id="12" w:name="_Toc224149237"/>
      <w:bookmarkStart w:id="13" w:name="_Toc224149804"/>
      <w:r w:rsidRPr="000F3E41">
        <w:rPr>
          <w:rFonts w:ascii="Arial" w:hAnsi="Arial" w:cs="Arial"/>
          <w:b/>
          <w:bCs/>
          <w:color w:val="auto"/>
          <w:sz w:val="22"/>
          <w:szCs w:val="22"/>
          <w:lang w:val="en-GB"/>
        </w:rPr>
        <w:t>2.2 Talent Acquisition and retention</w:t>
      </w:r>
      <w:bookmarkEnd w:id="12"/>
      <w:bookmarkEnd w:id="13"/>
    </w:p>
    <w:p w14:paraId="5C014880" w14:textId="004A9AE2" w:rsidR="00277DBD" w:rsidRDefault="00277DBD" w:rsidP="000F3E41">
      <w:pPr>
        <w:spacing w:line="360" w:lineRule="auto"/>
        <w:ind w:firstLine="698"/>
        <w:jc w:val="both"/>
        <w:rPr>
          <w:rFonts w:ascii="Arial" w:eastAsia="Times New Roman" w:hAnsi="Arial" w:cs="Arial"/>
          <w:color w:val="auto"/>
          <w:kern w:val="0"/>
          <w:sz w:val="22"/>
          <w:szCs w:val="22"/>
          <w:lang w:val="en-GB"/>
        </w:rPr>
      </w:pPr>
      <w:r w:rsidRPr="00E97479">
        <w:rPr>
          <w:rFonts w:ascii="Arial" w:hAnsi="Arial" w:cs="Arial"/>
          <w:sz w:val="22"/>
          <w:szCs w:val="22"/>
          <w:lang w:val="en-GB"/>
        </w:rPr>
        <w:t>Attracting and retaining talent is a persistent challenge in the UK retail sector, and Waitrose &amp; Partners faces several specific pressures</w:t>
      </w:r>
      <w:r w:rsidR="00E8293F" w:rsidRPr="00E97479">
        <w:rPr>
          <w:rFonts w:ascii="Arial" w:hAnsi="Arial" w:cs="Arial"/>
          <w:sz w:val="22"/>
          <w:szCs w:val="22"/>
          <w:lang w:val="en-GB"/>
        </w:rPr>
        <w:t xml:space="preserve">, </w:t>
      </w:r>
      <w:proofErr w:type="gramStart"/>
      <w:r w:rsidR="00C312BF" w:rsidRPr="00E97479">
        <w:rPr>
          <w:rFonts w:ascii="Arial" w:hAnsi="Arial" w:cs="Arial"/>
          <w:sz w:val="22"/>
          <w:szCs w:val="22"/>
          <w:lang w:val="en-GB"/>
        </w:rPr>
        <w:t>whereas,</w:t>
      </w:r>
      <w:proofErr w:type="gramEnd"/>
      <w:r w:rsidR="00C312BF" w:rsidRPr="00E97479">
        <w:rPr>
          <w:rFonts w:ascii="Arial" w:hAnsi="Arial" w:cs="Arial"/>
          <w:sz w:val="22"/>
          <w:szCs w:val="22"/>
          <w:lang w:val="en-GB"/>
        </w:rPr>
        <w:t xml:space="preserve"> </w:t>
      </w:r>
      <w:r w:rsidR="000C5EF1" w:rsidRPr="00E97479">
        <w:rPr>
          <w:rFonts w:ascii="Arial" w:hAnsi="Arial" w:cs="Arial"/>
          <w:sz w:val="22"/>
          <w:szCs w:val="22"/>
          <w:lang w:val="en-GB"/>
        </w:rPr>
        <w:t>r</w:t>
      </w:r>
      <w:r w:rsidRPr="00E97479">
        <w:rPr>
          <w:rFonts w:ascii="Arial" w:hAnsi="Arial" w:cs="Arial"/>
          <w:sz w:val="22"/>
          <w:szCs w:val="22"/>
          <w:lang w:val="en-GB"/>
        </w:rPr>
        <w:t>etail roles often compete with hospitality, logistics, and gig</w:t>
      </w:r>
      <w:r w:rsidRPr="00E97479">
        <w:rPr>
          <w:rFonts w:ascii="Arial" w:hAnsi="Arial" w:cs="Arial"/>
          <w:sz w:val="22"/>
          <w:szCs w:val="22"/>
          <w:lang w:val="en-GB"/>
        </w:rPr>
        <w:noBreakHyphen/>
        <w:t>economy jobs. To attract high</w:t>
      </w:r>
      <w:r w:rsidRPr="00E97479">
        <w:rPr>
          <w:rFonts w:ascii="Arial" w:hAnsi="Arial" w:cs="Arial"/>
          <w:sz w:val="22"/>
          <w:szCs w:val="22"/>
          <w:lang w:val="en-GB"/>
        </w:rPr>
        <w:noBreakHyphen/>
        <w:t>quality candidates, Waitrose must offer competitive pay, flexible working arrangements, and clear career pathways</w:t>
      </w:r>
      <w:r w:rsidR="00160A97" w:rsidRPr="00E97479">
        <w:rPr>
          <w:rFonts w:ascii="Arial" w:hAnsi="Arial" w:cs="Arial"/>
          <w:sz w:val="22"/>
          <w:szCs w:val="22"/>
          <w:lang w:val="en-GB"/>
        </w:rPr>
        <w:t xml:space="preserve">. Moreover, </w:t>
      </w:r>
      <w:r w:rsidR="006E3BA1" w:rsidRPr="00E97479">
        <w:rPr>
          <w:rFonts w:ascii="Arial" w:hAnsi="Arial" w:cs="Arial"/>
          <w:sz w:val="22"/>
          <w:szCs w:val="22"/>
          <w:lang w:val="en-GB"/>
        </w:rPr>
        <w:t>there is a</w:t>
      </w:r>
      <w:r w:rsidR="008A0402" w:rsidRPr="00E97479">
        <w:rPr>
          <w:rFonts w:ascii="Arial" w:hAnsi="Arial" w:cs="Arial"/>
          <w:b/>
          <w:bCs/>
          <w:sz w:val="22"/>
          <w:szCs w:val="22"/>
          <w:lang w:val="en-GB"/>
        </w:rPr>
        <w:t xml:space="preserve"> </w:t>
      </w:r>
      <w:r w:rsidR="000C5EF1" w:rsidRPr="00E97479">
        <w:rPr>
          <w:rFonts w:ascii="Arial" w:hAnsi="Arial" w:cs="Arial"/>
          <w:sz w:val="22"/>
          <w:szCs w:val="22"/>
          <w:lang w:val="en-GB"/>
        </w:rPr>
        <w:t>h</w:t>
      </w:r>
      <w:r w:rsidRPr="00E97479">
        <w:rPr>
          <w:rFonts w:ascii="Arial" w:hAnsi="Arial" w:cs="Arial"/>
          <w:sz w:val="22"/>
          <w:szCs w:val="22"/>
          <w:lang w:val="en-GB"/>
        </w:rPr>
        <w:t>igh turnover is common in retail. Retaining experienced staff requires investment in training, recognition programmes, and opportunities for progression. HR must also address workload pressures and ensure a supportive work environment</w:t>
      </w:r>
      <w:r w:rsidR="00A5312F" w:rsidRPr="00E97479">
        <w:rPr>
          <w:rFonts w:ascii="Arial" w:hAnsi="Arial" w:cs="Arial"/>
          <w:sz w:val="22"/>
          <w:szCs w:val="22"/>
          <w:lang w:val="en-GB"/>
        </w:rPr>
        <w:t>.</w:t>
      </w:r>
      <w:r w:rsidR="008A0402" w:rsidRPr="00E97479">
        <w:rPr>
          <w:rFonts w:ascii="Arial" w:hAnsi="Arial" w:cs="Arial"/>
          <w:sz w:val="22"/>
          <w:szCs w:val="22"/>
          <w:lang w:val="en-GB"/>
        </w:rPr>
        <w:t xml:space="preserve"> </w:t>
      </w:r>
      <w:r w:rsidR="00A5312F" w:rsidRPr="00E97479">
        <w:rPr>
          <w:rFonts w:ascii="Arial" w:eastAsia="Times New Roman" w:hAnsi="Arial" w:cs="Arial"/>
          <w:color w:val="auto"/>
          <w:kern w:val="0"/>
          <w:sz w:val="22"/>
          <w:szCs w:val="22"/>
          <w:lang w:val="en-GB"/>
        </w:rPr>
        <w:t>The</w:t>
      </w:r>
      <w:r w:rsidR="000C5EF1" w:rsidRPr="00E97479">
        <w:rPr>
          <w:rFonts w:ascii="Arial" w:eastAsia="Times New Roman" w:hAnsi="Arial" w:cs="Arial"/>
          <w:color w:val="auto"/>
          <w:kern w:val="0"/>
          <w:sz w:val="22"/>
          <w:szCs w:val="22"/>
          <w:lang w:val="en-GB"/>
        </w:rPr>
        <w:t xml:space="preserve"> m</w:t>
      </w:r>
      <w:r w:rsidR="002F7ABB" w:rsidRPr="00E97479">
        <w:rPr>
          <w:rFonts w:ascii="Arial" w:eastAsia="Times New Roman" w:hAnsi="Arial" w:cs="Arial"/>
          <w:color w:val="auto"/>
          <w:kern w:val="0"/>
          <w:sz w:val="22"/>
          <w:szCs w:val="22"/>
          <w:lang w:val="en-GB"/>
        </w:rPr>
        <w:t>odern employees</w:t>
      </w:r>
      <w:r w:rsidR="00A5312F" w:rsidRPr="00E97479">
        <w:rPr>
          <w:rFonts w:ascii="Arial" w:eastAsia="Times New Roman" w:hAnsi="Arial" w:cs="Arial"/>
          <w:color w:val="auto"/>
          <w:kern w:val="0"/>
          <w:sz w:val="22"/>
          <w:szCs w:val="22"/>
          <w:lang w:val="en-GB"/>
        </w:rPr>
        <w:t xml:space="preserve">, </w:t>
      </w:r>
      <w:r w:rsidR="002F7ABB" w:rsidRPr="00E97479">
        <w:rPr>
          <w:rFonts w:ascii="Arial" w:eastAsia="Times New Roman" w:hAnsi="Arial" w:cs="Arial"/>
          <w:color w:val="auto"/>
          <w:kern w:val="0"/>
          <w:sz w:val="22"/>
          <w:szCs w:val="22"/>
          <w:lang w:val="en-GB"/>
        </w:rPr>
        <w:t>especially younger generations</w:t>
      </w:r>
      <w:r w:rsidR="00A5312F" w:rsidRPr="00E97479">
        <w:rPr>
          <w:rFonts w:ascii="Arial" w:eastAsia="Times New Roman" w:hAnsi="Arial" w:cs="Arial"/>
          <w:color w:val="auto"/>
          <w:kern w:val="0"/>
          <w:sz w:val="22"/>
          <w:szCs w:val="22"/>
          <w:lang w:val="en-GB"/>
        </w:rPr>
        <w:t xml:space="preserve">, </w:t>
      </w:r>
      <w:r w:rsidR="002F7ABB" w:rsidRPr="00E97479">
        <w:rPr>
          <w:rFonts w:ascii="Arial" w:eastAsia="Times New Roman" w:hAnsi="Arial" w:cs="Arial"/>
          <w:color w:val="auto"/>
          <w:kern w:val="0"/>
          <w:sz w:val="22"/>
          <w:szCs w:val="22"/>
          <w:lang w:val="en-GB"/>
        </w:rPr>
        <w:t>seek meaningful work, work</w:t>
      </w:r>
      <w:r w:rsidR="002F7ABB" w:rsidRPr="00E97479">
        <w:rPr>
          <w:rFonts w:ascii="Arial" w:eastAsia="Times New Roman" w:hAnsi="Arial" w:cs="Arial"/>
          <w:color w:val="auto"/>
          <w:kern w:val="0"/>
          <w:sz w:val="22"/>
          <w:szCs w:val="22"/>
          <w:lang w:val="en-GB"/>
        </w:rPr>
        <w:noBreakHyphen/>
        <w:t>life balance, and development opportunities. HR must adapt policies to meet these expectations, such as offering flexible shifts, wellbeing initiatives, and structured learning programmes.</w:t>
      </w:r>
    </w:p>
    <w:p w14:paraId="18151F3C" w14:textId="77777777" w:rsidR="000F3E41" w:rsidRPr="000F3E41" w:rsidRDefault="000F3E41" w:rsidP="000F3E41">
      <w:pPr>
        <w:spacing w:after="0" w:line="360" w:lineRule="auto"/>
        <w:ind w:firstLine="698"/>
        <w:jc w:val="both"/>
        <w:rPr>
          <w:rFonts w:ascii="Arial" w:eastAsia="Times New Roman" w:hAnsi="Arial" w:cs="Arial"/>
          <w:color w:val="auto"/>
          <w:kern w:val="0"/>
          <w:sz w:val="22"/>
          <w:szCs w:val="22"/>
          <w:lang w:val="en-GB"/>
        </w:rPr>
      </w:pPr>
    </w:p>
    <w:p w14:paraId="34C4552D" w14:textId="77777777" w:rsidR="00F54CE9" w:rsidRPr="000F3E41" w:rsidRDefault="00B34288" w:rsidP="00776A73">
      <w:pPr>
        <w:pStyle w:val="Heading2"/>
        <w:spacing w:line="360" w:lineRule="auto"/>
        <w:rPr>
          <w:rFonts w:ascii="Arial" w:hAnsi="Arial" w:cs="Arial"/>
          <w:b/>
          <w:bCs/>
          <w:color w:val="auto"/>
          <w:sz w:val="22"/>
          <w:szCs w:val="22"/>
          <w:lang w:val="en-GB"/>
        </w:rPr>
      </w:pPr>
      <w:bookmarkStart w:id="14" w:name="_Toc224149238"/>
      <w:bookmarkStart w:id="15" w:name="_Toc224149805"/>
      <w:r w:rsidRPr="000F3E41">
        <w:rPr>
          <w:rFonts w:ascii="Arial" w:hAnsi="Arial" w:cs="Arial"/>
          <w:b/>
          <w:bCs/>
          <w:color w:val="auto"/>
          <w:sz w:val="22"/>
          <w:szCs w:val="22"/>
          <w:lang w:val="en-GB"/>
        </w:rPr>
        <w:t>2.3 Diversity, Equity and Inclusion (DEI)</w:t>
      </w:r>
      <w:bookmarkEnd w:id="14"/>
      <w:bookmarkEnd w:id="15"/>
      <w:r w:rsidRPr="000F3E41">
        <w:rPr>
          <w:rFonts w:ascii="Arial" w:hAnsi="Arial" w:cs="Arial"/>
          <w:b/>
          <w:bCs/>
          <w:color w:val="auto"/>
          <w:sz w:val="22"/>
          <w:szCs w:val="22"/>
          <w:lang w:val="en-GB"/>
        </w:rPr>
        <w:t xml:space="preserve"> </w:t>
      </w:r>
    </w:p>
    <w:p w14:paraId="4332853D" w14:textId="77777777" w:rsidR="005928F1" w:rsidRPr="00E97479" w:rsidRDefault="00F54CE9" w:rsidP="00776A73">
      <w:pPr>
        <w:spacing w:line="360" w:lineRule="auto"/>
        <w:ind w:firstLine="698"/>
        <w:jc w:val="both"/>
        <w:rPr>
          <w:rFonts w:ascii="Arial" w:hAnsi="Arial" w:cs="Arial"/>
          <w:sz w:val="22"/>
          <w:szCs w:val="22"/>
          <w:lang w:val="en-GB"/>
        </w:rPr>
      </w:pPr>
      <w:r w:rsidRPr="00E97479">
        <w:rPr>
          <w:rFonts w:ascii="Arial" w:hAnsi="Arial" w:cs="Arial"/>
          <w:sz w:val="22"/>
          <w:szCs w:val="22"/>
          <w:lang w:val="en-GB"/>
        </w:rPr>
        <w:t>DEI is increasingly central to organisational success, and Waitrose &amp; Partners must address several factors to strengthen its DEI strategy</w:t>
      </w:r>
      <w:r w:rsidR="00030F80" w:rsidRPr="00E97479">
        <w:rPr>
          <w:rFonts w:ascii="Arial" w:hAnsi="Arial" w:cs="Arial"/>
          <w:sz w:val="22"/>
          <w:szCs w:val="22"/>
          <w:lang w:val="en-GB"/>
        </w:rPr>
        <w:t xml:space="preserve">, </w:t>
      </w:r>
      <w:proofErr w:type="spellStart"/>
      <w:r w:rsidR="00030F80" w:rsidRPr="00E97479">
        <w:rPr>
          <w:rFonts w:ascii="Arial" w:hAnsi="Arial" w:cs="Arial"/>
          <w:sz w:val="22"/>
          <w:szCs w:val="22"/>
          <w:lang w:val="en-GB"/>
        </w:rPr>
        <w:t>sush</w:t>
      </w:r>
      <w:proofErr w:type="spellEnd"/>
      <w:r w:rsidR="00030F80" w:rsidRPr="00E97479">
        <w:rPr>
          <w:rFonts w:ascii="Arial" w:hAnsi="Arial" w:cs="Arial"/>
          <w:sz w:val="22"/>
          <w:szCs w:val="22"/>
          <w:lang w:val="en-GB"/>
        </w:rPr>
        <w:t xml:space="preserve"> as, i</w:t>
      </w:r>
      <w:r w:rsidRPr="00E97479">
        <w:rPr>
          <w:rFonts w:ascii="Arial" w:hAnsi="Arial" w:cs="Arial"/>
          <w:sz w:val="22"/>
          <w:szCs w:val="22"/>
          <w:lang w:val="en-GB"/>
        </w:rPr>
        <w:t xml:space="preserve">nclusive </w:t>
      </w:r>
      <w:r w:rsidR="005928F1" w:rsidRPr="00E97479">
        <w:rPr>
          <w:rFonts w:ascii="Arial" w:hAnsi="Arial" w:cs="Arial"/>
          <w:sz w:val="22"/>
          <w:szCs w:val="22"/>
          <w:lang w:val="en-GB"/>
        </w:rPr>
        <w:t>r</w:t>
      </w:r>
      <w:r w:rsidRPr="00E97479">
        <w:rPr>
          <w:rFonts w:ascii="Arial" w:hAnsi="Arial" w:cs="Arial"/>
          <w:sz w:val="22"/>
          <w:szCs w:val="22"/>
          <w:lang w:val="en-GB"/>
        </w:rPr>
        <w:t xml:space="preserve">ecruitment </w:t>
      </w:r>
      <w:r w:rsidR="005928F1" w:rsidRPr="00E97479">
        <w:rPr>
          <w:rFonts w:ascii="Arial" w:hAnsi="Arial" w:cs="Arial"/>
          <w:sz w:val="22"/>
          <w:szCs w:val="22"/>
          <w:lang w:val="en-GB"/>
        </w:rPr>
        <w:t>p</w:t>
      </w:r>
      <w:r w:rsidRPr="00E97479">
        <w:rPr>
          <w:rFonts w:ascii="Arial" w:hAnsi="Arial" w:cs="Arial"/>
          <w:sz w:val="22"/>
          <w:szCs w:val="22"/>
          <w:lang w:val="en-GB"/>
        </w:rPr>
        <w:t>ractices</w:t>
      </w:r>
      <w:r w:rsidR="00006A55" w:rsidRPr="00E97479">
        <w:rPr>
          <w:rFonts w:ascii="Arial" w:hAnsi="Arial" w:cs="Arial"/>
          <w:sz w:val="22"/>
          <w:szCs w:val="22"/>
          <w:lang w:val="en-GB"/>
        </w:rPr>
        <w:t xml:space="preserve"> with</w:t>
      </w:r>
      <w:r w:rsidRPr="00E97479">
        <w:rPr>
          <w:rFonts w:ascii="Arial" w:hAnsi="Arial" w:cs="Arial"/>
          <w:sz w:val="22"/>
          <w:szCs w:val="22"/>
          <w:lang w:val="en-GB"/>
        </w:rPr>
        <w:t xml:space="preserve"> Implementing structured interviews, diverse hiring panels, and inclusive job adverts helps ensure fairness and widen the talent pool.</w:t>
      </w:r>
      <w:r w:rsidR="00A66A99" w:rsidRPr="00E97479">
        <w:rPr>
          <w:rFonts w:ascii="Arial" w:hAnsi="Arial" w:cs="Arial"/>
          <w:sz w:val="22"/>
          <w:szCs w:val="22"/>
          <w:lang w:val="en-GB"/>
        </w:rPr>
        <w:t xml:space="preserve">  </w:t>
      </w:r>
      <w:r w:rsidRPr="00E97479">
        <w:rPr>
          <w:rFonts w:ascii="Arial" w:hAnsi="Arial" w:cs="Arial"/>
          <w:sz w:val="22"/>
          <w:szCs w:val="22"/>
          <w:lang w:val="en-GB"/>
        </w:rPr>
        <w:t xml:space="preserve">Creating an </w:t>
      </w:r>
      <w:r w:rsidR="005928F1" w:rsidRPr="00E97479">
        <w:rPr>
          <w:rFonts w:ascii="Arial" w:hAnsi="Arial" w:cs="Arial"/>
          <w:sz w:val="22"/>
          <w:szCs w:val="22"/>
          <w:lang w:val="en-GB"/>
        </w:rPr>
        <w:t>i</w:t>
      </w:r>
      <w:r w:rsidRPr="00E97479">
        <w:rPr>
          <w:rFonts w:ascii="Arial" w:hAnsi="Arial" w:cs="Arial"/>
          <w:sz w:val="22"/>
          <w:szCs w:val="22"/>
          <w:lang w:val="en-GB"/>
        </w:rPr>
        <w:t xml:space="preserve">nclusive </w:t>
      </w:r>
      <w:r w:rsidR="005928F1" w:rsidRPr="00E97479">
        <w:rPr>
          <w:rFonts w:ascii="Arial" w:hAnsi="Arial" w:cs="Arial"/>
          <w:sz w:val="22"/>
          <w:szCs w:val="22"/>
          <w:lang w:val="en-GB"/>
        </w:rPr>
        <w:t>c</w:t>
      </w:r>
      <w:r w:rsidRPr="00E97479">
        <w:rPr>
          <w:rFonts w:ascii="Arial" w:hAnsi="Arial" w:cs="Arial"/>
          <w:sz w:val="22"/>
          <w:szCs w:val="22"/>
          <w:lang w:val="en-GB"/>
        </w:rPr>
        <w:t>ulture</w:t>
      </w:r>
      <w:r w:rsidR="005928F1" w:rsidRPr="00E97479">
        <w:rPr>
          <w:rFonts w:ascii="Arial" w:hAnsi="Arial" w:cs="Arial"/>
          <w:sz w:val="22"/>
          <w:szCs w:val="22"/>
          <w:lang w:val="en-GB"/>
        </w:rPr>
        <w:t xml:space="preserve"> </w:t>
      </w:r>
      <w:r w:rsidRPr="00E97479">
        <w:rPr>
          <w:rFonts w:ascii="Arial" w:hAnsi="Arial" w:cs="Arial"/>
          <w:sz w:val="22"/>
          <w:szCs w:val="22"/>
          <w:lang w:val="en-GB"/>
        </w:rPr>
        <w:t>DEI is not only about numbers; it is about creating a workplace where all employees feel valued and respected. HR must promote inclusive behaviours, provide training on cultural awareness, and address discrimination promptly.</w:t>
      </w:r>
    </w:p>
    <w:p w14:paraId="792DB9B5" w14:textId="5F8CC3B0" w:rsidR="00B24250" w:rsidRPr="00E97479" w:rsidRDefault="00CC67F5" w:rsidP="0066032A">
      <w:pPr>
        <w:spacing w:after="0" w:line="360" w:lineRule="auto"/>
        <w:ind w:firstLine="698"/>
        <w:jc w:val="both"/>
        <w:rPr>
          <w:rFonts w:ascii="Arial" w:hAnsi="Arial" w:cs="Arial"/>
          <w:sz w:val="22"/>
          <w:szCs w:val="22"/>
          <w:lang w:val="en-GB"/>
        </w:rPr>
      </w:pPr>
      <w:r w:rsidRPr="00E97479">
        <w:rPr>
          <w:rFonts w:ascii="Arial" w:eastAsia="Times New Roman" w:hAnsi="Arial" w:cs="Arial"/>
          <w:color w:val="auto"/>
          <w:kern w:val="0"/>
          <w:sz w:val="22"/>
          <w:szCs w:val="22"/>
          <w:lang w:val="en-GB"/>
        </w:rPr>
        <w:t>Furthermore, l</w:t>
      </w:r>
      <w:r w:rsidR="00B24250" w:rsidRPr="00E97479">
        <w:rPr>
          <w:rFonts w:ascii="Arial" w:eastAsia="Times New Roman" w:hAnsi="Arial" w:cs="Arial"/>
          <w:color w:val="auto"/>
          <w:kern w:val="0"/>
          <w:sz w:val="22"/>
          <w:szCs w:val="22"/>
          <w:lang w:val="en-GB"/>
        </w:rPr>
        <w:t xml:space="preserve">egal and </w:t>
      </w:r>
      <w:r w:rsidR="008B4975" w:rsidRPr="00E97479">
        <w:rPr>
          <w:rFonts w:ascii="Arial" w:eastAsia="Times New Roman" w:hAnsi="Arial" w:cs="Arial"/>
          <w:color w:val="auto"/>
          <w:kern w:val="0"/>
          <w:sz w:val="22"/>
          <w:szCs w:val="22"/>
          <w:lang w:val="en-GB"/>
        </w:rPr>
        <w:t>e</w:t>
      </w:r>
      <w:r w:rsidR="00B24250" w:rsidRPr="00E97479">
        <w:rPr>
          <w:rFonts w:ascii="Arial" w:eastAsia="Times New Roman" w:hAnsi="Arial" w:cs="Arial"/>
          <w:color w:val="auto"/>
          <w:kern w:val="0"/>
          <w:sz w:val="22"/>
          <w:szCs w:val="22"/>
          <w:lang w:val="en-GB"/>
        </w:rPr>
        <w:t xml:space="preserve">thical </w:t>
      </w:r>
      <w:r w:rsidR="008B4975" w:rsidRPr="00E97479">
        <w:rPr>
          <w:rFonts w:ascii="Arial" w:eastAsia="Times New Roman" w:hAnsi="Arial" w:cs="Arial"/>
          <w:color w:val="auto"/>
          <w:kern w:val="0"/>
          <w:sz w:val="22"/>
          <w:szCs w:val="22"/>
          <w:lang w:val="en-GB"/>
        </w:rPr>
        <w:t>r</w:t>
      </w:r>
      <w:r w:rsidR="00B24250" w:rsidRPr="00E97479">
        <w:rPr>
          <w:rFonts w:ascii="Arial" w:eastAsia="Times New Roman" w:hAnsi="Arial" w:cs="Arial"/>
          <w:color w:val="auto"/>
          <w:kern w:val="0"/>
          <w:sz w:val="22"/>
          <w:szCs w:val="22"/>
          <w:lang w:val="en-GB"/>
        </w:rPr>
        <w:t>esponsibilities</w:t>
      </w:r>
      <w:r w:rsidRPr="00E97479">
        <w:rPr>
          <w:rFonts w:ascii="Arial" w:eastAsia="Times New Roman" w:hAnsi="Arial" w:cs="Arial"/>
          <w:color w:val="auto"/>
          <w:kern w:val="0"/>
          <w:sz w:val="22"/>
          <w:szCs w:val="22"/>
          <w:lang w:val="en-GB"/>
        </w:rPr>
        <w:t xml:space="preserve"> </w:t>
      </w:r>
      <w:r w:rsidR="0066032A">
        <w:rPr>
          <w:rFonts w:ascii="Arial" w:eastAsia="Times New Roman" w:hAnsi="Arial" w:cs="Arial"/>
          <w:color w:val="auto"/>
          <w:kern w:val="0"/>
          <w:sz w:val="22"/>
          <w:szCs w:val="22"/>
          <w:lang w:val="en-GB"/>
        </w:rPr>
        <w:t>a</w:t>
      </w:r>
      <w:r w:rsidR="00B24250" w:rsidRPr="00E97479">
        <w:rPr>
          <w:rFonts w:ascii="Arial" w:eastAsia="Times New Roman" w:hAnsi="Arial" w:cs="Arial"/>
          <w:color w:val="auto"/>
          <w:kern w:val="0"/>
          <w:sz w:val="22"/>
          <w:szCs w:val="22"/>
          <w:lang w:val="en-GB"/>
        </w:rPr>
        <w:t xml:space="preserve">s a UK employer, Waitrose must comply with the Equality Act 2010 and demonstrate commitment to eliminating discrimination. </w:t>
      </w:r>
      <w:r w:rsidR="00B24250" w:rsidRPr="00E97479">
        <w:rPr>
          <w:rFonts w:ascii="Arial" w:eastAsia="Times New Roman" w:hAnsi="Arial" w:cs="Arial"/>
          <w:color w:val="auto"/>
          <w:kern w:val="0"/>
          <w:sz w:val="22"/>
          <w:szCs w:val="22"/>
          <w:lang w:val="en-GB"/>
        </w:rPr>
        <w:lastRenderedPageBreak/>
        <w:t>Transparent reporting, such as gender pay gap disclosures, supports accountability and public trust.</w:t>
      </w:r>
    </w:p>
    <w:p w14:paraId="65E3A2D3" w14:textId="77777777" w:rsidR="00B24250" w:rsidRPr="00E97479" w:rsidRDefault="00B24250" w:rsidP="0066032A">
      <w:pPr>
        <w:spacing w:after="0" w:line="360" w:lineRule="auto"/>
        <w:ind w:left="720" w:firstLine="0"/>
        <w:rPr>
          <w:rFonts w:ascii="Arial" w:hAnsi="Arial" w:cs="Arial"/>
          <w:sz w:val="22"/>
          <w:szCs w:val="22"/>
          <w:lang w:val="en-GB"/>
        </w:rPr>
      </w:pPr>
    </w:p>
    <w:p w14:paraId="6D8DB5F9" w14:textId="6595ED30" w:rsidR="006C23E4" w:rsidRPr="0066032A" w:rsidRDefault="00BF10B8" w:rsidP="00FA20B6">
      <w:pPr>
        <w:pStyle w:val="Heading1"/>
        <w:spacing w:line="360" w:lineRule="auto"/>
        <w:jc w:val="center"/>
        <w:rPr>
          <w:rFonts w:ascii="Arial" w:hAnsi="Arial" w:cs="Arial"/>
          <w:b/>
          <w:bCs/>
          <w:color w:val="auto"/>
          <w:szCs w:val="32"/>
          <w:lang w:val="en-GB"/>
        </w:rPr>
      </w:pPr>
      <w:bookmarkStart w:id="16" w:name="_Toc11993"/>
      <w:bookmarkStart w:id="17" w:name="_Toc223898306"/>
      <w:bookmarkStart w:id="18" w:name="_Toc224149239"/>
      <w:bookmarkStart w:id="19" w:name="_Toc224149806"/>
      <w:r w:rsidRPr="0066032A">
        <w:rPr>
          <w:rFonts w:ascii="Arial" w:hAnsi="Arial" w:cs="Arial"/>
          <w:b/>
          <w:bCs/>
          <w:color w:val="auto"/>
          <w:szCs w:val="32"/>
          <w:lang w:val="en-GB"/>
        </w:rPr>
        <w:t xml:space="preserve">3 </w:t>
      </w:r>
      <w:r w:rsidR="00037A50" w:rsidRPr="0066032A">
        <w:rPr>
          <w:rFonts w:ascii="Arial" w:hAnsi="Arial" w:cs="Arial"/>
          <w:b/>
          <w:bCs/>
          <w:color w:val="auto"/>
          <w:szCs w:val="32"/>
          <w:lang w:val="en-GB"/>
        </w:rPr>
        <w:t xml:space="preserve">– </w:t>
      </w:r>
      <w:bookmarkEnd w:id="16"/>
      <w:bookmarkEnd w:id="17"/>
      <w:r w:rsidR="003F434E" w:rsidRPr="0066032A">
        <w:rPr>
          <w:rFonts w:ascii="Arial" w:hAnsi="Arial" w:cs="Arial"/>
          <w:b/>
          <w:bCs/>
          <w:color w:val="auto"/>
          <w:szCs w:val="32"/>
          <w:lang w:val="en-GB"/>
        </w:rPr>
        <w:t>Evaluation of contemporary HR practices to address key factors.</w:t>
      </w:r>
      <w:bookmarkEnd w:id="18"/>
      <w:bookmarkEnd w:id="19"/>
    </w:p>
    <w:tbl>
      <w:tblPr>
        <w:tblStyle w:val="TableGrid"/>
        <w:tblW w:w="0" w:type="auto"/>
        <w:tblLook w:val="04A0" w:firstRow="1" w:lastRow="0" w:firstColumn="1" w:lastColumn="0" w:noHBand="0" w:noVBand="1"/>
      </w:tblPr>
      <w:tblGrid>
        <w:gridCol w:w="1662"/>
        <w:gridCol w:w="3240"/>
        <w:gridCol w:w="4167"/>
      </w:tblGrid>
      <w:tr w:rsidR="00534DCA" w:rsidRPr="00E97479" w14:paraId="50484DB1" w14:textId="77777777" w:rsidTr="00D83ED7">
        <w:trPr>
          <w:trHeight w:val="300"/>
        </w:trPr>
        <w:tc>
          <w:tcPr>
            <w:tcW w:w="1662" w:type="dxa"/>
            <w:noWrap/>
            <w:hideMark/>
          </w:tcPr>
          <w:p w14:paraId="2ED8D05E" w14:textId="77777777" w:rsidR="00534DCA" w:rsidRPr="00E97479" w:rsidRDefault="00534DCA" w:rsidP="00776A73">
            <w:pPr>
              <w:spacing w:line="360" w:lineRule="auto"/>
              <w:rPr>
                <w:rFonts w:ascii="Arial" w:hAnsi="Arial" w:cs="Arial"/>
                <w:b/>
                <w:bCs/>
                <w:sz w:val="22"/>
                <w:szCs w:val="22"/>
              </w:rPr>
            </w:pPr>
            <w:r w:rsidRPr="00E97479">
              <w:rPr>
                <w:rFonts w:ascii="Arial" w:hAnsi="Arial" w:cs="Arial"/>
                <w:b/>
                <w:bCs/>
                <w:sz w:val="22"/>
                <w:szCs w:val="22"/>
              </w:rPr>
              <w:t>Practice</w:t>
            </w:r>
          </w:p>
        </w:tc>
        <w:tc>
          <w:tcPr>
            <w:tcW w:w="3240" w:type="dxa"/>
            <w:noWrap/>
            <w:hideMark/>
          </w:tcPr>
          <w:p w14:paraId="4EBE829C" w14:textId="77777777" w:rsidR="00534DCA" w:rsidRPr="00E97479" w:rsidRDefault="00534DCA" w:rsidP="00776A73">
            <w:pPr>
              <w:spacing w:line="360" w:lineRule="auto"/>
              <w:rPr>
                <w:rFonts w:ascii="Arial" w:hAnsi="Arial" w:cs="Arial"/>
                <w:b/>
                <w:bCs/>
                <w:sz w:val="22"/>
                <w:szCs w:val="22"/>
              </w:rPr>
            </w:pPr>
            <w:r w:rsidRPr="00E97479">
              <w:rPr>
                <w:rFonts w:ascii="Arial" w:hAnsi="Arial" w:cs="Arial"/>
                <w:b/>
                <w:bCs/>
                <w:sz w:val="22"/>
                <w:szCs w:val="22"/>
              </w:rPr>
              <w:t>Concise Description</w:t>
            </w:r>
          </w:p>
        </w:tc>
        <w:tc>
          <w:tcPr>
            <w:tcW w:w="4167" w:type="dxa"/>
            <w:noWrap/>
            <w:hideMark/>
          </w:tcPr>
          <w:p w14:paraId="7DA57A0D" w14:textId="77777777" w:rsidR="00534DCA" w:rsidRPr="00E97479" w:rsidRDefault="00534DCA" w:rsidP="00776A73">
            <w:pPr>
              <w:spacing w:line="360" w:lineRule="auto"/>
              <w:rPr>
                <w:rFonts w:ascii="Arial" w:hAnsi="Arial" w:cs="Arial"/>
                <w:b/>
                <w:bCs/>
                <w:sz w:val="22"/>
                <w:szCs w:val="22"/>
              </w:rPr>
            </w:pPr>
            <w:r w:rsidRPr="00E97479">
              <w:rPr>
                <w:rFonts w:ascii="Arial" w:hAnsi="Arial" w:cs="Arial"/>
                <w:b/>
                <w:bCs/>
                <w:sz w:val="22"/>
                <w:szCs w:val="22"/>
              </w:rPr>
              <w:t>Critical Evaluation</w:t>
            </w:r>
          </w:p>
        </w:tc>
      </w:tr>
      <w:tr w:rsidR="00534DCA" w:rsidRPr="00E97479" w14:paraId="12B268DD" w14:textId="77777777" w:rsidTr="00D83ED7">
        <w:trPr>
          <w:trHeight w:val="300"/>
        </w:trPr>
        <w:tc>
          <w:tcPr>
            <w:tcW w:w="1662" w:type="dxa"/>
            <w:noWrap/>
            <w:hideMark/>
          </w:tcPr>
          <w:p w14:paraId="00D95AA4"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Digital Learning Platforms</w:t>
            </w:r>
          </w:p>
        </w:tc>
        <w:tc>
          <w:tcPr>
            <w:tcW w:w="3240" w:type="dxa"/>
            <w:noWrap/>
            <w:hideMark/>
          </w:tcPr>
          <w:p w14:paraId="2D77092A" w14:textId="0735CA4C"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Use of microlearning and AI tools for continuous upskilling.</w:t>
            </w:r>
          </w:p>
        </w:tc>
        <w:tc>
          <w:tcPr>
            <w:tcW w:w="4167" w:type="dxa"/>
            <w:noWrap/>
            <w:hideMark/>
          </w:tcPr>
          <w:p w14:paraId="4AA763F4"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Scalable and data</w:t>
            </w:r>
            <w:r w:rsidRPr="00E97479">
              <w:rPr>
                <w:rFonts w:ascii="Arial" w:hAnsi="Arial" w:cs="Arial"/>
                <w:sz w:val="22"/>
                <w:szCs w:val="22"/>
                <w:lang w:val="en-GB"/>
              </w:rPr>
              <w:noBreakHyphen/>
              <w:t>driven; requires investment and may disadvantage low digital</w:t>
            </w:r>
            <w:r w:rsidRPr="00E97479">
              <w:rPr>
                <w:rFonts w:ascii="Arial" w:hAnsi="Arial" w:cs="Arial"/>
                <w:sz w:val="22"/>
                <w:szCs w:val="22"/>
                <w:lang w:val="en-GB"/>
              </w:rPr>
              <w:noBreakHyphen/>
              <w:t>confidence staff.</w:t>
            </w:r>
          </w:p>
        </w:tc>
      </w:tr>
      <w:tr w:rsidR="00534DCA" w:rsidRPr="00E97479" w14:paraId="78BFCB11" w14:textId="77777777" w:rsidTr="00D83ED7">
        <w:trPr>
          <w:trHeight w:val="300"/>
        </w:trPr>
        <w:tc>
          <w:tcPr>
            <w:tcW w:w="1662" w:type="dxa"/>
            <w:noWrap/>
            <w:hideMark/>
          </w:tcPr>
          <w:p w14:paraId="00B8DA8E"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Change Management Frameworks</w:t>
            </w:r>
          </w:p>
        </w:tc>
        <w:tc>
          <w:tcPr>
            <w:tcW w:w="3240" w:type="dxa"/>
            <w:noWrap/>
            <w:hideMark/>
          </w:tcPr>
          <w:p w14:paraId="4EA52AE3" w14:textId="3EA3554C"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Structured models to support technological adoption.</w:t>
            </w:r>
          </w:p>
        </w:tc>
        <w:tc>
          <w:tcPr>
            <w:tcW w:w="4167" w:type="dxa"/>
            <w:noWrap/>
            <w:hideMark/>
          </w:tcPr>
          <w:p w14:paraId="316B343D"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Reduces resistance and improves communication; requires sustained leadership and time.</w:t>
            </w:r>
          </w:p>
        </w:tc>
      </w:tr>
      <w:tr w:rsidR="00534DCA" w:rsidRPr="00E97479" w14:paraId="075C1B9B" w14:textId="77777777" w:rsidTr="00D83ED7">
        <w:trPr>
          <w:trHeight w:val="300"/>
        </w:trPr>
        <w:tc>
          <w:tcPr>
            <w:tcW w:w="1662" w:type="dxa"/>
            <w:noWrap/>
            <w:hideMark/>
          </w:tcPr>
          <w:p w14:paraId="11029FAD"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Data</w:t>
            </w:r>
            <w:r w:rsidRPr="00E97479">
              <w:rPr>
                <w:rFonts w:ascii="Arial" w:hAnsi="Arial" w:cs="Arial"/>
                <w:sz w:val="22"/>
                <w:szCs w:val="22"/>
              </w:rPr>
              <w:noBreakHyphen/>
              <w:t>Driven Recruitment</w:t>
            </w:r>
          </w:p>
        </w:tc>
        <w:tc>
          <w:tcPr>
            <w:tcW w:w="3240" w:type="dxa"/>
            <w:noWrap/>
            <w:hideMark/>
          </w:tcPr>
          <w:p w14:paraId="2CB47AED"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AI</w:t>
            </w:r>
            <w:r w:rsidRPr="00E97479">
              <w:rPr>
                <w:rFonts w:ascii="Arial" w:hAnsi="Arial" w:cs="Arial"/>
                <w:sz w:val="22"/>
                <w:szCs w:val="22"/>
                <w:lang w:val="en-GB"/>
              </w:rPr>
              <w:noBreakHyphen/>
              <w:t>enabled screening and predictive hiring tools.</w:t>
            </w:r>
          </w:p>
        </w:tc>
        <w:tc>
          <w:tcPr>
            <w:tcW w:w="4167" w:type="dxa"/>
            <w:noWrap/>
            <w:hideMark/>
          </w:tcPr>
          <w:p w14:paraId="22DCB017"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Increases efficiency and accuracy; risk of algorithmic bias if not monitored.</w:t>
            </w:r>
          </w:p>
        </w:tc>
      </w:tr>
      <w:tr w:rsidR="00534DCA" w:rsidRPr="00E97479" w14:paraId="4AD15BBF" w14:textId="77777777" w:rsidTr="00D83ED7">
        <w:trPr>
          <w:trHeight w:val="300"/>
        </w:trPr>
        <w:tc>
          <w:tcPr>
            <w:tcW w:w="1662" w:type="dxa"/>
            <w:noWrap/>
            <w:hideMark/>
          </w:tcPr>
          <w:p w14:paraId="739BB417"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Flexible Working &amp; Wellbeing</w:t>
            </w:r>
          </w:p>
        </w:tc>
        <w:tc>
          <w:tcPr>
            <w:tcW w:w="3240" w:type="dxa"/>
            <w:noWrap/>
            <w:hideMark/>
          </w:tcPr>
          <w:p w14:paraId="3758CBB2"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Initiatives supporting work</w:t>
            </w:r>
            <w:r w:rsidRPr="00E97479">
              <w:rPr>
                <w:rFonts w:ascii="Arial" w:hAnsi="Arial" w:cs="Arial"/>
                <w:sz w:val="22"/>
                <w:szCs w:val="22"/>
                <w:lang w:val="en-GB"/>
              </w:rPr>
              <w:noBreakHyphen/>
              <w:t>life balance and mental health.</w:t>
            </w:r>
          </w:p>
        </w:tc>
        <w:tc>
          <w:tcPr>
            <w:tcW w:w="4167" w:type="dxa"/>
            <w:noWrap/>
            <w:hideMark/>
          </w:tcPr>
          <w:p w14:paraId="648B3085"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Improves retention; challenging to balance with operational demands.</w:t>
            </w:r>
          </w:p>
        </w:tc>
      </w:tr>
      <w:tr w:rsidR="00534DCA" w:rsidRPr="00E97479" w14:paraId="082ADBA1" w14:textId="77777777" w:rsidTr="00D83ED7">
        <w:trPr>
          <w:trHeight w:val="300"/>
        </w:trPr>
        <w:tc>
          <w:tcPr>
            <w:tcW w:w="1662" w:type="dxa"/>
            <w:noWrap/>
            <w:hideMark/>
          </w:tcPr>
          <w:p w14:paraId="5CB98AC6"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Career Pathways &amp; Internal Mobility</w:t>
            </w:r>
          </w:p>
        </w:tc>
        <w:tc>
          <w:tcPr>
            <w:tcW w:w="3240" w:type="dxa"/>
            <w:noWrap/>
            <w:hideMark/>
          </w:tcPr>
          <w:p w14:paraId="550DA658"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Structured progression routes and internal promotions.</w:t>
            </w:r>
          </w:p>
        </w:tc>
        <w:tc>
          <w:tcPr>
            <w:tcW w:w="4167" w:type="dxa"/>
            <w:noWrap/>
            <w:hideMark/>
          </w:tcPr>
          <w:p w14:paraId="07B364B3"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Reduces turnover; requires investment in training and mentoring.</w:t>
            </w:r>
          </w:p>
        </w:tc>
      </w:tr>
      <w:tr w:rsidR="00534DCA" w:rsidRPr="00E97479" w14:paraId="1547378D" w14:textId="77777777" w:rsidTr="00D83ED7">
        <w:trPr>
          <w:trHeight w:val="300"/>
        </w:trPr>
        <w:tc>
          <w:tcPr>
            <w:tcW w:w="1662" w:type="dxa"/>
            <w:noWrap/>
            <w:hideMark/>
          </w:tcPr>
          <w:p w14:paraId="6F387698"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Inclusive Recruitment</w:t>
            </w:r>
          </w:p>
        </w:tc>
        <w:tc>
          <w:tcPr>
            <w:tcW w:w="3240" w:type="dxa"/>
            <w:noWrap/>
            <w:hideMark/>
          </w:tcPr>
          <w:p w14:paraId="642A8D84"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Anonymous screening, structured interviews and diverse panels.</w:t>
            </w:r>
          </w:p>
        </w:tc>
        <w:tc>
          <w:tcPr>
            <w:tcW w:w="4167" w:type="dxa"/>
            <w:noWrap/>
            <w:hideMark/>
          </w:tcPr>
          <w:p w14:paraId="4F83FB29"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Reduces bias and broadens talent pool; ineffective without inclusive culture.</w:t>
            </w:r>
          </w:p>
        </w:tc>
      </w:tr>
      <w:tr w:rsidR="00534DCA" w:rsidRPr="00E97479" w14:paraId="3CA57E85" w14:textId="77777777" w:rsidTr="00D83ED7">
        <w:trPr>
          <w:trHeight w:val="300"/>
        </w:trPr>
        <w:tc>
          <w:tcPr>
            <w:tcW w:w="1662" w:type="dxa"/>
            <w:noWrap/>
            <w:hideMark/>
          </w:tcPr>
          <w:p w14:paraId="682AE606"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DEI Training</w:t>
            </w:r>
          </w:p>
        </w:tc>
        <w:tc>
          <w:tcPr>
            <w:tcW w:w="3240" w:type="dxa"/>
            <w:noWrap/>
            <w:hideMark/>
          </w:tcPr>
          <w:p w14:paraId="50C77129"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Ongoing training on bias, cultural competence and inclusive leadership.</w:t>
            </w:r>
          </w:p>
        </w:tc>
        <w:tc>
          <w:tcPr>
            <w:tcW w:w="4167" w:type="dxa"/>
            <w:noWrap/>
            <w:hideMark/>
          </w:tcPr>
          <w:p w14:paraId="0E4D0AD6"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Supports cultural change; insufficient without accountability mechanisms.</w:t>
            </w:r>
          </w:p>
        </w:tc>
      </w:tr>
      <w:tr w:rsidR="00534DCA" w:rsidRPr="00E97479" w14:paraId="6D3BA157" w14:textId="77777777" w:rsidTr="00D83ED7">
        <w:trPr>
          <w:trHeight w:val="300"/>
        </w:trPr>
        <w:tc>
          <w:tcPr>
            <w:tcW w:w="1662" w:type="dxa"/>
            <w:noWrap/>
            <w:hideMark/>
          </w:tcPr>
          <w:p w14:paraId="4E94EBE7" w14:textId="77777777" w:rsidR="00534DCA" w:rsidRPr="00E97479" w:rsidRDefault="00534DCA" w:rsidP="00776A73">
            <w:pPr>
              <w:spacing w:line="360" w:lineRule="auto"/>
              <w:rPr>
                <w:rFonts w:ascii="Arial" w:hAnsi="Arial" w:cs="Arial"/>
                <w:sz w:val="22"/>
                <w:szCs w:val="22"/>
              </w:rPr>
            </w:pPr>
            <w:r w:rsidRPr="00E97479">
              <w:rPr>
                <w:rFonts w:ascii="Arial" w:hAnsi="Arial" w:cs="Arial"/>
                <w:sz w:val="22"/>
                <w:szCs w:val="22"/>
              </w:rPr>
              <w:t>DEI Metrics &amp; Transparency</w:t>
            </w:r>
          </w:p>
        </w:tc>
        <w:tc>
          <w:tcPr>
            <w:tcW w:w="3240" w:type="dxa"/>
            <w:noWrap/>
            <w:hideMark/>
          </w:tcPr>
          <w:p w14:paraId="422ACC7E"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Publication of diversity data and inclusion indicators.</w:t>
            </w:r>
          </w:p>
        </w:tc>
        <w:tc>
          <w:tcPr>
            <w:tcW w:w="4167" w:type="dxa"/>
            <w:noWrap/>
            <w:hideMark/>
          </w:tcPr>
          <w:p w14:paraId="7EF3E240" w14:textId="77777777" w:rsidR="00534DCA" w:rsidRPr="00E97479" w:rsidRDefault="00534DCA" w:rsidP="00776A73">
            <w:pPr>
              <w:spacing w:line="360" w:lineRule="auto"/>
              <w:rPr>
                <w:rFonts w:ascii="Arial" w:hAnsi="Arial" w:cs="Arial"/>
                <w:sz w:val="22"/>
                <w:szCs w:val="22"/>
                <w:lang w:val="en-GB"/>
              </w:rPr>
            </w:pPr>
            <w:r w:rsidRPr="00E97479">
              <w:rPr>
                <w:rFonts w:ascii="Arial" w:hAnsi="Arial" w:cs="Arial"/>
                <w:sz w:val="22"/>
                <w:szCs w:val="22"/>
                <w:lang w:val="en-GB"/>
              </w:rPr>
              <w:t>Builds trust and accountability; metrics require careful interpretation.</w:t>
            </w:r>
          </w:p>
        </w:tc>
      </w:tr>
    </w:tbl>
    <w:p w14:paraId="330B7F18" w14:textId="77777777" w:rsidR="00D63327" w:rsidRPr="00E97479" w:rsidRDefault="00D63327" w:rsidP="00776A73">
      <w:pPr>
        <w:spacing w:line="360" w:lineRule="auto"/>
        <w:rPr>
          <w:rFonts w:ascii="Arial" w:hAnsi="Arial" w:cs="Arial"/>
          <w:sz w:val="22"/>
          <w:szCs w:val="22"/>
          <w:lang w:val="en-GB"/>
        </w:rPr>
      </w:pPr>
    </w:p>
    <w:p w14:paraId="6D8DB604" w14:textId="2EEB196F" w:rsidR="006C23E4" w:rsidRPr="005A396F" w:rsidRDefault="007A6CEA" w:rsidP="00FA20B6">
      <w:pPr>
        <w:pStyle w:val="Heading1"/>
        <w:spacing w:line="360" w:lineRule="auto"/>
        <w:jc w:val="center"/>
        <w:rPr>
          <w:rFonts w:ascii="Arial" w:hAnsi="Arial" w:cs="Arial"/>
          <w:b/>
          <w:bCs/>
          <w:color w:val="auto"/>
          <w:szCs w:val="32"/>
          <w:lang w:val="en-GB"/>
        </w:rPr>
      </w:pPr>
      <w:bookmarkStart w:id="20" w:name="_Toc11994"/>
      <w:bookmarkStart w:id="21" w:name="_Toc223898307"/>
      <w:bookmarkStart w:id="22" w:name="_Toc224149240"/>
      <w:bookmarkStart w:id="23" w:name="_Toc224149807"/>
      <w:r w:rsidRPr="005A396F">
        <w:rPr>
          <w:rFonts w:ascii="Arial" w:hAnsi="Arial" w:cs="Arial"/>
          <w:b/>
          <w:bCs/>
          <w:color w:val="auto"/>
          <w:szCs w:val="32"/>
          <w:lang w:val="en-GB"/>
        </w:rPr>
        <w:lastRenderedPageBreak/>
        <w:t>4</w:t>
      </w:r>
      <w:r w:rsidR="00037A50" w:rsidRPr="005A396F">
        <w:rPr>
          <w:rFonts w:ascii="Arial" w:hAnsi="Arial" w:cs="Arial"/>
          <w:b/>
          <w:bCs/>
          <w:color w:val="auto"/>
          <w:szCs w:val="32"/>
          <w:lang w:val="en-GB"/>
        </w:rPr>
        <w:t xml:space="preserve"> </w:t>
      </w:r>
      <w:r w:rsidR="00DE3C28" w:rsidRPr="005A396F">
        <w:rPr>
          <w:rFonts w:ascii="Arial" w:hAnsi="Arial" w:cs="Arial"/>
          <w:b/>
          <w:bCs/>
          <w:color w:val="auto"/>
          <w:szCs w:val="32"/>
          <w:lang w:val="en-GB"/>
        </w:rPr>
        <w:t>–</w:t>
      </w:r>
      <w:r w:rsidR="00037A50" w:rsidRPr="005A396F">
        <w:rPr>
          <w:rFonts w:ascii="Arial" w:hAnsi="Arial" w:cs="Arial"/>
          <w:b/>
          <w:bCs/>
          <w:color w:val="auto"/>
          <w:szCs w:val="32"/>
          <w:lang w:val="en-GB"/>
        </w:rPr>
        <w:t xml:space="preserve"> </w:t>
      </w:r>
      <w:bookmarkEnd w:id="20"/>
      <w:bookmarkEnd w:id="21"/>
      <w:r w:rsidR="004F4C71" w:rsidRPr="005A396F">
        <w:rPr>
          <w:rFonts w:ascii="Arial" w:hAnsi="Arial" w:cs="Arial"/>
          <w:b/>
          <w:bCs/>
          <w:color w:val="auto"/>
          <w:szCs w:val="32"/>
          <w:lang w:val="en-GB"/>
        </w:rPr>
        <w:t>How to ensure that continuous practices are being implemented</w:t>
      </w:r>
      <w:bookmarkEnd w:id="22"/>
      <w:bookmarkEnd w:id="23"/>
    </w:p>
    <w:p w14:paraId="2AD6415E" w14:textId="77777777" w:rsidR="00ED6DDD" w:rsidRPr="00EA369A" w:rsidRDefault="00ED6DDD" w:rsidP="00EA369A">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The HR challenges faced by Waitrose &amp; Partners require departmental managers to act swiftly and strategically to embed contemporary HR practices. While HR provides the overarching framework, it is managers who operationalise these initiatives and influence their success (Armstrong and Taylor, 2023). Their ability to lead change, support employees, and model expected behaviours is central to ensuring urgent implementation.</w:t>
      </w:r>
    </w:p>
    <w:p w14:paraId="369CB843" w14:textId="77777777" w:rsidR="00A23AFB" w:rsidRPr="00EA369A" w:rsidRDefault="00A512F3" w:rsidP="00EA369A">
      <w:pPr>
        <w:spacing w:after="0" w:line="360" w:lineRule="auto"/>
        <w:jc w:val="both"/>
        <w:rPr>
          <w:rFonts w:ascii="Arial" w:hAnsi="Arial" w:cs="Arial"/>
          <w:sz w:val="22"/>
          <w:szCs w:val="22"/>
          <w:lang w:val="en-GB"/>
        </w:rPr>
      </w:pPr>
      <w:r w:rsidRPr="00EA369A">
        <w:rPr>
          <w:rFonts w:ascii="Arial" w:hAnsi="Arial" w:cs="Arial"/>
          <w:sz w:val="22"/>
          <w:szCs w:val="22"/>
          <w:lang w:val="en-GB"/>
        </w:rPr>
        <w:tab/>
      </w:r>
      <w:r w:rsidRPr="00EA369A">
        <w:rPr>
          <w:rFonts w:ascii="Arial" w:hAnsi="Arial" w:cs="Arial"/>
          <w:sz w:val="22"/>
          <w:szCs w:val="22"/>
          <w:lang w:val="en-GB"/>
        </w:rPr>
        <w:tab/>
        <w:t xml:space="preserve">A key area requiring immediate managerial intervention is the adoption of </w:t>
      </w:r>
      <w:r w:rsidRPr="00EA369A">
        <w:rPr>
          <w:rFonts w:ascii="Arial" w:hAnsi="Arial" w:cs="Arial"/>
          <w:sz w:val="22"/>
          <w:szCs w:val="22"/>
          <w:u w:val="single"/>
          <w:lang w:val="en-GB"/>
        </w:rPr>
        <w:t>technological advancements,</w:t>
      </w:r>
      <w:r w:rsidRPr="00EA369A">
        <w:rPr>
          <w:rFonts w:ascii="Arial" w:hAnsi="Arial" w:cs="Arial"/>
          <w:sz w:val="22"/>
          <w:szCs w:val="22"/>
          <w:lang w:val="en-GB"/>
        </w:rPr>
        <w:t xml:space="preserve"> particularly digital learning platforms and HR analytics. Managers must champion the use of Learning Management Systems (LMS) by integrating digital learning into daily routines, allocating protected time for staff to complete modules, and modelling engagement themselves. Without visible managerial commitment, uptake will remain inconsistent, especially among employees with low digital confidence. Managers also play a critical role in ensuring HR analytics are used effectively. </w:t>
      </w:r>
    </w:p>
    <w:p w14:paraId="2B679EEA" w14:textId="77777777" w:rsidR="00427BE7" w:rsidRPr="00EA369A" w:rsidRDefault="00A512F3" w:rsidP="00EA369A">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 xml:space="preserve">In relation to </w:t>
      </w:r>
      <w:r w:rsidRPr="00EA369A">
        <w:rPr>
          <w:rFonts w:ascii="Arial" w:hAnsi="Arial" w:cs="Arial"/>
          <w:sz w:val="22"/>
          <w:szCs w:val="22"/>
          <w:u w:val="single"/>
          <w:lang w:val="en-GB"/>
        </w:rPr>
        <w:t>talent acquisition and retention,</w:t>
      </w:r>
      <w:r w:rsidRPr="00EA369A">
        <w:rPr>
          <w:rFonts w:ascii="Arial" w:hAnsi="Arial" w:cs="Arial"/>
          <w:sz w:val="22"/>
          <w:szCs w:val="22"/>
          <w:lang w:val="en-GB"/>
        </w:rPr>
        <w:t xml:space="preserve"> departmental managers must actively reinforce the organisation’s Employee Value Proposition (EVP). While HR may design the EVP, managers bring it to life through everyday behaviours, communication, and team culture. To ensure urgent implementation, managers must align their practices with EVP promises—such as development opportunities, wellbeing support, and flexible working. Failure to do so risks undermining recruitment efforts and accelerating turnover. Managers must also ensure that data</w:t>
      </w:r>
      <w:r w:rsidRPr="00EA369A">
        <w:rPr>
          <w:rFonts w:ascii="Arial" w:hAnsi="Arial" w:cs="Arial"/>
          <w:sz w:val="22"/>
          <w:szCs w:val="22"/>
          <w:lang w:val="en-GB"/>
        </w:rPr>
        <w:noBreakHyphen/>
        <w:t>driven recruitment tools are used responsibly by providing feedback on candidate quality and monitoring for potential bias. Their frontline insight is essential for refining recruitment processes at speed.</w:t>
      </w:r>
    </w:p>
    <w:p w14:paraId="303C85C4" w14:textId="77777777" w:rsidR="00427BE7" w:rsidRPr="00EA369A" w:rsidRDefault="00A512F3" w:rsidP="00EA369A">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Retention practices, such as flexible scheduling and career pathways, also depend heavily on managerial action. Managers must balance operational demands with employee wellbeing by using fair, transparent scheduling systems and proactively identifying staff for progression. Urgency is required here because retail labour markets are highly competitive; delays in offering development or flexibility can quickly lead to attrition.</w:t>
      </w:r>
    </w:p>
    <w:p w14:paraId="0C545DFC" w14:textId="77777777" w:rsidR="00427BE7" w:rsidRPr="00EA369A" w:rsidRDefault="00A512F3" w:rsidP="00EA369A">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 xml:space="preserve">Addressing </w:t>
      </w:r>
      <w:r w:rsidRPr="00EA369A">
        <w:rPr>
          <w:rFonts w:ascii="Arial" w:hAnsi="Arial" w:cs="Arial"/>
          <w:sz w:val="22"/>
          <w:szCs w:val="22"/>
          <w:u w:val="single"/>
          <w:lang w:val="en-GB"/>
        </w:rPr>
        <w:t>Diversity, Equity and Inclusion (DEI)</w:t>
      </w:r>
      <w:r w:rsidRPr="00EA369A">
        <w:rPr>
          <w:rFonts w:ascii="Arial" w:hAnsi="Arial" w:cs="Arial"/>
          <w:sz w:val="22"/>
          <w:szCs w:val="22"/>
          <w:lang w:val="en-GB"/>
        </w:rPr>
        <w:t xml:space="preserve"> also </w:t>
      </w:r>
      <w:proofErr w:type="gramStart"/>
      <w:r w:rsidRPr="00EA369A">
        <w:rPr>
          <w:rFonts w:ascii="Arial" w:hAnsi="Arial" w:cs="Arial"/>
          <w:sz w:val="22"/>
          <w:szCs w:val="22"/>
          <w:lang w:val="en-GB"/>
        </w:rPr>
        <w:t>requires</w:t>
      </w:r>
      <w:proofErr w:type="gramEnd"/>
      <w:r w:rsidRPr="00EA369A">
        <w:rPr>
          <w:rFonts w:ascii="Arial" w:hAnsi="Arial" w:cs="Arial"/>
          <w:sz w:val="22"/>
          <w:szCs w:val="22"/>
          <w:lang w:val="en-GB"/>
        </w:rPr>
        <w:t xml:space="preserve"> strong managerial leadership. Inclusive recruitment practices—such as structured interviews and diverse panels—can only be implemented urgently if managers are trained, held accountable, and monitored for compliance. Managers must also reinforce DEI training by modelling inclusive behaviours and addressing inappropriate conduct immediately. Employee Resource Groups (ERGs) can only influence organisational policy if managers actively support participation and act on feedback. Furthermore, managers must engage with DEI metrics and reporting, using </w:t>
      </w:r>
      <w:r w:rsidRPr="00EA369A">
        <w:rPr>
          <w:rFonts w:ascii="Arial" w:hAnsi="Arial" w:cs="Arial"/>
          <w:sz w:val="22"/>
          <w:szCs w:val="22"/>
          <w:lang w:val="en-GB"/>
        </w:rPr>
        <w:lastRenderedPageBreak/>
        <w:t>data to identify disparities within their departments and implementing corrective actions without delay.</w:t>
      </w:r>
    </w:p>
    <w:p w14:paraId="20006B4E" w14:textId="48DE1EE7" w:rsidR="00A512F3" w:rsidRPr="00EA369A" w:rsidRDefault="00A512F3" w:rsidP="00EA369A">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 xml:space="preserve">Overall, departmental managers are the critical link between HR strategy and operational reality. Ensuring urgent implementation of contemporary practices requires them to demonstrate visible leadership, allocate resources, uphold accountability, and foster a culture that embraces modernisation. </w:t>
      </w:r>
    </w:p>
    <w:p w14:paraId="62FF317D" w14:textId="77777777" w:rsidR="0066032A" w:rsidRPr="00EA369A" w:rsidRDefault="0066032A" w:rsidP="00EA369A">
      <w:pPr>
        <w:spacing w:after="0" w:line="360" w:lineRule="auto"/>
        <w:ind w:firstLine="698"/>
        <w:jc w:val="both"/>
        <w:rPr>
          <w:rFonts w:ascii="Arial" w:hAnsi="Arial" w:cs="Arial"/>
          <w:sz w:val="22"/>
          <w:szCs w:val="22"/>
          <w:lang w:val="en-GB"/>
        </w:rPr>
      </w:pPr>
    </w:p>
    <w:p w14:paraId="6D8DB61C" w14:textId="49CEA08F" w:rsidR="006C23E4" w:rsidRPr="006025F7" w:rsidRDefault="00427BE7" w:rsidP="00FA20B6">
      <w:pPr>
        <w:pStyle w:val="Heading1"/>
        <w:spacing w:line="360" w:lineRule="auto"/>
        <w:jc w:val="center"/>
        <w:rPr>
          <w:rFonts w:ascii="Arial" w:hAnsi="Arial" w:cs="Arial"/>
          <w:b/>
          <w:bCs/>
          <w:color w:val="auto"/>
          <w:szCs w:val="32"/>
          <w:lang w:val="en-GB"/>
        </w:rPr>
      </w:pPr>
      <w:bookmarkStart w:id="24" w:name="_Toc223898310"/>
      <w:bookmarkStart w:id="25" w:name="_Toc224149241"/>
      <w:bookmarkStart w:id="26" w:name="_Toc224149808"/>
      <w:r w:rsidRPr="006025F7">
        <w:rPr>
          <w:rFonts w:ascii="Arial" w:hAnsi="Arial" w:cs="Arial"/>
          <w:b/>
          <w:bCs/>
          <w:color w:val="auto"/>
          <w:szCs w:val="32"/>
          <w:lang w:val="en-GB"/>
        </w:rPr>
        <w:t>5</w:t>
      </w:r>
      <w:r w:rsidR="00037A50" w:rsidRPr="006025F7">
        <w:rPr>
          <w:rFonts w:ascii="Arial" w:hAnsi="Arial" w:cs="Arial"/>
          <w:b/>
          <w:bCs/>
          <w:color w:val="auto"/>
          <w:szCs w:val="32"/>
          <w:lang w:val="en-GB"/>
        </w:rPr>
        <w:t xml:space="preserve"> – Recommendations</w:t>
      </w:r>
      <w:bookmarkEnd w:id="24"/>
      <w:bookmarkEnd w:id="25"/>
      <w:bookmarkEnd w:id="26"/>
    </w:p>
    <w:p w14:paraId="08C0636C" w14:textId="77777777" w:rsidR="00107CF6" w:rsidRPr="00EA369A" w:rsidRDefault="00107CF6" w:rsidP="00385627">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To ensure the urgent and effective implementation of contemporary HR practices across Waitrose &amp; Partners, the following recommendations are proposed:</w:t>
      </w:r>
    </w:p>
    <w:p w14:paraId="57B2CDDF" w14:textId="2C152856" w:rsidR="00107CF6" w:rsidRPr="00EA369A" w:rsidRDefault="003E0C97" w:rsidP="00385627">
      <w:pPr>
        <w:spacing w:after="0" w:line="360" w:lineRule="auto"/>
        <w:ind w:firstLine="698"/>
        <w:jc w:val="both"/>
        <w:rPr>
          <w:rFonts w:ascii="Arial" w:hAnsi="Arial" w:cs="Arial"/>
          <w:sz w:val="22"/>
          <w:szCs w:val="22"/>
          <w:u w:val="single"/>
          <w:lang w:val="en-GB"/>
        </w:rPr>
      </w:pPr>
      <w:r w:rsidRPr="00EA369A">
        <w:rPr>
          <w:rFonts w:ascii="Arial" w:hAnsi="Arial" w:cs="Arial"/>
          <w:sz w:val="22"/>
          <w:szCs w:val="22"/>
          <w:u w:val="single"/>
          <w:lang w:val="en-GB"/>
        </w:rPr>
        <w:t>I</w:t>
      </w:r>
      <w:r w:rsidR="00107CF6" w:rsidRPr="00EA369A">
        <w:rPr>
          <w:rFonts w:ascii="Arial" w:hAnsi="Arial" w:cs="Arial"/>
          <w:sz w:val="22"/>
          <w:szCs w:val="22"/>
          <w:u w:val="single"/>
          <w:lang w:val="en-GB"/>
        </w:rPr>
        <w:t>. Strengthen Managerial Capability Through Targeted Training</w:t>
      </w:r>
    </w:p>
    <w:p w14:paraId="0190C13A" w14:textId="77777777" w:rsidR="00107CF6" w:rsidRPr="00EA369A" w:rsidRDefault="00107CF6" w:rsidP="00385627">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Departmental managers should receive structured development in digital literacy, HR analytics, inclusive leadership, and change management. This will equip them to lead technological adoption, interpret workforce data, and model inclusive behaviours. Priority should be given to practical, scenario</w:t>
      </w:r>
      <w:r w:rsidRPr="00EA369A">
        <w:rPr>
          <w:rFonts w:ascii="Arial" w:hAnsi="Arial" w:cs="Arial"/>
          <w:sz w:val="22"/>
          <w:szCs w:val="22"/>
          <w:lang w:val="en-GB"/>
        </w:rPr>
        <w:noBreakHyphen/>
        <w:t>based training that reflects the realities of retail operations</w:t>
      </w:r>
    </w:p>
    <w:p w14:paraId="1C2E52E7" w14:textId="30552E50" w:rsidR="002003C7" w:rsidRPr="00EA369A" w:rsidRDefault="003E0C97" w:rsidP="00385627">
      <w:pPr>
        <w:spacing w:after="0" w:line="360" w:lineRule="auto"/>
        <w:ind w:firstLine="698"/>
        <w:jc w:val="both"/>
        <w:rPr>
          <w:rFonts w:ascii="Arial" w:hAnsi="Arial" w:cs="Arial"/>
          <w:sz w:val="22"/>
          <w:szCs w:val="22"/>
          <w:u w:val="single"/>
          <w:lang w:val="en-GB"/>
        </w:rPr>
      </w:pPr>
      <w:r w:rsidRPr="00EA369A">
        <w:rPr>
          <w:rFonts w:ascii="Arial" w:hAnsi="Arial" w:cs="Arial"/>
          <w:sz w:val="22"/>
          <w:szCs w:val="22"/>
          <w:u w:val="single"/>
          <w:lang w:val="en-GB"/>
        </w:rPr>
        <w:t>II</w:t>
      </w:r>
      <w:r w:rsidR="002003C7" w:rsidRPr="00EA369A">
        <w:rPr>
          <w:rFonts w:ascii="Arial" w:hAnsi="Arial" w:cs="Arial"/>
          <w:sz w:val="22"/>
          <w:szCs w:val="22"/>
          <w:u w:val="single"/>
          <w:lang w:val="en-GB"/>
        </w:rPr>
        <w:t>. Embed Accountability Mechanisms</w:t>
      </w:r>
    </w:p>
    <w:p w14:paraId="382F27D5" w14:textId="77777777" w:rsidR="002003C7" w:rsidRPr="00EA369A" w:rsidRDefault="002003C7" w:rsidP="00385627">
      <w:pPr>
        <w:spacing w:after="0" w:line="360" w:lineRule="auto"/>
        <w:ind w:firstLine="698"/>
        <w:jc w:val="both"/>
        <w:rPr>
          <w:rFonts w:ascii="Arial" w:hAnsi="Arial" w:cs="Arial"/>
          <w:sz w:val="22"/>
          <w:szCs w:val="22"/>
          <w:lang w:val="en-GB"/>
        </w:rPr>
      </w:pPr>
      <w:r w:rsidRPr="00EA369A">
        <w:rPr>
          <w:rFonts w:ascii="Arial" w:hAnsi="Arial" w:cs="Arial"/>
          <w:sz w:val="22"/>
          <w:szCs w:val="22"/>
          <w:lang w:val="en-GB"/>
        </w:rPr>
        <w:t>To accelerate implementation, Waitrose should integrate contemporary HR practices into managerial performance objectives. Metrics such as digital learning completion rates, retention figures, DEI outcomes, and internal mobility statistics should form part of regular performance reviews. This ensures managers remain accountable for driving change rather than relying solely on HR.</w:t>
      </w:r>
    </w:p>
    <w:p w14:paraId="0417EDE6" w14:textId="52647F5B" w:rsidR="002003C7" w:rsidRPr="00E1374E" w:rsidRDefault="003E0C97" w:rsidP="00385627">
      <w:pPr>
        <w:spacing w:after="0" w:line="360" w:lineRule="auto"/>
        <w:ind w:firstLine="698"/>
        <w:jc w:val="both"/>
        <w:rPr>
          <w:rFonts w:ascii="Arial" w:hAnsi="Arial" w:cs="Arial"/>
          <w:sz w:val="22"/>
          <w:szCs w:val="22"/>
          <w:u w:val="single"/>
          <w:lang w:val="en-GB"/>
        </w:rPr>
      </w:pPr>
      <w:r w:rsidRPr="00E1374E">
        <w:rPr>
          <w:rFonts w:ascii="Arial" w:hAnsi="Arial" w:cs="Arial"/>
          <w:sz w:val="22"/>
          <w:szCs w:val="22"/>
          <w:u w:val="single"/>
          <w:lang w:val="en-GB"/>
        </w:rPr>
        <w:t>III</w:t>
      </w:r>
      <w:r w:rsidR="002003C7" w:rsidRPr="00E1374E">
        <w:rPr>
          <w:rFonts w:ascii="Arial" w:hAnsi="Arial" w:cs="Arial"/>
          <w:sz w:val="22"/>
          <w:szCs w:val="22"/>
          <w:u w:val="single"/>
          <w:lang w:val="en-GB"/>
        </w:rPr>
        <w:t>. Enhance Communication and Change Readiness</w:t>
      </w:r>
    </w:p>
    <w:p w14:paraId="18F0AFB4" w14:textId="1BD7C3DF" w:rsidR="002003C7" w:rsidRPr="00E1374E" w:rsidRDefault="002003C7" w:rsidP="00385627">
      <w:pPr>
        <w:spacing w:after="0" w:line="360" w:lineRule="auto"/>
        <w:ind w:firstLine="698"/>
        <w:jc w:val="both"/>
        <w:rPr>
          <w:rFonts w:ascii="Arial" w:hAnsi="Arial" w:cs="Arial"/>
          <w:sz w:val="22"/>
          <w:szCs w:val="22"/>
          <w:lang w:val="en-GB"/>
        </w:rPr>
      </w:pPr>
      <w:r w:rsidRPr="00E1374E">
        <w:rPr>
          <w:rFonts w:ascii="Arial" w:hAnsi="Arial" w:cs="Arial"/>
          <w:sz w:val="22"/>
          <w:szCs w:val="22"/>
          <w:lang w:val="en-GB"/>
        </w:rPr>
        <w:t>Managers must be supported with clear communication toolkits explaining the purpose, benefits, and expectations of new HR initiatives. Regular briefings, FAQs, and manager</w:t>
      </w:r>
      <w:r w:rsidRPr="00E1374E">
        <w:rPr>
          <w:rFonts w:ascii="Cambria Math" w:hAnsi="Cambria Math" w:cs="Cambria Math"/>
          <w:sz w:val="22"/>
          <w:szCs w:val="22"/>
          <w:lang w:val="en-GB"/>
        </w:rPr>
        <w:t>‑</w:t>
      </w:r>
      <w:r w:rsidRPr="00E1374E">
        <w:rPr>
          <w:rFonts w:ascii="Arial" w:hAnsi="Arial" w:cs="Arial"/>
          <w:sz w:val="22"/>
          <w:szCs w:val="22"/>
          <w:lang w:val="en-GB"/>
        </w:rPr>
        <w:t>led team discussions will help build urgency and reduce resistance. Communication should emphasise how these practices improve customer service, operational efficiency, and employee experience.</w:t>
      </w:r>
    </w:p>
    <w:p w14:paraId="77D045BF" w14:textId="022BBA3F" w:rsidR="002003C7" w:rsidRPr="00E1374E" w:rsidRDefault="003E0C97" w:rsidP="00385627">
      <w:pPr>
        <w:spacing w:after="0" w:line="360" w:lineRule="auto"/>
        <w:ind w:firstLine="698"/>
        <w:jc w:val="both"/>
        <w:rPr>
          <w:rFonts w:ascii="Arial" w:hAnsi="Arial" w:cs="Arial"/>
          <w:sz w:val="22"/>
          <w:szCs w:val="22"/>
          <w:u w:val="single"/>
          <w:lang w:val="en-GB"/>
        </w:rPr>
      </w:pPr>
      <w:r w:rsidRPr="00E1374E">
        <w:rPr>
          <w:rFonts w:ascii="Arial" w:hAnsi="Arial" w:cs="Arial"/>
          <w:sz w:val="22"/>
          <w:szCs w:val="22"/>
          <w:u w:val="single"/>
          <w:lang w:val="en-GB"/>
        </w:rPr>
        <w:t>IV</w:t>
      </w:r>
      <w:r w:rsidR="002003C7" w:rsidRPr="00E1374E">
        <w:rPr>
          <w:rFonts w:ascii="Arial" w:hAnsi="Arial" w:cs="Arial"/>
          <w:sz w:val="22"/>
          <w:szCs w:val="22"/>
          <w:u w:val="single"/>
          <w:lang w:val="en-GB"/>
        </w:rPr>
        <w:t>. Strengthen Collaboration Between HR and Store Managers</w:t>
      </w:r>
    </w:p>
    <w:p w14:paraId="0C10A9C6" w14:textId="77777777" w:rsidR="002003C7" w:rsidRPr="00E1374E" w:rsidRDefault="002003C7" w:rsidP="005C15BE">
      <w:pPr>
        <w:spacing w:after="0" w:line="360" w:lineRule="auto"/>
        <w:ind w:firstLine="698"/>
        <w:jc w:val="both"/>
        <w:rPr>
          <w:rFonts w:ascii="Arial" w:hAnsi="Arial" w:cs="Arial"/>
          <w:sz w:val="22"/>
          <w:szCs w:val="22"/>
          <w:lang w:val="en-GB"/>
        </w:rPr>
      </w:pPr>
      <w:r w:rsidRPr="00E1374E">
        <w:rPr>
          <w:rFonts w:ascii="Arial" w:hAnsi="Arial" w:cs="Arial"/>
          <w:sz w:val="22"/>
          <w:szCs w:val="22"/>
          <w:lang w:val="en-GB"/>
        </w:rPr>
        <w:t>A partnership model should be adopted where HR provides strategic guidance and managers provide operational insight. Regular cross</w:t>
      </w:r>
      <w:r w:rsidRPr="00E1374E">
        <w:rPr>
          <w:rFonts w:ascii="Arial" w:hAnsi="Arial" w:cs="Arial"/>
          <w:sz w:val="22"/>
          <w:szCs w:val="22"/>
          <w:lang w:val="en-GB"/>
        </w:rPr>
        <w:noBreakHyphen/>
        <w:t>functional meetings, shared dashboards, and joint problem</w:t>
      </w:r>
      <w:r w:rsidRPr="00E1374E">
        <w:rPr>
          <w:rFonts w:ascii="Arial" w:hAnsi="Arial" w:cs="Arial"/>
          <w:sz w:val="22"/>
          <w:szCs w:val="22"/>
          <w:lang w:val="en-GB"/>
        </w:rPr>
        <w:noBreakHyphen/>
        <w:t>solving sessions will ensure that contemporary practices are adapted to the realities of each store and implemented consistently.</w:t>
      </w:r>
    </w:p>
    <w:p w14:paraId="06B356FE" w14:textId="7C841235" w:rsidR="00693C16" w:rsidRPr="00E1374E" w:rsidRDefault="003E0C97" w:rsidP="00385627">
      <w:pPr>
        <w:spacing w:after="0" w:line="360" w:lineRule="auto"/>
        <w:ind w:firstLine="698"/>
        <w:jc w:val="both"/>
        <w:rPr>
          <w:rFonts w:ascii="Arial" w:hAnsi="Arial" w:cs="Arial"/>
          <w:sz w:val="22"/>
          <w:szCs w:val="22"/>
          <w:u w:val="single"/>
          <w:lang w:val="en-GB"/>
        </w:rPr>
      </w:pPr>
      <w:r w:rsidRPr="00E1374E">
        <w:rPr>
          <w:rFonts w:ascii="Arial" w:hAnsi="Arial" w:cs="Arial"/>
          <w:sz w:val="22"/>
          <w:szCs w:val="22"/>
          <w:u w:val="single"/>
          <w:lang w:val="en-GB"/>
        </w:rPr>
        <w:t>V</w:t>
      </w:r>
      <w:r w:rsidR="00693C16" w:rsidRPr="00E1374E">
        <w:rPr>
          <w:rFonts w:ascii="Arial" w:hAnsi="Arial" w:cs="Arial"/>
          <w:sz w:val="22"/>
          <w:szCs w:val="22"/>
          <w:u w:val="single"/>
          <w:lang w:val="en-GB"/>
        </w:rPr>
        <w:t>. Empower Employee Voice and Participation</w:t>
      </w:r>
    </w:p>
    <w:p w14:paraId="291CF65D" w14:textId="37F791E1" w:rsidR="00693C16" w:rsidRPr="00E1374E" w:rsidRDefault="00693C16" w:rsidP="005C15BE">
      <w:pPr>
        <w:spacing w:after="0" w:line="360" w:lineRule="auto"/>
        <w:ind w:firstLine="698"/>
        <w:jc w:val="both"/>
        <w:rPr>
          <w:rFonts w:ascii="Arial" w:hAnsi="Arial" w:cs="Arial"/>
          <w:sz w:val="22"/>
          <w:szCs w:val="22"/>
          <w:lang w:val="en-GB"/>
        </w:rPr>
      </w:pPr>
      <w:r w:rsidRPr="00E1374E">
        <w:rPr>
          <w:rFonts w:ascii="Arial" w:hAnsi="Arial" w:cs="Arial"/>
          <w:sz w:val="22"/>
          <w:szCs w:val="22"/>
          <w:lang w:val="en-GB"/>
        </w:rPr>
        <w:t>Managers should actively involve employees in shaping new practices through feedback sessions</w:t>
      </w:r>
      <w:r w:rsidR="005E36D0" w:rsidRPr="00E1374E">
        <w:rPr>
          <w:rFonts w:ascii="Arial" w:hAnsi="Arial" w:cs="Arial"/>
          <w:sz w:val="22"/>
          <w:szCs w:val="22"/>
          <w:lang w:val="en-GB"/>
        </w:rPr>
        <w:t xml:space="preserve"> and</w:t>
      </w:r>
      <w:r w:rsidRPr="00E1374E">
        <w:rPr>
          <w:rFonts w:ascii="Arial" w:hAnsi="Arial" w:cs="Arial"/>
          <w:sz w:val="22"/>
          <w:szCs w:val="22"/>
          <w:lang w:val="en-GB"/>
        </w:rPr>
        <w:t xml:space="preserve"> pulse surveys. This increases buy</w:t>
      </w:r>
      <w:r w:rsidRPr="00E1374E">
        <w:rPr>
          <w:rFonts w:ascii="Arial" w:hAnsi="Arial" w:cs="Arial"/>
          <w:sz w:val="22"/>
          <w:szCs w:val="22"/>
          <w:lang w:val="en-GB"/>
        </w:rPr>
        <w:noBreakHyphen/>
        <w:t xml:space="preserve">in and ensures that initiatives reflect </w:t>
      </w:r>
      <w:r w:rsidRPr="00E1374E">
        <w:rPr>
          <w:rFonts w:ascii="Arial" w:hAnsi="Arial" w:cs="Arial"/>
          <w:sz w:val="22"/>
          <w:szCs w:val="22"/>
          <w:lang w:val="en-GB"/>
        </w:rPr>
        <w:lastRenderedPageBreak/>
        <w:t>the needs of diverse teams. Managers must demonstrate responsiveness by acting on feedback quickly.</w:t>
      </w:r>
    </w:p>
    <w:p w14:paraId="57240814" w14:textId="0242E39F" w:rsidR="00693C16" w:rsidRPr="00E1374E" w:rsidRDefault="003E0C97" w:rsidP="00385627">
      <w:pPr>
        <w:spacing w:after="0" w:line="360" w:lineRule="auto"/>
        <w:ind w:firstLine="698"/>
        <w:rPr>
          <w:rFonts w:ascii="Arial" w:hAnsi="Arial" w:cs="Arial"/>
          <w:sz w:val="22"/>
          <w:szCs w:val="22"/>
          <w:u w:val="single"/>
          <w:lang w:val="en-GB"/>
        </w:rPr>
      </w:pPr>
      <w:r w:rsidRPr="00E1374E">
        <w:rPr>
          <w:rFonts w:ascii="Arial" w:hAnsi="Arial" w:cs="Arial"/>
          <w:sz w:val="22"/>
          <w:szCs w:val="22"/>
          <w:u w:val="single"/>
          <w:lang w:val="en-GB"/>
        </w:rPr>
        <w:t>VI</w:t>
      </w:r>
      <w:r w:rsidR="00693C16" w:rsidRPr="00E1374E">
        <w:rPr>
          <w:rFonts w:ascii="Arial" w:hAnsi="Arial" w:cs="Arial"/>
          <w:sz w:val="22"/>
          <w:szCs w:val="22"/>
          <w:u w:val="single"/>
          <w:lang w:val="en-GB"/>
        </w:rPr>
        <w:t xml:space="preserve">. Prioritise Authenticity in </w:t>
      </w:r>
      <w:r w:rsidR="00346C81" w:rsidRPr="00E1374E">
        <w:rPr>
          <w:rFonts w:ascii="Arial" w:hAnsi="Arial" w:cs="Arial"/>
          <w:sz w:val="22"/>
          <w:szCs w:val="22"/>
          <w:u w:val="single"/>
          <w:lang w:val="en-GB"/>
        </w:rPr>
        <w:t>Employee Value Proposition (</w:t>
      </w:r>
      <w:r w:rsidR="00693C16" w:rsidRPr="00E1374E">
        <w:rPr>
          <w:rFonts w:ascii="Arial" w:hAnsi="Arial" w:cs="Arial"/>
          <w:sz w:val="22"/>
          <w:szCs w:val="22"/>
          <w:u w:val="single"/>
          <w:lang w:val="en-GB"/>
        </w:rPr>
        <w:t>EVP</w:t>
      </w:r>
      <w:r w:rsidR="00346C81" w:rsidRPr="00E1374E">
        <w:rPr>
          <w:rFonts w:ascii="Arial" w:hAnsi="Arial" w:cs="Arial"/>
          <w:sz w:val="22"/>
          <w:szCs w:val="22"/>
          <w:u w:val="single"/>
          <w:lang w:val="en-GB"/>
        </w:rPr>
        <w:t>)</w:t>
      </w:r>
      <w:r w:rsidR="00693C16" w:rsidRPr="00E1374E">
        <w:rPr>
          <w:rFonts w:ascii="Arial" w:hAnsi="Arial" w:cs="Arial"/>
          <w:sz w:val="22"/>
          <w:szCs w:val="22"/>
          <w:u w:val="single"/>
          <w:lang w:val="en-GB"/>
        </w:rPr>
        <w:t xml:space="preserve"> and Wellbeing Initiatives</w:t>
      </w:r>
    </w:p>
    <w:p w14:paraId="4DD22750" w14:textId="77777777" w:rsidR="005F7E8F" w:rsidRPr="00E1374E" w:rsidRDefault="00693C16" w:rsidP="005C15BE">
      <w:pPr>
        <w:spacing w:after="0" w:line="360" w:lineRule="auto"/>
        <w:ind w:firstLine="698"/>
        <w:jc w:val="both"/>
        <w:rPr>
          <w:rFonts w:ascii="Arial" w:hAnsi="Arial" w:cs="Arial"/>
          <w:sz w:val="22"/>
          <w:szCs w:val="22"/>
          <w:lang w:val="en-GB"/>
        </w:rPr>
      </w:pPr>
      <w:r w:rsidRPr="00E1374E">
        <w:rPr>
          <w:rFonts w:ascii="Arial" w:hAnsi="Arial" w:cs="Arial"/>
          <w:sz w:val="22"/>
          <w:szCs w:val="22"/>
          <w:lang w:val="en-GB"/>
        </w:rPr>
        <w:t>Managers must ensure that the lived employee experience aligns with the organisation’s EVP. This includes fair scheduling, transparent communication about career pathways, and consistent wellbeing support. Authenticity strengthens retention and reinforces Waitrose’s reputation as an employer of choice.</w:t>
      </w:r>
      <w:bookmarkStart w:id="27" w:name="_Toc223898311"/>
      <w:bookmarkStart w:id="28" w:name="_Toc224149242"/>
    </w:p>
    <w:p w14:paraId="7C35130E" w14:textId="77777777" w:rsidR="005F7E8F" w:rsidRPr="00E1374E" w:rsidRDefault="005F7E8F" w:rsidP="00E1374E">
      <w:pPr>
        <w:suppressAutoHyphens w:val="0"/>
        <w:spacing w:after="0" w:line="360" w:lineRule="auto"/>
        <w:ind w:left="0" w:firstLine="0"/>
        <w:rPr>
          <w:rFonts w:ascii="Arial" w:hAnsi="Arial" w:cs="Arial"/>
          <w:sz w:val="22"/>
          <w:szCs w:val="22"/>
          <w:lang w:val="en-GB"/>
        </w:rPr>
      </w:pPr>
      <w:r w:rsidRPr="00E1374E">
        <w:rPr>
          <w:rFonts w:ascii="Arial" w:hAnsi="Arial" w:cs="Arial"/>
          <w:sz w:val="22"/>
          <w:szCs w:val="22"/>
          <w:lang w:val="en-GB"/>
        </w:rPr>
        <w:br w:type="page"/>
      </w:r>
    </w:p>
    <w:p w14:paraId="6D8DB61E" w14:textId="66A82787" w:rsidR="006C23E4" w:rsidRPr="006025F7" w:rsidRDefault="006774CA" w:rsidP="00FA20B6">
      <w:pPr>
        <w:pStyle w:val="Heading1"/>
        <w:spacing w:line="360" w:lineRule="auto"/>
        <w:jc w:val="center"/>
        <w:rPr>
          <w:rFonts w:ascii="Arial" w:hAnsi="Arial" w:cs="Arial"/>
          <w:b/>
          <w:bCs/>
          <w:color w:val="auto"/>
          <w:szCs w:val="32"/>
          <w:lang w:val="en-GB"/>
        </w:rPr>
      </w:pPr>
      <w:bookmarkStart w:id="29" w:name="_Toc224149809"/>
      <w:r w:rsidRPr="006025F7">
        <w:rPr>
          <w:rFonts w:ascii="Arial" w:hAnsi="Arial" w:cs="Arial"/>
          <w:b/>
          <w:bCs/>
          <w:color w:val="auto"/>
          <w:szCs w:val="32"/>
          <w:lang w:val="en-GB"/>
        </w:rPr>
        <w:lastRenderedPageBreak/>
        <w:t>6</w:t>
      </w:r>
      <w:r w:rsidR="00037A50" w:rsidRPr="006025F7">
        <w:rPr>
          <w:rFonts w:ascii="Arial" w:hAnsi="Arial" w:cs="Arial"/>
          <w:b/>
          <w:bCs/>
          <w:color w:val="auto"/>
          <w:szCs w:val="32"/>
          <w:lang w:val="en-GB"/>
        </w:rPr>
        <w:t xml:space="preserve"> - Conclusion</w:t>
      </w:r>
      <w:bookmarkEnd w:id="27"/>
      <w:bookmarkEnd w:id="28"/>
      <w:bookmarkEnd w:id="29"/>
    </w:p>
    <w:p w14:paraId="3AEC8C27" w14:textId="77777777" w:rsidR="00693C16" w:rsidRPr="00E97479" w:rsidRDefault="00693C16" w:rsidP="005C15BE">
      <w:pPr>
        <w:spacing w:line="360" w:lineRule="auto"/>
        <w:ind w:firstLine="698"/>
        <w:jc w:val="both"/>
        <w:rPr>
          <w:rFonts w:ascii="Arial" w:hAnsi="Arial" w:cs="Arial"/>
          <w:sz w:val="22"/>
          <w:szCs w:val="22"/>
          <w:lang w:val="en-GB"/>
        </w:rPr>
      </w:pPr>
      <w:r w:rsidRPr="00E97479">
        <w:rPr>
          <w:rFonts w:ascii="Arial" w:hAnsi="Arial" w:cs="Arial"/>
          <w:sz w:val="22"/>
          <w:szCs w:val="22"/>
          <w:lang w:val="en-GB"/>
        </w:rPr>
        <w:t>The scenario at Waitrose &amp; Partners highlights significant challenges across technology adoption, talent management, and DEI. While HR provides the strategic framework, departmental managers are the pivotal actors who determine whether contemporary practices are implemented with the urgency required. Their role is not merely operational but transformational.</w:t>
      </w:r>
    </w:p>
    <w:p w14:paraId="1FC97D00" w14:textId="4B14D03E" w:rsidR="00693C16" w:rsidRPr="00E97479" w:rsidRDefault="00693C16" w:rsidP="005C15BE">
      <w:pPr>
        <w:spacing w:line="360" w:lineRule="auto"/>
        <w:ind w:firstLine="698"/>
        <w:jc w:val="both"/>
        <w:rPr>
          <w:rFonts w:ascii="Arial" w:hAnsi="Arial" w:cs="Arial"/>
          <w:sz w:val="22"/>
          <w:szCs w:val="22"/>
          <w:lang w:val="en-GB"/>
        </w:rPr>
      </w:pPr>
      <w:r w:rsidRPr="00E97479">
        <w:rPr>
          <w:rFonts w:ascii="Arial" w:hAnsi="Arial" w:cs="Arial"/>
          <w:sz w:val="22"/>
          <w:szCs w:val="22"/>
          <w:lang w:val="en-GB"/>
        </w:rPr>
        <w:t xml:space="preserve">To succeed, managers must champion </w:t>
      </w:r>
      <w:proofErr w:type="gramStart"/>
      <w:r w:rsidRPr="00E97479">
        <w:rPr>
          <w:rFonts w:ascii="Arial" w:hAnsi="Arial" w:cs="Arial"/>
          <w:sz w:val="22"/>
          <w:szCs w:val="22"/>
          <w:lang w:val="en-GB"/>
        </w:rPr>
        <w:t>digital</w:t>
      </w:r>
      <w:proofErr w:type="gramEnd"/>
      <w:r w:rsidRPr="00E97479">
        <w:rPr>
          <w:rFonts w:ascii="Arial" w:hAnsi="Arial" w:cs="Arial"/>
          <w:sz w:val="22"/>
          <w:szCs w:val="22"/>
          <w:lang w:val="en-GB"/>
        </w:rPr>
        <w:t xml:space="preserve"> learning, leverage HR analytics, and lead change with clarity and confidence. They must embody the organisation’s EVP, support flexible working, and create pathways for internal progression to strengthen retention. Equally, they must drive DEI initiatives by modelling inclusive behaviours, supporting and using data to identify and address inequalities.</w:t>
      </w:r>
    </w:p>
    <w:p w14:paraId="73681B8B" w14:textId="77CE37FD" w:rsidR="005F7E8F" w:rsidRPr="00E97479" w:rsidRDefault="0095007B" w:rsidP="007D59FD">
      <w:pPr>
        <w:spacing w:line="360" w:lineRule="auto"/>
        <w:ind w:firstLine="698"/>
        <w:jc w:val="both"/>
        <w:rPr>
          <w:rFonts w:ascii="Arial" w:hAnsi="Arial" w:cs="Arial"/>
          <w:sz w:val="22"/>
          <w:szCs w:val="22"/>
          <w:lang w:val="en-GB"/>
        </w:rPr>
      </w:pPr>
      <w:r w:rsidRPr="00E97479">
        <w:rPr>
          <w:rFonts w:ascii="Arial" w:hAnsi="Arial" w:cs="Arial"/>
          <w:sz w:val="22"/>
          <w:szCs w:val="22"/>
          <w:lang w:val="en-GB"/>
        </w:rPr>
        <w:t>Urgent implementation depends on strong leadership, accountability, adequate resources, and a culture that embraces continuous improvement. When departmental managers are empowered, trained, and held accountable, contemporary HR practices become embedded in everyday operations rather than remaining aspirational. This positions Waitrose &amp; Partners to remain competitive, resilient, and aligned with the expectations of a modern workforce.</w:t>
      </w:r>
    </w:p>
    <w:p w14:paraId="3D46E3C4" w14:textId="77777777" w:rsidR="005F7E8F" w:rsidRPr="00E97479" w:rsidRDefault="005F7E8F" w:rsidP="00776A73">
      <w:pPr>
        <w:suppressAutoHyphens w:val="0"/>
        <w:spacing w:after="160" w:line="360" w:lineRule="auto"/>
        <w:ind w:left="0" w:firstLine="0"/>
        <w:rPr>
          <w:rFonts w:ascii="Arial" w:hAnsi="Arial" w:cs="Arial"/>
          <w:sz w:val="22"/>
          <w:szCs w:val="22"/>
          <w:lang w:val="en-GB"/>
        </w:rPr>
      </w:pPr>
      <w:r w:rsidRPr="00E97479">
        <w:rPr>
          <w:rFonts w:ascii="Arial" w:hAnsi="Arial" w:cs="Arial"/>
          <w:sz w:val="22"/>
          <w:szCs w:val="22"/>
          <w:lang w:val="en-GB"/>
        </w:rPr>
        <w:br w:type="page"/>
      </w:r>
    </w:p>
    <w:p w14:paraId="6D8DB64A" w14:textId="640EC0EE" w:rsidR="006C23E4" w:rsidRPr="00C662FB" w:rsidRDefault="00C662FB" w:rsidP="00FA20B6">
      <w:pPr>
        <w:pStyle w:val="Heading1"/>
        <w:spacing w:line="360" w:lineRule="auto"/>
        <w:jc w:val="center"/>
        <w:rPr>
          <w:rFonts w:ascii="Arial" w:hAnsi="Arial" w:cs="Arial"/>
          <w:b/>
          <w:bCs/>
          <w:color w:val="auto"/>
          <w:szCs w:val="32"/>
          <w:lang w:val="en-GB"/>
        </w:rPr>
      </w:pPr>
      <w:bookmarkStart w:id="30" w:name="_Toc223898312"/>
      <w:bookmarkStart w:id="31" w:name="_Toc224149243"/>
      <w:bookmarkStart w:id="32" w:name="_Toc224149810"/>
      <w:r>
        <w:rPr>
          <w:rFonts w:ascii="Arial" w:hAnsi="Arial" w:cs="Arial"/>
          <w:b/>
          <w:bCs/>
          <w:color w:val="auto"/>
          <w:szCs w:val="32"/>
          <w:lang w:val="en-GB"/>
        </w:rPr>
        <w:lastRenderedPageBreak/>
        <w:t>7</w:t>
      </w:r>
      <w:r w:rsidR="00037A50" w:rsidRPr="00C662FB">
        <w:rPr>
          <w:rFonts w:ascii="Arial" w:hAnsi="Arial" w:cs="Arial"/>
          <w:b/>
          <w:bCs/>
          <w:color w:val="auto"/>
          <w:szCs w:val="32"/>
          <w:lang w:val="en-GB"/>
        </w:rPr>
        <w:t xml:space="preserve"> - Reference List</w:t>
      </w:r>
      <w:bookmarkEnd w:id="30"/>
      <w:bookmarkEnd w:id="31"/>
      <w:bookmarkEnd w:id="32"/>
    </w:p>
    <w:p w14:paraId="570033DB" w14:textId="13A80533" w:rsidR="00887F60" w:rsidRPr="00FF5D99" w:rsidRDefault="00C614FA"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Armstrong, M. &amp; Taylor, S. (2023). Armstrong's handbook of human resource management practice: A guide to the theory and practice of people management</w:t>
      </w:r>
      <w:r w:rsidR="00887F60" w:rsidRPr="00FF5D99">
        <w:rPr>
          <w:rFonts w:ascii="Arial" w:hAnsi="Arial" w:cs="Arial"/>
          <w:sz w:val="22"/>
          <w:szCs w:val="22"/>
          <w:lang w:val="en-GB"/>
        </w:rPr>
        <w:t>.</w:t>
      </w:r>
    </w:p>
    <w:p w14:paraId="389BCC91" w14:textId="0B9EB4B6" w:rsidR="00E5488A" w:rsidRPr="00FF5D99" w:rsidRDefault="00E5488A"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Baron, A. and Armstrong, M. (2021) </w:t>
      </w:r>
      <w:r w:rsidRPr="00FF5D99">
        <w:rPr>
          <w:rFonts w:ascii="Arial" w:hAnsi="Arial" w:cs="Arial"/>
          <w:i/>
          <w:iCs/>
          <w:sz w:val="22"/>
          <w:szCs w:val="22"/>
          <w:lang w:val="en-GB"/>
        </w:rPr>
        <w:t>Human Capital Management: Achieving Added Value Through People.</w:t>
      </w:r>
      <w:r w:rsidRPr="00FF5D99">
        <w:rPr>
          <w:rFonts w:ascii="Arial" w:hAnsi="Arial" w:cs="Arial"/>
          <w:sz w:val="22"/>
          <w:szCs w:val="22"/>
          <w:lang w:val="en-GB"/>
        </w:rPr>
        <w:t xml:space="preserve"> 2nd ed. London: Kogan Page.</w:t>
      </w:r>
    </w:p>
    <w:p w14:paraId="4C03BB27" w14:textId="6583314E" w:rsidR="00E5488A" w:rsidRPr="00FF5D99" w:rsidRDefault="00E5488A"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Bersin, J. (2019) ‘HR Technology Market 2019: Disruption Ahead’, </w:t>
      </w:r>
      <w:r w:rsidRPr="00FF5D99">
        <w:rPr>
          <w:rFonts w:ascii="Arial" w:hAnsi="Arial" w:cs="Arial"/>
          <w:i/>
          <w:iCs/>
          <w:sz w:val="22"/>
          <w:szCs w:val="22"/>
          <w:lang w:val="en-GB"/>
        </w:rPr>
        <w:t>Deloitte Insights</w:t>
      </w:r>
      <w:r w:rsidRPr="00FF5D99">
        <w:rPr>
          <w:rFonts w:ascii="Arial" w:hAnsi="Arial" w:cs="Arial"/>
          <w:sz w:val="22"/>
          <w:szCs w:val="22"/>
          <w:lang w:val="en-GB"/>
        </w:rPr>
        <w:t xml:space="preserve">. Available at: </w:t>
      </w:r>
      <w:hyperlink r:id="rId8" w:history="1">
        <w:r w:rsidRPr="00FF5D99">
          <w:rPr>
            <w:rStyle w:val="Hyperlink"/>
            <w:rFonts w:ascii="Arial" w:hAnsi="Arial" w:cs="Arial"/>
            <w:sz w:val="22"/>
            <w:szCs w:val="22"/>
            <w:lang w:val="en-GB"/>
          </w:rPr>
          <w:t>https://www2.deloitte.com</w:t>
        </w:r>
      </w:hyperlink>
      <w:r w:rsidRPr="00FF5D99">
        <w:rPr>
          <w:rFonts w:ascii="Arial" w:hAnsi="Arial" w:cs="Arial"/>
          <w:sz w:val="22"/>
          <w:szCs w:val="22"/>
          <w:lang w:val="en-GB"/>
        </w:rPr>
        <w:t xml:space="preserve"> (Accessed: </w:t>
      </w:r>
      <w:r w:rsidR="006A67ED" w:rsidRPr="00FF5D99">
        <w:rPr>
          <w:rFonts w:ascii="Arial" w:hAnsi="Arial" w:cs="Arial"/>
          <w:sz w:val="22"/>
          <w:szCs w:val="22"/>
          <w:lang w:val="en-GB"/>
        </w:rPr>
        <w:t>Ap</w:t>
      </w:r>
      <w:r w:rsidR="00495874" w:rsidRPr="00FF5D99">
        <w:rPr>
          <w:rFonts w:ascii="Arial" w:hAnsi="Arial" w:cs="Arial"/>
          <w:sz w:val="22"/>
          <w:szCs w:val="22"/>
          <w:lang w:val="en-GB"/>
        </w:rPr>
        <w:t>rill 11, 2026</w:t>
      </w:r>
      <w:r w:rsidRPr="00FF5D99">
        <w:rPr>
          <w:rFonts w:ascii="Arial" w:hAnsi="Arial" w:cs="Arial"/>
          <w:sz w:val="22"/>
          <w:szCs w:val="22"/>
          <w:lang w:val="en-GB"/>
        </w:rPr>
        <w:t>).</w:t>
      </w:r>
    </w:p>
    <w:p w14:paraId="462FB743" w14:textId="77777777" w:rsidR="00E5488A" w:rsidRPr="00FF5D99" w:rsidRDefault="00E5488A"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CIPD (2023) </w:t>
      </w:r>
      <w:r w:rsidRPr="00FF5D99">
        <w:rPr>
          <w:rFonts w:ascii="Arial" w:hAnsi="Arial" w:cs="Arial"/>
          <w:i/>
          <w:iCs/>
          <w:sz w:val="22"/>
          <w:szCs w:val="22"/>
          <w:lang w:val="en-GB"/>
        </w:rPr>
        <w:t>Learning and Skills at Work Survey.</w:t>
      </w:r>
      <w:r w:rsidRPr="00FF5D99">
        <w:rPr>
          <w:rFonts w:ascii="Arial" w:hAnsi="Arial" w:cs="Arial"/>
          <w:sz w:val="22"/>
          <w:szCs w:val="22"/>
          <w:lang w:val="en-GB"/>
        </w:rPr>
        <w:t xml:space="preserve"> London: Chartered Institute of Personnel and Development.</w:t>
      </w:r>
    </w:p>
    <w:p w14:paraId="2F9654FD" w14:textId="77777777" w:rsidR="00E5488A" w:rsidRPr="00FF5D99" w:rsidRDefault="00E5488A"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CIPD (2022) </w:t>
      </w:r>
      <w:r w:rsidRPr="00FF5D99">
        <w:rPr>
          <w:rFonts w:ascii="Arial" w:hAnsi="Arial" w:cs="Arial"/>
          <w:i/>
          <w:iCs/>
          <w:sz w:val="22"/>
          <w:szCs w:val="22"/>
          <w:lang w:val="en-GB"/>
        </w:rPr>
        <w:t>Resourcing and Talent Planning Survey.</w:t>
      </w:r>
      <w:r w:rsidRPr="00FF5D99">
        <w:rPr>
          <w:rFonts w:ascii="Arial" w:hAnsi="Arial" w:cs="Arial"/>
          <w:sz w:val="22"/>
          <w:szCs w:val="22"/>
          <w:lang w:val="en-GB"/>
        </w:rPr>
        <w:t xml:space="preserve"> London: Chartered Institute of Personnel and Development.</w:t>
      </w:r>
    </w:p>
    <w:p w14:paraId="4542CC89" w14:textId="1765739E" w:rsidR="007E101B" w:rsidRPr="00FF5D99" w:rsidRDefault="007E101B"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Heathfield, S. (2021) ‘Employee Value Proposition (EVP): Definition and Best Practices’, </w:t>
      </w:r>
      <w:r w:rsidRPr="00FF5D99">
        <w:rPr>
          <w:rFonts w:ascii="Arial" w:hAnsi="Arial" w:cs="Arial"/>
          <w:i/>
          <w:iCs/>
          <w:sz w:val="22"/>
          <w:szCs w:val="22"/>
          <w:lang w:val="en-GB"/>
        </w:rPr>
        <w:t>The Balance Careers</w:t>
      </w:r>
      <w:r w:rsidRPr="00FF5D99">
        <w:rPr>
          <w:rFonts w:ascii="Arial" w:hAnsi="Arial" w:cs="Arial"/>
          <w:sz w:val="22"/>
          <w:szCs w:val="22"/>
          <w:lang w:val="en-GB"/>
        </w:rPr>
        <w:t xml:space="preserve">. Available at: </w:t>
      </w:r>
      <w:hyperlink r:id="rId9" w:history="1">
        <w:r w:rsidRPr="00FF5D99">
          <w:rPr>
            <w:rStyle w:val="Hyperlink"/>
            <w:rFonts w:ascii="Arial" w:hAnsi="Arial" w:cs="Arial"/>
            <w:sz w:val="22"/>
            <w:szCs w:val="22"/>
            <w:lang w:val="en-GB"/>
          </w:rPr>
          <w:t>https://www.thebalancecareers.com</w:t>
        </w:r>
      </w:hyperlink>
      <w:r w:rsidRPr="00FF5D99">
        <w:rPr>
          <w:rFonts w:ascii="Arial" w:hAnsi="Arial" w:cs="Arial"/>
          <w:sz w:val="22"/>
          <w:szCs w:val="22"/>
          <w:lang w:val="en-GB"/>
        </w:rPr>
        <w:t xml:space="preserve"> (</w:t>
      </w:r>
      <w:r w:rsidR="00494C12" w:rsidRPr="00FF5D99">
        <w:rPr>
          <w:rFonts w:ascii="Arial" w:hAnsi="Arial" w:cs="Arial"/>
          <w:sz w:val="22"/>
          <w:szCs w:val="22"/>
          <w:lang w:val="en-GB"/>
        </w:rPr>
        <w:t>Accessed: Aprill 11,</w:t>
      </w:r>
      <w:r w:rsidR="00494C12" w:rsidRPr="00FF5D99">
        <w:rPr>
          <w:rFonts w:ascii="Arial" w:hAnsi="Arial" w:cs="Arial"/>
          <w:sz w:val="22"/>
          <w:szCs w:val="22"/>
          <w:lang w:val="en-GB"/>
        </w:rPr>
        <w:t xml:space="preserve"> </w:t>
      </w:r>
      <w:r w:rsidR="00494C12" w:rsidRPr="00FF5D99">
        <w:rPr>
          <w:rFonts w:ascii="Arial" w:hAnsi="Arial" w:cs="Arial"/>
          <w:sz w:val="22"/>
          <w:szCs w:val="22"/>
          <w:lang w:val="en-GB"/>
        </w:rPr>
        <w:t>2026).</w:t>
      </w:r>
    </w:p>
    <w:p w14:paraId="5F0C23FF" w14:textId="150B0C7A" w:rsidR="007E101B" w:rsidRPr="00FF5D99" w:rsidRDefault="007E101B"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LinkedIn Talent Solutions (2022) </w:t>
      </w:r>
      <w:r w:rsidRPr="00FF5D99">
        <w:rPr>
          <w:rFonts w:ascii="Arial" w:hAnsi="Arial" w:cs="Arial"/>
          <w:i/>
          <w:iCs/>
          <w:sz w:val="22"/>
          <w:szCs w:val="22"/>
          <w:lang w:val="en-GB"/>
        </w:rPr>
        <w:t>Global Talent Trends Report.</w:t>
      </w:r>
      <w:r w:rsidRPr="00FF5D99">
        <w:rPr>
          <w:rFonts w:ascii="Arial" w:hAnsi="Arial" w:cs="Arial"/>
          <w:sz w:val="22"/>
          <w:szCs w:val="22"/>
          <w:lang w:val="en-GB"/>
        </w:rPr>
        <w:t xml:space="preserve"> Available at:</w:t>
      </w:r>
      <w:r w:rsidR="000C4806" w:rsidRPr="00FF5D99">
        <w:rPr>
          <w:rFonts w:ascii="Arial" w:hAnsi="Arial" w:cs="Arial"/>
          <w:sz w:val="22"/>
          <w:szCs w:val="22"/>
          <w:lang w:val="en-GB"/>
        </w:rPr>
        <w:t xml:space="preserve"> </w:t>
      </w:r>
      <w:hyperlink r:id="rId10" w:history="1">
        <w:r w:rsidR="000C4806" w:rsidRPr="00FF5D99">
          <w:rPr>
            <w:rStyle w:val="Hyperlink"/>
            <w:rFonts w:ascii="Arial" w:hAnsi="Arial" w:cs="Arial"/>
            <w:sz w:val="22"/>
            <w:szCs w:val="22"/>
            <w:lang w:val="en-GB"/>
          </w:rPr>
          <w:t>https://business.linkedin.com</w:t>
        </w:r>
      </w:hyperlink>
      <w:r w:rsidRPr="00FF5D99">
        <w:rPr>
          <w:rFonts w:ascii="Arial" w:hAnsi="Arial" w:cs="Arial"/>
          <w:sz w:val="22"/>
          <w:szCs w:val="22"/>
          <w:lang w:val="en-GB"/>
        </w:rPr>
        <w:t xml:space="preserve"> </w:t>
      </w:r>
      <w:r w:rsidR="00A23F42" w:rsidRPr="00FF5D99">
        <w:rPr>
          <w:rFonts w:ascii="Arial" w:hAnsi="Arial" w:cs="Arial"/>
          <w:sz w:val="22"/>
          <w:szCs w:val="22"/>
          <w:lang w:val="en-GB"/>
        </w:rPr>
        <w:t>(Accessed: Aprill 1</w:t>
      </w:r>
      <w:r w:rsidR="000665BC" w:rsidRPr="00FF5D99">
        <w:rPr>
          <w:rFonts w:ascii="Arial" w:hAnsi="Arial" w:cs="Arial"/>
          <w:sz w:val="22"/>
          <w:szCs w:val="22"/>
          <w:lang w:val="en-GB"/>
        </w:rPr>
        <w:t>1</w:t>
      </w:r>
      <w:r w:rsidR="00A23F42" w:rsidRPr="00FF5D99">
        <w:rPr>
          <w:rFonts w:ascii="Arial" w:hAnsi="Arial" w:cs="Arial"/>
          <w:sz w:val="22"/>
          <w:szCs w:val="22"/>
          <w:lang w:val="en-GB"/>
        </w:rPr>
        <w:t>, 2026).</w:t>
      </w:r>
    </w:p>
    <w:p w14:paraId="6FCDDC9A" w14:textId="18EAB581" w:rsidR="007E101B" w:rsidRPr="00FF5D99" w:rsidRDefault="007E101B"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McKinsey &amp; Company (2020) </w:t>
      </w:r>
      <w:r w:rsidRPr="00FF5D99">
        <w:rPr>
          <w:rFonts w:ascii="Arial" w:hAnsi="Arial" w:cs="Arial"/>
          <w:i/>
          <w:iCs/>
          <w:sz w:val="22"/>
          <w:szCs w:val="22"/>
          <w:lang w:val="en-GB"/>
        </w:rPr>
        <w:t>Diversity Wins: How Inclusion Matters.</w:t>
      </w:r>
      <w:r w:rsidRPr="00FF5D99">
        <w:rPr>
          <w:rFonts w:ascii="Arial" w:hAnsi="Arial" w:cs="Arial"/>
          <w:sz w:val="22"/>
          <w:szCs w:val="22"/>
          <w:lang w:val="en-GB"/>
        </w:rPr>
        <w:t xml:space="preserve"> Available at: </w:t>
      </w:r>
      <w:hyperlink r:id="rId11" w:history="1">
        <w:r w:rsidRPr="00FF5D99">
          <w:rPr>
            <w:rStyle w:val="Hyperlink"/>
            <w:rFonts w:ascii="Arial" w:hAnsi="Arial" w:cs="Arial"/>
            <w:sz w:val="22"/>
            <w:szCs w:val="22"/>
            <w:lang w:val="en-GB"/>
          </w:rPr>
          <w:t>https://www.mckinsey.com</w:t>
        </w:r>
      </w:hyperlink>
      <w:r w:rsidRPr="00FF5D99">
        <w:rPr>
          <w:rFonts w:ascii="Arial" w:hAnsi="Arial" w:cs="Arial"/>
          <w:sz w:val="22"/>
          <w:szCs w:val="22"/>
          <w:lang w:val="en-GB"/>
        </w:rPr>
        <w:t xml:space="preserve"> (Accessed: </w:t>
      </w:r>
      <w:r w:rsidR="00A46DDF" w:rsidRPr="00FF5D99">
        <w:rPr>
          <w:rFonts w:ascii="Arial" w:hAnsi="Arial" w:cs="Arial"/>
          <w:sz w:val="22"/>
          <w:szCs w:val="22"/>
          <w:lang w:val="en-GB"/>
        </w:rPr>
        <w:t>Aprill 01, 2026</w:t>
      </w:r>
      <w:r w:rsidRPr="00FF5D99">
        <w:rPr>
          <w:rFonts w:ascii="Arial" w:hAnsi="Arial" w:cs="Arial"/>
          <w:sz w:val="22"/>
          <w:szCs w:val="22"/>
          <w:lang w:val="en-GB"/>
        </w:rPr>
        <w:t>).</w:t>
      </w:r>
    </w:p>
    <w:p w14:paraId="47950086" w14:textId="77777777" w:rsidR="007E101B" w:rsidRPr="00FF5D99" w:rsidRDefault="007E101B"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Noe, R. (2020) </w:t>
      </w:r>
      <w:r w:rsidRPr="00FF5D99">
        <w:rPr>
          <w:rFonts w:ascii="Arial" w:hAnsi="Arial" w:cs="Arial"/>
          <w:i/>
          <w:iCs/>
          <w:sz w:val="22"/>
          <w:szCs w:val="22"/>
          <w:lang w:val="en-GB"/>
        </w:rPr>
        <w:t>Employee Training and Development.</w:t>
      </w:r>
      <w:r w:rsidRPr="00FF5D99">
        <w:rPr>
          <w:rFonts w:ascii="Arial" w:hAnsi="Arial" w:cs="Arial"/>
          <w:sz w:val="22"/>
          <w:szCs w:val="22"/>
          <w:lang w:val="en-GB"/>
        </w:rPr>
        <w:t xml:space="preserve"> 8th ed. New York: McGraw</w:t>
      </w:r>
      <w:r w:rsidRPr="00FF5D99">
        <w:rPr>
          <w:rFonts w:ascii="Arial" w:hAnsi="Arial" w:cs="Arial"/>
          <w:sz w:val="22"/>
          <w:szCs w:val="22"/>
          <w:lang w:val="en-GB"/>
        </w:rPr>
        <w:noBreakHyphen/>
        <w:t>Hill.</w:t>
      </w:r>
    </w:p>
    <w:p w14:paraId="3A41E2D5" w14:textId="16CBACCE" w:rsidR="007E101B" w:rsidRPr="00FF5D99" w:rsidRDefault="007E101B"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Peck, J. and Houghton, L. (2021) ‘The Role of HR Analytics in Workforce Planning’, </w:t>
      </w:r>
      <w:r w:rsidRPr="00FF5D99">
        <w:rPr>
          <w:rFonts w:ascii="Arial" w:hAnsi="Arial" w:cs="Arial"/>
          <w:i/>
          <w:iCs/>
          <w:sz w:val="22"/>
          <w:szCs w:val="22"/>
          <w:lang w:val="en-GB"/>
        </w:rPr>
        <w:t>Journal of Human Resource Management</w:t>
      </w:r>
      <w:r w:rsidR="00032E69" w:rsidRPr="00FF5D99">
        <w:rPr>
          <w:rFonts w:ascii="Arial" w:hAnsi="Arial" w:cs="Arial"/>
          <w:sz w:val="22"/>
          <w:szCs w:val="22"/>
          <w:lang w:val="en-GB"/>
        </w:rPr>
        <w:t>.</w:t>
      </w:r>
    </w:p>
    <w:p w14:paraId="5FE6980A" w14:textId="77777777" w:rsidR="00B80B14" w:rsidRPr="00FF5D99" w:rsidRDefault="00BF34C3" w:rsidP="00FF5D99">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Ulrich, D., Younger, J., Brockbank, W., &amp; Ulrich, M. (2012). </w:t>
      </w:r>
      <w:r w:rsidRPr="00FF5D99">
        <w:rPr>
          <w:rFonts w:ascii="Arial" w:hAnsi="Arial" w:cs="Arial"/>
          <w:i/>
          <w:iCs/>
          <w:sz w:val="22"/>
          <w:szCs w:val="22"/>
          <w:lang w:val="en-GB"/>
        </w:rPr>
        <w:t>HR from the outside in: Six competencies for the future of human resources</w:t>
      </w:r>
      <w:r w:rsidRPr="00FF5D99">
        <w:rPr>
          <w:rFonts w:ascii="Arial" w:hAnsi="Arial" w:cs="Arial"/>
          <w:sz w:val="22"/>
          <w:szCs w:val="22"/>
          <w:lang w:val="en-GB"/>
        </w:rPr>
        <w:t>. McGraw Hill Professional.</w:t>
      </w:r>
    </w:p>
    <w:p w14:paraId="2260C4E3" w14:textId="5B867445" w:rsidR="00EE593B" w:rsidRPr="00E97479" w:rsidRDefault="007E101B" w:rsidP="00AD5B37">
      <w:pPr>
        <w:pStyle w:val="ListParagraph"/>
        <w:numPr>
          <w:ilvl w:val="0"/>
          <w:numId w:val="20"/>
        </w:numPr>
        <w:spacing w:line="360" w:lineRule="auto"/>
        <w:ind w:left="284" w:hanging="284"/>
        <w:rPr>
          <w:rFonts w:ascii="Arial" w:hAnsi="Arial" w:cs="Arial"/>
          <w:sz w:val="22"/>
          <w:szCs w:val="22"/>
          <w:lang w:val="en-GB"/>
        </w:rPr>
      </w:pPr>
      <w:r w:rsidRPr="00FF5D99">
        <w:rPr>
          <w:rFonts w:ascii="Arial" w:hAnsi="Arial" w:cs="Arial"/>
          <w:sz w:val="22"/>
          <w:szCs w:val="22"/>
          <w:lang w:val="en-GB"/>
        </w:rPr>
        <w:t xml:space="preserve">Waitrose &amp; Partners (2023) </w:t>
      </w:r>
      <w:r w:rsidRPr="00FF5D99">
        <w:rPr>
          <w:rFonts w:ascii="Arial" w:hAnsi="Arial" w:cs="Arial"/>
          <w:i/>
          <w:iCs/>
          <w:sz w:val="22"/>
          <w:szCs w:val="22"/>
          <w:lang w:val="en-GB"/>
        </w:rPr>
        <w:t>Corporate Responsibility and Sustainability Report.</w:t>
      </w:r>
      <w:r w:rsidRPr="00FF5D99">
        <w:rPr>
          <w:rFonts w:ascii="Arial" w:hAnsi="Arial" w:cs="Arial"/>
          <w:sz w:val="22"/>
          <w:szCs w:val="22"/>
          <w:lang w:val="en-GB"/>
        </w:rPr>
        <w:t xml:space="preserve"> Available at: </w:t>
      </w:r>
      <w:hyperlink r:id="rId12" w:history="1">
        <w:r w:rsidRPr="00FF5D99">
          <w:rPr>
            <w:rStyle w:val="Hyperlink"/>
            <w:rFonts w:ascii="Arial" w:hAnsi="Arial" w:cs="Arial"/>
            <w:sz w:val="22"/>
            <w:szCs w:val="22"/>
            <w:lang w:val="en-GB"/>
          </w:rPr>
          <w:t>https://www.waitrose.com</w:t>
        </w:r>
      </w:hyperlink>
      <w:r w:rsidRPr="00FF5D99">
        <w:rPr>
          <w:rFonts w:ascii="Arial" w:hAnsi="Arial" w:cs="Arial"/>
          <w:sz w:val="22"/>
          <w:szCs w:val="22"/>
          <w:lang w:val="en-GB"/>
        </w:rPr>
        <w:t xml:space="preserve"> </w:t>
      </w:r>
      <w:r w:rsidR="00FB0687" w:rsidRPr="00FF5D99">
        <w:rPr>
          <w:rFonts w:ascii="Arial" w:hAnsi="Arial" w:cs="Arial"/>
          <w:sz w:val="22"/>
          <w:szCs w:val="22"/>
          <w:lang w:val="en-GB"/>
        </w:rPr>
        <w:t xml:space="preserve">(Accessed: Aprill </w:t>
      </w:r>
      <w:r w:rsidR="00B80B14" w:rsidRPr="00FF5D99">
        <w:rPr>
          <w:rFonts w:ascii="Arial" w:hAnsi="Arial" w:cs="Arial"/>
          <w:sz w:val="22"/>
          <w:szCs w:val="22"/>
          <w:lang w:val="en-GB"/>
        </w:rPr>
        <w:t>01</w:t>
      </w:r>
      <w:r w:rsidR="00FB0687" w:rsidRPr="00FF5D99">
        <w:rPr>
          <w:rFonts w:ascii="Arial" w:hAnsi="Arial" w:cs="Arial"/>
          <w:sz w:val="22"/>
          <w:szCs w:val="22"/>
          <w:lang w:val="en-GB"/>
        </w:rPr>
        <w:t>, 2026).</w:t>
      </w:r>
    </w:p>
    <w:sectPr w:rsidR="00EE593B" w:rsidRPr="00E97479">
      <w:headerReference w:type="even" r:id="rId13"/>
      <w:headerReference w:type="default" r:id="rId14"/>
      <w:footerReference w:type="even" r:id="rId15"/>
      <w:footerReference w:type="default" r:id="rId16"/>
      <w:headerReference w:type="first" r:id="rId17"/>
      <w:footerReference w:type="first" r:id="rId18"/>
      <w:pgSz w:w="11906" w:h="16838"/>
      <w:pgMar w:top="1441" w:right="1387" w:bottom="705"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11D7C" w14:textId="77777777" w:rsidR="00034ADB" w:rsidRDefault="00034ADB">
      <w:pPr>
        <w:spacing w:after="0" w:line="240" w:lineRule="auto"/>
      </w:pPr>
      <w:r>
        <w:separator/>
      </w:r>
    </w:p>
  </w:endnote>
  <w:endnote w:type="continuationSeparator" w:id="0">
    <w:p w14:paraId="089AFCDA" w14:textId="77777777" w:rsidR="00034ADB" w:rsidRDefault="000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C0465" w14:textId="77777777" w:rsidR="00EE593B" w:rsidRDefault="00EE59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DB5C7" w14:textId="673C4C97" w:rsidR="00037A50" w:rsidRDefault="00037A50">
    <w:pPr>
      <w:spacing w:after="0" w:line="240" w:lineRule="auto"/>
      <w:ind w:left="0" w:right="48" w:firstLine="0"/>
      <w:jc w:val="right"/>
    </w:pPr>
    <w:r>
      <w:rPr>
        <w:sz w:val="22"/>
      </w:rPr>
      <w:t xml:space="preserve">Page </w:t>
    </w:r>
    <w:r>
      <w:rPr>
        <w:b/>
        <w:sz w:val="22"/>
      </w:rPr>
      <w:fldChar w:fldCharType="begin"/>
    </w:r>
    <w:r>
      <w:rPr>
        <w:b/>
        <w:sz w:val="22"/>
      </w:rPr>
      <w:instrText xml:space="preserve"> PAGE </w:instrText>
    </w:r>
    <w:r>
      <w:rPr>
        <w:b/>
        <w:sz w:val="22"/>
      </w:rPr>
      <w:fldChar w:fldCharType="separate"/>
    </w:r>
    <w:r>
      <w:rPr>
        <w:b/>
        <w:sz w:val="22"/>
      </w:rPr>
      <w:t>2</w:t>
    </w:r>
    <w:r>
      <w:rPr>
        <w:b/>
        <w:sz w:val="22"/>
      </w:rPr>
      <w:fldChar w:fldCharType="end"/>
    </w:r>
    <w:r>
      <w:rPr>
        <w:sz w:val="22"/>
      </w:rPr>
      <w:t xml:space="preserve"> of </w:t>
    </w:r>
    <w:r w:rsidR="00F6541C">
      <w:rPr>
        <w:b/>
        <w:sz w:val="22"/>
      </w:rPr>
      <w:t>9</w:t>
    </w:r>
  </w:p>
  <w:p w14:paraId="6D8DB5C8" w14:textId="77777777" w:rsidR="00037A50" w:rsidRDefault="00037A50">
    <w:pPr>
      <w:spacing w:after="0" w:line="240"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DB5CA" w14:textId="77777777" w:rsidR="00037A50" w:rsidRDefault="00037A50">
    <w:pPr>
      <w:spacing w:after="160" w:line="240"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EAFB7" w14:textId="77777777" w:rsidR="00034ADB" w:rsidRDefault="00034ADB">
      <w:pPr>
        <w:spacing w:after="0" w:line="240" w:lineRule="auto"/>
      </w:pPr>
      <w:r>
        <w:separator/>
      </w:r>
    </w:p>
  </w:footnote>
  <w:footnote w:type="continuationSeparator" w:id="0">
    <w:p w14:paraId="583E0A36" w14:textId="77777777" w:rsidR="00034ADB" w:rsidRDefault="00034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D28FB" w14:textId="77777777" w:rsidR="00EE593B" w:rsidRDefault="00EE59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A1971" w14:textId="77777777" w:rsidR="00EE593B" w:rsidRDefault="00EE5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0123" w14:textId="77777777" w:rsidR="00EE593B" w:rsidRDefault="00EE59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C76"/>
    <w:multiLevelType w:val="multilevel"/>
    <w:tmpl w:val="9E7E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957CC"/>
    <w:multiLevelType w:val="multilevel"/>
    <w:tmpl w:val="F53A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A0C8A"/>
    <w:multiLevelType w:val="multilevel"/>
    <w:tmpl w:val="6DCA5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B3DFC"/>
    <w:multiLevelType w:val="hybridMultilevel"/>
    <w:tmpl w:val="40C2C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43275B9"/>
    <w:multiLevelType w:val="multilevel"/>
    <w:tmpl w:val="F890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1771"/>
    <w:multiLevelType w:val="multilevel"/>
    <w:tmpl w:val="13DC2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B3BFD"/>
    <w:multiLevelType w:val="multilevel"/>
    <w:tmpl w:val="4B0A4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20481"/>
    <w:multiLevelType w:val="multilevel"/>
    <w:tmpl w:val="080AC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7D59F9"/>
    <w:multiLevelType w:val="multilevel"/>
    <w:tmpl w:val="EE9A1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D6279F"/>
    <w:multiLevelType w:val="multilevel"/>
    <w:tmpl w:val="512E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356457"/>
    <w:multiLevelType w:val="multilevel"/>
    <w:tmpl w:val="582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A86FA2"/>
    <w:multiLevelType w:val="multilevel"/>
    <w:tmpl w:val="AE22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F60AD"/>
    <w:multiLevelType w:val="hybridMultilevel"/>
    <w:tmpl w:val="E8CA3D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86332E9"/>
    <w:multiLevelType w:val="multilevel"/>
    <w:tmpl w:val="CA86FF9E"/>
    <w:lvl w:ilvl="0">
      <w:numFmt w:val="bullet"/>
      <w:lvlText w:val="-"/>
      <w:lvlJc w:val="left"/>
      <w:pPr>
        <w:ind w:left="720" w:hanging="360"/>
      </w:pPr>
      <w:rPr>
        <w:rFonts w:ascii="Arial" w:eastAsia="Times New Roman" w:hAnsi="Arial" w:cs="Arial"/>
        <w:b/>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EC50EFF"/>
    <w:multiLevelType w:val="multilevel"/>
    <w:tmpl w:val="0C12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185EC0"/>
    <w:multiLevelType w:val="multilevel"/>
    <w:tmpl w:val="8424FBF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6" w15:restartNumberingAfterBreak="0">
    <w:nsid w:val="6E2B3940"/>
    <w:multiLevelType w:val="multilevel"/>
    <w:tmpl w:val="2836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035D0D"/>
    <w:multiLevelType w:val="multilevel"/>
    <w:tmpl w:val="FA38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5E64C3"/>
    <w:multiLevelType w:val="multilevel"/>
    <w:tmpl w:val="8F0E748A"/>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19" w15:restartNumberingAfterBreak="0">
    <w:nsid w:val="7CC5735B"/>
    <w:multiLevelType w:val="multilevel"/>
    <w:tmpl w:val="796A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5194471">
    <w:abstractNumId w:val="13"/>
  </w:num>
  <w:num w:numId="2" w16cid:durableId="644433897">
    <w:abstractNumId w:val="18"/>
  </w:num>
  <w:num w:numId="3" w16cid:durableId="1395203964">
    <w:abstractNumId w:val="15"/>
  </w:num>
  <w:num w:numId="4" w16cid:durableId="1098211820">
    <w:abstractNumId w:val="12"/>
  </w:num>
  <w:num w:numId="5" w16cid:durableId="1573391199">
    <w:abstractNumId w:val="2"/>
  </w:num>
  <w:num w:numId="6" w16cid:durableId="36510324">
    <w:abstractNumId w:val="4"/>
  </w:num>
  <w:num w:numId="7" w16cid:durableId="577907248">
    <w:abstractNumId w:val="8"/>
  </w:num>
  <w:num w:numId="8" w16cid:durableId="1459184921">
    <w:abstractNumId w:val="10"/>
  </w:num>
  <w:num w:numId="9" w16cid:durableId="1762992720">
    <w:abstractNumId w:val="6"/>
  </w:num>
  <w:num w:numId="10" w16cid:durableId="1059784750">
    <w:abstractNumId w:val="1"/>
  </w:num>
  <w:num w:numId="11" w16cid:durableId="698701079">
    <w:abstractNumId w:val="19"/>
  </w:num>
  <w:num w:numId="12" w16cid:durableId="264777321">
    <w:abstractNumId w:val="5"/>
  </w:num>
  <w:num w:numId="13" w16cid:durableId="1974479436">
    <w:abstractNumId w:val="14"/>
  </w:num>
  <w:num w:numId="14" w16cid:durableId="308949646">
    <w:abstractNumId w:val="16"/>
  </w:num>
  <w:num w:numId="15" w16cid:durableId="1879782959">
    <w:abstractNumId w:val="7"/>
  </w:num>
  <w:num w:numId="16" w16cid:durableId="1398935">
    <w:abstractNumId w:val="0"/>
  </w:num>
  <w:num w:numId="17" w16cid:durableId="146210840">
    <w:abstractNumId w:val="9"/>
  </w:num>
  <w:num w:numId="18" w16cid:durableId="1270241433">
    <w:abstractNumId w:val="11"/>
  </w:num>
  <w:num w:numId="19" w16cid:durableId="1112940461">
    <w:abstractNumId w:val="17"/>
  </w:num>
  <w:num w:numId="20" w16cid:durableId="10601279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3E4"/>
    <w:rsid w:val="00006A55"/>
    <w:rsid w:val="00013E3F"/>
    <w:rsid w:val="00030F80"/>
    <w:rsid w:val="00032E69"/>
    <w:rsid w:val="00034ADB"/>
    <w:rsid w:val="00037A50"/>
    <w:rsid w:val="0006657C"/>
    <w:rsid w:val="000665BC"/>
    <w:rsid w:val="00077590"/>
    <w:rsid w:val="00086623"/>
    <w:rsid w:val="000A0662"/>
    <w:rsid w:val="000A657E"/>
    <w:rsid w:val="000C0655"/>
    <w:rsid w:val="000C1CC0"/>
    <w:rsid w:val="000C4806"/>
    <w:rsid w:val="000C5EF1"/>
    <w:rsid w:val="000F2458"/>
    <w:rsid w:val="000F3E41"/>
    <w:rsid w:val="00107CF6"/>
    <w:rsid w:val="001101C4"/>
    <w:rsid w:val="00112529"/>
    <w:rsid w:val="0013129A"/>
    <w:rsid w:val="001341CD"/>
    <w:rsid w:val="00160A97"/>
    <w:rsid w:val="00172214"/>
    <w:rsid w:val="001924D5"/>
    <w:rsid w:val="001A5A15"/>
    <w:rsid w:val="001B3C40"/>
    <w:rsid w:val="001D5923"/>
    <w:rsid w:val="001E72D9"/>
    <w:rsid w:val="001F6E7A"/>
    <w:rsid w:val="001F739F"/>
    <w:rsid w:val="002003C7"/>
    <w:rsid w:val="00261742"/>
    <w:rsid w:val="00271018"/>
    <w:rsid w:val="0027710C"/>
    <w:rsid w:val="00277DBD"/>
    <w:rsid w:val="00294ECC"/>
    <w:rsid w:val="002A0105"/>
    <w:rsid w:val="002B0832"/>
    <w:rsid w:val="002E414F"/>
    <w:rsid w:val="002F1E97"/>
    <w:rsid w:val="002F7ABB"/>
    <w:rsid w:val="003267B1"/>
    <w:rsid w:val="003312DF"/>
    <w:rsid w:val="0033523F"/>
    <w:rsid w:val="00346C81"/>
    <w:rsid w:val="00353E69"/>
    <w:rsid w:val="003574D1"/>
    <w:rsid w:val="00385627"/>
    <w:rsid w:val="00393CB4"/>
    <w:rsid w:val="003A3E60"/>
    <w:rsid w:val="003E0C97"/>
    <w:rsid w:val="003F434E"/>
    <w:rsid w:val="00400FC1"/>
    <w:rsid w:val="004205D7"/>
    <w:rsid w:val="00427BE7"/>
    <w:rsid w:val="00441DDB"/>
    <w:rsid w:val="00491C12"/>
    <w:rsid w:val="00494C12"/>
    <w:rsid w:val="00495874"/>
    <w:rsid w:val="004B4B4F"/>
    <w:rsid w:val="004D4E8A"/>
    <w:rsid w:val="004E3809"/>
    <w:rsid w:val="004E78C5"/>
    <w:rsid w:val="004F28AD"/>
    <w:rsid w:val="004F4C71"/>
    <w:rsid w:val="005166B5"/>
    <w:rsid w:val="00527C11"/>
    <w:rsid w:val="00534DCA"/>
    <w:rsid w:val="0053777D"/>
    <w:rsid w:val="00567946"/>
    <w:rsid w:val="005928F1"/>
    <w:rsid w:val="005A396F"/>
    <w:rsid w:val="005C15BE"/>
    <w:rsid w:val="005E36D0"/>
    <w:rsid w:val="005E3903"/>
    <w:rsid w:val="005F7E8F"/>
    <w:rsid w:val="006025F7"/>
    <w:rsid w:val="00621725"/>
    <w:rsid w:val="0066032A"/>
    <w:rsid w:val="006774CA"/>
    <w:rsid w:val="00692512"/>
    <w:rsid w:val="00693C16"/>
    <w:rsid w:val="006A67ED"/>
    <w:rsid w:val="006C23E4"/>
    <w:rsid w:val="006E3BA1"/>
    <w:rsid w:val="006F54C5"/>
    <w:rsid w:val="007133BB"/>
    <w:rsid w:val="0073578D"/>
    <w:rsid w:val="00744712"/>
    <w:rsid w:val="00776A73"/>
    <w:rsid w:val="00785F86"/>
    <w:rsid w:val="00795C5F"/>
    <w:rsid w:val="007A6CEA"/>
    <w:rsid w:val="007D59FD"/>
    <w:rsid w:val="007E101B"/>
    <w:rsid w:val="007E645C"/>
    <w:rsid w:val="0080561C"/>
    <w:rsid w:val="0080641F"/>
    <w:rsid w:val="0082704B"/>
    <w:rsid w:val="00835ECC"/>
    <w:rsid w:val="00847E53"/>
    <w:rsid w:val="00871A8B"/>
    <w:rsid w:val="00874C36"/>
    <w:rsid w:val="00887F60"/>
    <w:rsid w:val="0089529A"/>
    <w:rsid w:val="008A0402"/>
    <w:rsid w:val="008A0B7F"/>
    <w:rsid w:val="008B4975"/>
    <w:rsid w:val="008F4161"/>
    <w:rsid w:val="0090691A"/>
    <w:rsid w:val="009204B8"/>
    <w:rsid w:val="009258A8"/>
    <w:rsid w:val="00934417"/>
    <w:rsid w:val="0093514F"/>
    <w:rsid w:val="00946028"/>
    <w:rsid w:val="0095007B"/>
    <w:rsid w:val="0096341D"/>
    <w:rsid w:val="00964AF5"/>
    <w:rsid w:val="00980BDC"/>
    <w:rsid w:val="009938D2"/>
    <w:rsid w:val="00993DA8"/>
    <w:rsid w:val="009E7808"/>
    <w:rsid w:val="00A17384"/>
    <w:rsid w:val="00A23AFB"/>
    <w:rsid w:val="00A23F42"/>
    <w:rsid w:val="00A46DDF"/>
    <w:rsid w:val="00A512F3"/>
    <w:rsid w:val="00A5312F"/>
    <w:rsid w:val="00A53951"/>
    <w:rsid w:val="00A66A99"/>
    <w:rsid w:val="00A74984"/>
    <w:rsid w:val="00A8458F"/>
    <w:rsid w:val="00A9487C"/>
    <w:rsid w:val="00AD5B37"/>
    <w:rsid w:val="00AE21E2"/>
    <w:rsid w:val="00AF27B1"/>
    <w:rsid w:val="00B0663E"/>
    <w:rsid w:val="00B24250"/>
    <w:rsid w:val="00B27B70"/>
    <w:rsid w:val="00B33E1A"/>
    <w:rsid w:val="00B34288"/>
    <w:rsid w:val="00B74EEF"/>
    <w:rsid w:val="00B80B14"/>
    <w:rsid w:val="00B868C6"/>
    <w:rsid w:val="00B9207C"/>
    <w:rsid w:val="00B9331F"/>
    <w:rsid w:val="00BC6DC9"/>
    <w:rsid w:val="00BF10B8"/>
    <w:rsid w:val="00BF34C3"/>
    <w:rsid w:val="00C312BF"/>
    <w:rsid w:val="00C614FA"/>
    <w:rsid w:val="00C662FB"/>
    <w:rsid w:val="00C96662"/>
    <w:rsid w:val="00CA0639"/>
    <w:rsid w:val="00CB5E5F"/>
    <w:rsid w:val="00CC468A"/>
    <w:rsid w:val="00CC67F5"/>
    <w:rsid w:val="00CD2247"/>
    <w:rsid w:val="00CE4499"/>
    <w:rsid w:val="00CF7250"/>
    <w:rsid w:val="00D03FD5"/>
    <w:rsid w:val="00D218C4"/>
    <w:rsid w:val="00D377D4"/>
    <w:rsid w:val="00D475A9"/>
    <w:rsid w:val="00D63327"/>
    <w:rsid w:val="00D64346"/>
    <w:rsid w:val="00D83ED7"/>
    <w:rsid w:val="00D96781"/>
    <w:rsid w:val="00DC352C"/>
    <w:rsid w:val="00DC4372"/>
    <w:rsid w:val="00DD58EB"/>
    <w:rsid w:val="00DD5A3F"/>
    <w:rsid w:val="00DE3C28"/>
    <w:rsid w:val="00DE4B22"/>
    <w:rsid w:val="00E10DBD"/>
    <w:rsid w:val="00E1374E"/>
    <w:rsid w:val="00E172A2"/>
    <w:rsid w:val="00E5488A"/>
    <w:rsid w:val="00E55830"/>
    <w:rsid w:val="00E6690B"/>
    <w:rsid w:val="00E8293F"/>
    <w:rsid w:val="00E82DD6"/>
    <w:rsid w:val="00E92B83"/>
    <w:rsid w:val="00E97479"/>
    <w:rsid w:val="00EA369A"/>
    <w:rsid w:val="00EA72F3"/>
    <w:rsid w:val="00EC5EFD"/>
    <w:rsid w:val="00ED6DDD"/>
    <w:rsid w:val="00EE593B"/>
    <w:rsid w:val="00F01A93"/>
    <w:rsid w:val="00F3025C"/>
    <w:rsid w:val="00F4098D"/>
    <w:rsid w:val="00F54CE9"/>
    <w:rsid w:val="00F6541C"/>
    <w:rsid w:val="00F92A51"/>
    <w:rsid w:val="00FA20B6"/>
    <w:rsid w:val="00FA3C71"/>
    <w:rsid w:val="00FB0687"/>
    <w:rsid w:val="00FD10BB"/>
    <w:rsid w:val="00FD2624"/>
    <w:rsid w:val="00FD47BE"/>
    <w:rsid w:val="00FF5D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DB5BF"/>
  <w15:docId w15:val="{89D17E17-C811-4BF7-AA50-0595F9A70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kern w:val="3"/>
        <w:sz w:val="24"/>
        <w:szCs w:val="24"/>
        <w:lang w:val="pt-BR" w:eastAsia="pt-BR"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288"/>
    <w:pPr>
      <w:suppressAutoHyphens/>
      <w:spacing w:after="171" w:line="264" w:lineRule="auto"/>
      <w:ind w:left="10" w:hanging="10"/>
    </w:pPr>
    <w:rPr>
      <w:rFonts w:ascii="Calibri" w:eastAsia="Calibri" w:hAnsi="Calibri" w:cs="Calibri"/>
      <w:color w:val="000000"/>
    </w:rPr>
  </w:style>
  <w:style w:type="paragraph" w:styleId="Heading1">
    <w:name w:val="heading 1"/>
    <w:next w:val="Normal"/>
    <w:uiPriority w:val="9"/>
    <w:qFormat/>
    <w:pPr>
      <w:keepNext/>
      <w:keepLines/>
      <w:suppressAutoHyphens/>
      <w:spacing w:after="0" w:line="240" w:lineRule="auto"/>
      <w:ind w:left="10" w:hanging="10"/>
      <w:outlineLvl w:val="0"/>
    </w:pPr>
    <w:rPr>
      <w:rFonts w:ascii="Calibri" w:eastAsia="Calibri" w:hAnsi="Calibri" w:cs="Calibri"/>
      <w:color w:val="0F4761"/>
      <w:sz w:val="32"/>
    </w:rPr>
  </w:style>
  <w:style w:type="paragraph" w:styleId="Heading2">
    <w:name w:val="heading 2"/>
    <w:basedOn w:val="Normal"/>
    <w:next w:val="Normal"/>
    <w:uiPriority w:val="9"/>
    <w:unhideWhenUsed/>
    <w:qFormat/>
    <w:pPr>
      <w:keepNext/>
      <w:keepLines/>
      <w:spacing w:before="40" w:after="0"/>
      <w:outlineLvl w:val="1"/>
    </w:pPr>
    <w:rPr>
      <w:rFonts w:ascii="Aptos Display" w:eastAsia="DengXian Light" w:hAnsi="Aptos Display" w:cs="Times New Roman"/>
      <w:color w:val="0F4761"/>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Aptos Display" w:eastAsia="DengXian Light" w:hAnsi="Aptos Display" w:cs="Times New Roman"/>
      <w:color w:val="0A2F40"/>
    </w:rPr>
  </w:style>
  <w:style w:type="paragraph" w:styleId="Heading5">
    <w:name w:val="heading 5"/>
    <w:basedOn w:val="Normal"/>
    <w:next w:val="Normal"/>
    <w:uiPriority w:val="9"/>
    <w:semiHidden/>
    <w:unhideWhenUsed/>
    <w:qFormat/>
    <w:pPr>
      <w:keepNext/>
      <w:keepLines/>
      <w:spacing w:before="40" w:after="0"/>
      <w:outlineLvl w:val="4"/>
    </w:pPr>
    <w:rPr>
      <w:rFonts w:ascii="Aptos Display" w:eastAsia="Times New Roman" w:hAnsi="Aptos Display" w:cs="Times New Roman"/>
      <w:color w:val="0F476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Calibri" w:eastAsia="Calibri" w:hAnsi="Calibri" w:cs="Calibri"/>
      <w:color w:val="0F4761"/>
      <w:sz w:val="32"/>
    </w:rPr>
  </w:style>
  <w:style w:type="paragraph" w:styleId="TOC1">
    <w:name w:val="toc 1"/>
    <w:uiPriority w:val="39"/>
    <w:pPr>
      <w:suppressAutoHyphens/>
      <w:spacing w:after="124" w:line="240" w:lineRule="auto"/>
      <w:ind w:left="25" w:right="60" w:hanging="10"/>
    </w:pPr>
    <w:rPr>
      <w:rFonts w:ascii="Calibri" w:eastAsia="Calibri" w:hAnsi="Calibri" w:cs="Calibri"/>
      <w:color w:val="000000"/>
    </w:rPr>
  </w:style>
  <w:style w:type="paragraph" w:styleId="ListParagraph">
    <w:name w:val="List Paragraph"/>
    <w:basedOn w:val="Normal"/>
    <w:pPr>
      <w:ind w:left="720"/>
      <w:contextualSpacing/>
    </w:p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Calibri" w:eastAsia="Calibri" w:hAnsi="Calibri" w:cs="Calibri"/>
      <w:color w:val="000000"/>
    </w:rPr>
  </w:style>
  <w:style w:type="paragraph" w:styleId="NormalWeb">
    <w:name w:val="Normal (Web)"/>
    <w:basedOn w:val="Normal"/>
    <w:uiPriority w:val="99"/>
    <w:pPr>
      <w:suppressAutoHyphens w:val="0"/>
      <w:spacing w:before="100" w:after="100" w:line="240" w:lineRule="auto"/>
      <w:ind w:left="0" w:firstLine="0"/>
    </w:pPr>
    <w:rPr>
      <w:rFonts w:ascii="Times New Roman" w:eastAsia="Times New Roman" w:hAnsi="Times New Roman" w:cs="Times New Roman"/>
      <w:color w:val="auto"/>
      <w:kern w:val="0"/>
    </w:rPr>
  </w:style>
  <w:style w:type="character" w:styleId="Strong">
    <w:name w:val="Strong"/>
    <w:basedOn w:val="DefaultParagraphFont"/>
    <w:uiPriority w:val="22"/>
    <w:qFormat/>
    <w:rPr>
      <w:b/>
      <w:bCs/>
    </w:rPr>
  </w:style>
  <w:style w:type="character" w:customStyle="1" w:styleId="Heading5Char">
    <w:name w:val="Heading 5 Char"/>
    <w:basedOn w:val="DefaultParagraphFont"/>
    <w:rPr>
      <w:rFonts w:ascii="Aptos Display" w:eastAsia="Times New Roman" w:hAnsi="Aptos Display" w:cs="Times New Roman"/>
      <w:color w:val="0F4761"/>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rPr>
      <w:rFonts w:ascii="Aptos Display" w:eastAsia="DengXian Light" w:hAnsi="Aptos Display" w:cs="Times New Roman"/>
      <w:color w:val="0F4761"/>
      <w:sz w:val="26"/>
      <w:szCs w:val="26"/>
    </w:rPr>
  </w:style>
  <w:style w:type="character" w:customStyle="1" w:styleId="Heading3Char">
    <w:name w:val="Heading 3 Char"/>
    <w:basedOn w:val="DefaultParagraphFont"/>
    <w:rPr>
      <w:rFonts w:ascii="Aptos Display" w:eastAsia="DengXian Light" w:hAnsi="Aptos Display" w:cs="Times New Roman"/>
      <w:color w:val="0A2F40"/>
    </w:rPr>
  </w:style>
  <w:style w:type="paragraph" w:styleId="Title">
    <w:name w:val="Title"/>
    <w:basedOn w:val="Normal"/>
    <w:next w:val="Normal"/>
    <w:uiPriority w:val="10"/>
    <w:qFormat/>
    <w:pPr>
      <w:spacing w:after="0" w:line="240" w:lineRule="auto"/>
      <w:contextualSpacing/>
    </w:pPr>
    <w:rPr>
      <w:rFonts w:ascii="Aptos Display" w:eastAsia="Times New Roman" w:hAnsi="Aptos Display" w:cs="Times New Roman"/>
      <w:color w:val="auto"/>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pPr>
      <w:spacing w:after="160"/>
    </w:pPr>
    <w:rPr>
      <w:rFonts w:ascii="Aptos" w:eastAsia="Times New Roman" w:hAnsi="Aptos" w:cs="Arial"/>
      <w:color w:val="5A5A5A"/>
      <w:spacing w:val="15"/>
      <w:sz w:val="22"/>
      <w:szCs w:val="22"/>
    </w:rPr>
  </w:style>
  <w:style w:type="character" w:customStyle="1" w:styleId="SubtitleChar">
    <w:name w:val="Subtitle Char"/>
    <w:basedOn w:val="DefaultParagraphFont"/>
    <w:rPr>
      <w:rFonts w:ascii="Aptos" w:eastAsia="Times New Roman" w:hAnsi="Aptos" w:cs="Arial"/>
      <w:color w:val="5A5A5A"/>
      <w:spacing w:val="15"/>
      <w:sz w:val="22"/>
      <w:szCs w:val="22"/>
    </w:rPr>
  </w:style>
  <w:style w:type="paragraph" w:styleId="TOCHeading">
    <w:name w:val="TOC Heading"/>
    <w:basedOn w:val="Heading1"/>
    <w:next w:val="Normal"/>
    <w:uiPriority w:val="39"/>
    <w:qFormat/>
    <w:pPr>
      <w:suppressAutoHyphens w:val="0"/>
      <w:spacing w:before="240" w:line="254" w:lineRule="auto"/>
      <w:ind w:left="0" w:firstLine="0"/>
    </w:pPr>
    <w:rPr>
      <w:rFonts w:ascii="Aptos Display" w:eastAsia="Times New Roman" w:hAnsi="Aptos Display" w:cs="Times New Roman"/>
      <w:kern w:val="0"/>
      <w:szCs w:val="32"/>
    </w:rPr>
  </w:style>
  <w:style w:type="table" w:styleId="TableGrid">
    <w:name w:val="Table Grid"/>
    <w:basedOn w:val="TableNormal"/>
    <w:uiPriority w:val="39"/>
    <w:rsid w:val="00534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00FC1"/>
    <w:pPr>
      <w:spacing w:after="100"/>
      <w:ind w:left="240"/>
    </w:pPr>
  </w:style>
  <w:style w:type="paragraph" w:styleId="Header">
    <w:name w:val="header"/>
    <w:basedOn w:val="Normal"/>
    <w:link w:val="HeaderChar"/>
    <w:uiPriority w:val="99"/>
    <w:unhideWhenUsed/>
    <w:rsid w:val="00EE5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93B"/>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2.deloitte.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aitrose.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usiness.linkedin.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balancecareers.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B118D-33CC-405A-814A-1087DD8DF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2414</Words>
  <Characters>13041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Larrisa Kellyn Silva Neves (2424528)</dc:creator>
  <cp:lastModifiedBy>Larrisa Kellyn Silva Neves (2424528)</cp:lastModifiedBy>
  <cp:revision>2</cp:revision>
  <cp:lastPrinted>2025-11-22T11:28:00Z</cp:lastPrinted>
  <dcterms:created xsi:type="dcterms:W3CDTF">2026-03-29T11:28:00Z</dcterms:created>
  <dcterms:modified xsi:type="dcterms:W3CDTF">2026-03-29T11:28:00Z</dcterms:modified>
</cp:coreProperties>
</file>