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3B0F9" w14:textId="77777777" w:rsidR="00A70905" w:rsidRPr="0023724F" w:rsidRDefault="00A70905" w:rsidP="0023724F">
      <w:pPr>
        <w:spacing w:before="100" w:beforeAutospacing="1" w:after="100" w:afterAutospacing="1" w:line="360" w:lineRule="auto"/>
        <w:outlineLvl w:val="0"/>
        <w:rPr>
          <w:rFonts w:eastAsia="Times New Roman"/>
          <w:b/>
          <w:bCs/>
          <w:kern w:val="36"/>
          <w:lang w:eastAsia="en-GB"/>
          <w14:ligatures w14:val="none"/>
        </w:rPr>
      </w:pPr>
      <w:r w:rsidRPr="0023724F">
        <w:rPr>
          <w:rFonts w:eastAsia="Times New Roman"/>
          <w:b/>
          <w:bCs/>
          <w:kern w:val="36"/>
          <w:lang w:eastAsia="en-GB"/>
          <w14:ligatures w14:val="none"/>
        </w:rPr>
        <w:t>Critically Examining Health, Wellbeing and Sustainability Policies and Initiatives: An Analysis of SDG 3 (Good Health and Wellbeing) and SDG 10 (Reduced Inequalities)</w:t>
      </w:r>
    </w:p>
    <w:p w14:paraId="0939246A" w14:textId="77777777" w:rsidR="00A70905" w:rsidRPr="0023724F" w:rsidRDefault="00A70905" w:rsidP="0023724F">
      <w:pPr>
        <w:spacing w:before="100" w:beforeAutospacing="1" w:after="100" w:afterAutospacing="1" w:line="360" w:lineRule="auto"/>
        <w:outlineLvl w:val="1"/>
        <w:rPr>
          <w:rFonts w:eastAsia="Times New Roman"/>
          <w:b/>
          <w:bCs/>
          <w:kern w:val="0"/>
          <w:lang w:eastAsia="en-GB"/>
          <w14:ligatures w14:val="none"/>
        </w:rPr>
      </w:pPr>
      <w:r w:rsidRPr="0023724F">
        <w:rPr>
          <w:rFonts w:eastAsia="Times New Roman"/>
          <w:b/>
          <w:bCs/>
          <w:kern w:val="0"/>
          <w:lang w:eastAsia="en-GB"/>
          <w14:ligatures w14:val="none"/>
        </w:rPr>
        <w:t>Introduction</w:t>
      </w:r>
    </w:p>
    <w:p w14:paraId="7036B5D2" w14:textId="77777777" w:rsidR="00A70905" w:rsidRPr="0023724F" w:rsidRDefault="00A70905"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The United Nations Sustainable Development Goals (SDGs) were adopted in 2015 as part of the 2030 Agenda for Sustainable Development to address interconnected global challenges relating to health, inequality, poverty and environmental sustainability (United Nations, 2015). The 17 goals recognise that economic, social and environmental development are interdependent and require coordinated action at global, national and local levels. Health is central to sustainable development because poor health can limit educational attainment, employment opportunities and overall quality of life. Consequently, SDG 3 aims to ensure healthy lives and promote wellbeing for all at all ages.</w:t>
      </w:r>
    </w:p>
    <w:p w14:paraId="1AB86A76" w14:textId="42166187" w:rsidR="00A70905" w:rsidRPr="0023724F" w:rsidRDefault="00A70905"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However, health outcomes are not determined solely by healthcare services. Social, economic and environmental factors such as income, education, housing and employment significantly influence health and wellbeing (Marmot et al., 2020). This highlights the importance of SDG 10, which seeks to reduce inequalities within and among countries. Health inequalities remain a major challenge globally and within the United Kingdom, with individuals living in deprived communities experiencing poorer health outcomes and shorter life expectancy than those living in more affluent areas (Office for National Statistics, 2024).</w:t>
      </w:r>
      <w:r w:rsidR="003918F2">
        <w:rPr>
          <w:rFonts w:eastAsia="Times New Roman"/>
          <w:kern w:val="0"/>
          <w:lang w:eastAsia="en-GB"/>
          <w14:ligatures w14:val="none"/>
        </w:rPr>
        <w:t xml:space="preserve"> </w:t>
      </w:r>
      <w:r w:rsidRPr="0023724F">
        <w:rPr>
          <w:rFonts w:eastAsia="Times New Roman"/>
          <w:kern w:val="0"/>
          <w:lang w:eastAsia="en-GB"/>
          <w14:ligatures w14:val="none"/>
        </w:rPr>
        <w:t>This report critically examines the impact of SDG 3 (Good Health and Wellbeing) and SDG 10 (Reduced Inequalities) on citizens’ health and wellbeing at global, national and local levels. The effectiveness of current policies and initiatives is evaluated using the Health Belief Model, Social Cognitive Theory and the Social Determinants of Health Framework. The report also presents evidence-based recommendations for improving policy and practice to support sustainable improvements in health and wellbeing.</w:t>
      </w:r>
    </w:p>
    <w:p w14:paraId="4CDE15E3" w14:textId="77777777" w:rsidR="0023724F" w:rsidRPr="0023724F" w:rsidRDefault="0023724F" w:rsidP="0023724F">
      <w:pPr>
        <w:spacing w:before="100" w:beforeAutospacing="1" w:after="100" w:afterAutospacing="1" w:line="360" w:lineRule="auto"/>
        <w:outlineLvl w:val="1"/>
        <w:rPr>
          <w:rFonts w:eastAsia="Times New Roman"/>
          <w:b/>
          <w:bCs/>
          <w:kern w:val="0"/>
          <w:lang w:eastAsia="en-GB"/>
          <w14:ligatures w14:val="none"/>
        </w:rPr>
      </w:pPr>
      <w:r w:rsidRPr="0023724F">
        <w:rPr>
          <w:rFonts w:eastAsia="Times New Roman"/>
          <w:b/>
          <w:bCs/>
          <w:kern w:val="0"/>
          <w:lang w:eastAsia="en-GB"/>
          <w14:ligatures w14:val="none"/>
        </w:rPr>
        <w:t>SDG 3: Good Health and Wellbeing</w:t>
      </w:r>
    </w:p>
    <w:p w14:paraId="7EFA8CCA" w14:textId="77777777"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t>Overview of SDG 3</w:t>
      </w:r>
    </w:p>
    <w:p w14:paraId="6CF80DBA" w14:textId="77777777"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SDG 3 aims to ensure healthy lives and promote wellbeing for all through targets including reducing mortality, preventing disease, improving mental health and achieving Universal Health Coverage (United Nations, 2015). Health is recognised as a fundamental human right and a key component of sustainable development because healthier populations contribute to economic productivity, social participation and overall quality of life (World Health Organization, 2023).</w:t>
      </w:r>
    </w:p>
    <w:p w14:paraId="03338B97" w14:textId="77777777"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lastRenderedPageBreak/>
        <w:t>Global Policies and Initiatives</w:t>
      </w:r>
    </w:p>
    <w:p w14:paraId="7A75C173" w14:textId="2703E0A8"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A major global initiative supporting SDG 3 is Universal Health Coverage (UHC), promoted by the World Health Organization. UHC aims to ensure that individuals can access essential healthcare services without experiencing financial hardship (WHO, 2024). Evidence suggests that countries with universal healthcare systems generally achieve better health outcomes and lower mortality rates than those with limited healthcare access (Solar and Irwin, 2010).</w:t>
      </w:r>
      <w:r w:rsidR="003918F2">
        <w:rPr>
          <w:rFonts w:eastAsia="Times New Roman"/>
          <w:kern w:val="0"/>
          <w:lang w:eastAsia="en-GB"/>
          <w14:ligatures w14:val="none"/>
        </w:rPr>
        <w:t xml:space="preserve"> </w:t>
      </w:r>
      <w:r w:rsidRPr="0023724F">
        <w:rPr>
          <w:rFonts w:eastAsia="Times New Roman"/>
          <w:kern w:val="0"/>
          <w:lang w:eastAsia="en-GB"/>
          <w14:ligatures w14:val="none"/>
        </w:rPr>
        <w:t>However, despite international commitment to UHC, progress remains uneven. Many low-income countries continue to face shortages of healthcare professionals, infrastructure and funding. Furthermore, the COVID-19 pandemic exposed significant inequalities in access to healthcare and medical resources, highlighting the limitations of global health governance (The Lancet, 2022). Although international organisations provide guidance and support, successful implementation ultimately depends upon national governments and available resources.</w:t>
      </w:r>
    </w:p>
    <w:p w14:paraId="128B44C1" w14:textId="77777777"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Social Cognitive Theory helps explain the effectiveness of many global health interventions. Bandura (1986) argues that behaviour is influenced by social environments and observational learning. Public health campaigns promoting vaccination, healthy eating and physical activity often utilise role modelling and social support to encourage positive behaviour change. However, environmental barriers such as poverty and deprivation can restrict individuals’ ability to adopt healthier lifestyles.</w:t>
      </w:r>
    </w:p>
    <w:p w14:paraId="03D949DA" w14:textId="77777777"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t>National Policies and Initiatives</w:t>
      </w:r>
    </w:p>
    <w:p w14:paraId="3E15F002" w14:textId="682E03B4"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In England, the NHS Long Term Plan is a key policy supporting SDG 3 (NHS England, 2019). The strategy focuses on prevention, early intervention, digital healthcare and improvements in mental health services. A major strength of the policy is its emphasis on preventing illness rather than focusing solely on treatment.</w:t>
      </w:r>
      <w:r w:rsidR="003918F2">
        <w:rPr>
          <w:rFonts w:eastAsia="Times New Roman"/>
          <w:kern w:val="0"/>
          <w:lang w:eastAsia="en-GB"/>
          <w14:ligatures w14:val="none"/>
        </w:rPr>
        <w:t xml:space="preserve"> </w:t>
      </w:r>
      <w:r w:rsidRPr="0023724F">
        <w:rPr>
          <w:rFonts w:eastAsia="Times New Roman"/>
          <w:kern w:val="0"/>
          <w:lang w:eastAsia="en-GB"/>
          <w14:ligatures w14:val="none"/>
        </w:rPr>
        <w:t>Despite these ambitions, implementation has faced significant challenges. Rising demand for healthcare services, workforce shortages and financial pressures continue to affect service delivery (King’s Fund, 2024). Waiting lists remain high, raising concerns regarding equitable access to care. Furthermore, Marmot et al. (2020) argue that healthcare services alone cannot eliminate health inequalities because many determinants of health originate outside the healthcare system. Their findings demonstrate that inequalities in income, education and housing continue to influence health outcomes across England.</w:t>
      </w:r>
      <w:r w:rsidR="003918F2">
        <w:rPr>
          <w:rFonts w:eastAsia="Times New Roman"/>
          <w:kern w:val="0"/>
          <w:lang w:eastAsia="en-GB"/>
          <w14:ligatures w14:val="none"/>
        </w:rPr>
        <w:t xml:space="preserve"> </w:t>
      </w:r>
      <w:r w:rsidRPr="0023724F">
        <w:rPr>
          <w:rFonts w:eastAsia="Times New Roman"/>
          <w:kern w:val="0"/>
          <w:lang w:eastAsia="en-GB"/>
          <w14:ligatures w14:val="none"/>
        </w:rPr>
        <w:t xml:space="preserve">The NHS Core20PLUS5 initiative represents a targeted attempt to reduce healthcare inequalities by focusing resources on the most deprived populations (NHS England, 2021). While the programme demonstrates a commitment to equity, long-term success will depend upon sustained investment and </w:t>
      </w:r>
      <w:r w:rsidRPr="0023724F">
        <w:rPr>
          <w:rFonts w:eastAsia="Times New Roman"/>
          <w:kern w:val="0"/>
          <w:lang w:eastAsia="en-GB"/>
          <w14:ligatures w14:val="none"/>
        </w:rPr>
        <w:lastRenderedPageBreak/>
        <w:t>collaboration across sectors.</w:t>
      </w:r>
      <w:r w:rsidR="003918F2">
        <w:rPr>
          <w:rFonts w:eastAsia="Times New Roman"/>
          <w:kern w:val="0"/>
          <w:lang w:eastAsia="en-GB"/>
          <w14:ligatures w14:val="none"/>
        </w:rPr>
        <w:t xml:space="preserve"> </w:t>
      </w:r>
      <w:r w:rsidRPr="0023724F">
        <w:rPr>
          <w:rFonts w:eastAsia="Times New Roman"/>
          <w:kern w:val="0"/>
          <w:lang w:eastAsia="en-GB"/>
          <w14:ligatures w14:val="none"/>
        </w:rPr>
        <w:t xml:space="preserve">The Health Belief Model provides additional insight into health promotion initiatives. Rosenstock (1974) suggests that individuals are more likely to adopt healthier behaviours when they recognise health risks and perceive benefits from </w:t>
      </w:r>
      <w:proofErr w:type="gramStart"/>
      <w:r w:rsidRPr="0023724F">
        <w:rPr>
          <w:rFonts w:eastAsia="Times New Roman"/>
          <w:kern w:val="0"/>
          <w:lang w:eastAsia="en-GB"/>
          <w14:ligatures w14:val="none"/>
        </w:rPr>
        <w:t>taking action</w:t>
      </w:r>
      <w:proofErr w:type="gramEnd"/>
      <w:r w:rsidRPr="0023724F">
        <w:rPr>
          <w:rFonts w:eastAsia="Times New Roman"/>
          <w:kern w:val="0"/>
          <w:lang w:eastAsia="en-GB"/>
          <w14:ligatures w14:val="none"/>
        </w:rPr>
        <w:t>. However, the model has been criticised for placing substantial responsibility on individuals while underestimating structural barriers such as poverty and limited access to services (Glanz, Rimer and Viswanath, 2015).</w:t>
      </w:r>
    </w:p>
    <w:p w14:paraId="6AA54208" w14:textId="77777777"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t>Local Policies and Initiatives</w:t>
      </w:r>
    </w:p>
    <w:p w14:paraId="06603BAF" w14:textId="2DB989AB"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Within the West Midlands, health inequalities remain a significant challenge. Communities experiencing higher levels of deprivation often report poorer health outcomes and reduced life expectancy compared with more affluent areas. The Thrive at Work programme developed by the West Midlands Combined Authority seeks to improve employee wellbeing through workplace health promotion initiatives (West Midlands Combined Authority, 2023).</w:t>
      </w:r>
      <w:r w:rsidR="003918F2">
        <w:rPr>
          <w:rFonts w:eastAsia="Times New Roman"/>
          <w:kern w:val="0"/>
          <w:lang w:eastAsia="en-GB"/>
          <w14:ligatures w14:val="none"/>
        </w:rPr>
        <w:t xml:space="preserve"> </w:t>
      </w:r>
      <w:r w:rsidRPr="0023724F">
        <w:rPr>
          <w:rFonts w:eastAsia="Times New Roman"/>
          <w:kern w:val="0"/>
          <w:lang w:eastAsia="en-GB"/>
          <w14:ligatures w14:val="none"/>
        </w:rPr>
        <w:t>Although evaluations suggest positive outcomes for participating organisations, workplace interventions may exclude unemployed individuals who often experience some of the poorest health outcomes. This highlights the importance of addressing wider socioeconomic factors alongside healthcare and wellbeing programmes.</w:t>
      </w:r>
    </w:p>
    <w:p w14:paraId="34DE5CE0" w14:textId="77777777"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t>Recommendations for SDG 3</w:t>
      </w:r>
    </w:p>
    <w:p w14:paraId="7FDC1186" w14:textId="5AF365E6" w:rsidR="0023724F" w:rsidRPr="0023724F" w:rsidRDefault="0023724F" w:rsidP="0023724F">
      <w:pPr>
        <w:spacing w:before="100" w:beforeAutospacing="1" w:after="100" w:afterAutospacing="1" w:line="360" w:lineRule="auto"/>
        <w:outlineLvl w:val="1"/>
        <w:rPr>
          <w:rFonts w:eastAsia="Times New Roman"/>
          <w:kern w:val="0"/>
          <w:lang w:eastAsia="en-GB"/>
          <w14:ligatures w14:val="none"/>
        </w:rPr>
      </w:pPr>
      <w:r w:rsidRPr="0023724F">
        <w:rPr>
          <w:rFonts w:eastAsia="Times New Roman"/>
          <w:kern w:val="0"/>
          <w:lang w:eastAsia="en-GB"/>
          <w14:ligatures w14:val="none"/>
        </w:rPr>
        <w:t>The evaluation demonstrates that future progress towards SDG 3 requires greater emphasis on prevention and the wider determinants of health. Firstly, policymakers should strengthen collaboration between healthcare services, local authorities, housing providers and educational institutions. Marmot et al. (2020) argue that health inequalities are largely driven by social and economic factors; therefore, integrated approaches are more likely to achieve sustainable improvements than healthcare interventions alone.</w:t>
      </w:r>
      <w:r w:rsidR="003918F2">
        <w:rPr>
          <w:rFonts w:eastAsia="Times New Roman"/>
          <w:kern w:val="0"/>
          <w:lang w:eastAsia="en-GB"/>
          <w14:ligatures w14:val="none"/>
        </w:rPr>
        <w:t xml:space="preserve"> </w:t>
      </w:r>
      <w:r w:rsidRPr="0023724F">
        <w:rPr>
          <w:rFonts w:eastAsia="Times New Roman"/>
          <w:kern w:val="0"/>
          <w:lang w:eastAsia="en-GB"/>
          <w14:ligatures w14:val="none"/>
        </w:rPr>
        <w:t>Secondly, public health funding should be increased, particularly within deprived communities where health needs are greatest. Bambra (2016) highlights that reductions in preventative spending can contribute to widening health inequalities and increase long-term pressure on healthcare systems. While increased investment may create short-term financial pressures, evidence suggests that preventative interventions are often more cost-effective than treatment-focused approaches.</w:t>
      </w:r>
      <w:r w:rsidR="003918F2">
        <w:rPr>
          <w:rFonts w:eastAsia="Times New Roman"/>
          <w:kern w:val="0"/>
          <w:lang w:eastAsia="en-GB"/>
          <w14:ligatures w14:val="none"/>
        </w:rPr>
        <w:t xml:space="preserve"> </w:t>
      </w:r>
      <w:r w:rsidRPr="0023724F">
        <w:rPr>
          <w:rFonts w:eastAsia="Times New Roman"/>
          <w:kern w:val="0"/>
          <w:lang w:eastAsia="en-GB"/>
          <w14:ligatures w14:val="none"/>
        </w:rPr>
        <w:t>Thirdly, community-based health promotion initiatives should be expanded across disadvantaged areas of the West Midlands. Social Cognitive Theory suggests that supportive social environments can enhance self-efficacy and encourage positive health behaviours (Bandura, 1986). Local programmes that involve community leaders and residents in service design may therefore improve engagement and effectiveness.</w:t>
      </w:r>
    </w:p>
    <w:p w14:paraId="389947BA" w14:textId="77777777" w:rsidR="0023724F" w:rsidRPr="0023724F" w:rsidRDefault="0023724F" w:rsidP="0023724F">
      <w:pPr>
        <w:spacing w:before="100" w:beforeAutospacing="1" w:after="100" w:afterAutospacing="1" w:line="360" w:lineRule="auto"/>
        <w:outlineLvl w:val="1"/>
        <w:rPr>
          <w:rFonts w:eastAsia="Times New Roman"/>
          <w:kern w:val="0"/>
          <w:lang w:eastAsia="en-GB"/>
          <w14:ligatures w14:val="none"/>
        </w:rPr>
      </w:pPr>
      <w:r w:rsidRPr="0023724F">
        <w:rPr>
          <w:rFonts w:eastAsia="Times New Roman"/>
          <w:kern w:val="0"/>
          <w:lang w:eastAsia="en-GB"/>
          <w14:ligatures w14:val="none"/>
        </w:rPr>
        <w:lastRenderedPageBreak/>
        <w:t>Finally, policymakers should strengthen health literacy initiatives. Nutbeam and Lloyd (2021) identify health literacy as a key determinant of health because it influences individuals’ ability to access, understand and use health information. Improving health literacy may help individuals make informed decisions regarding preventative healthcare and healthy lifestyles. However, such interventions must be accompanied by efforts to address structural barriers that limit opportunities for behaviour change.</w:t>
      </w:r>
    </w:p>
    <w:p w14:paraId="582A04B7" w14:textId="77777777" w:rsidR="0023724F" w:rsidRPr="0023724F" w:rsidRDefault="0023724F" w:rsidP="0023724F">
      <w:pPr>
        <w:spacing w:before="100" w:beforeAutospacing="1" w:after="100" w:afterAutospacing="1" w:line="360" w:lineRule="auto"/>
        <w:outlineLvl w:val="1"/>
        <w:rPr>
          <w:rFonts w:eastAsia="Times New Roman"/>
          <w:b/>
          <w:bCs/>
          <w:kern w:val="0"/>
          <w:lang w:eastAsia="en-GB"/>
          <w14:ligatures w14:val="none"/>
        </w:rPr>
      </w:pPr>
      <w:r w:rsidRPr="0023724F">
        <w:rPr>
          <w:rFonts w:eastAsia="Times New Roman"/>
          <w:b/>
          <w:bCs/>
          <w:kern w:val="0"/>
          <w:lang w:eastAsia="en-GB"/>
          <w14:ligatures w14:val="none"/>
        </w:rPr>
        <w:t>SDG 10: Reduced Inequalities</w:t>
      </w:r>
    </w:p>
    <w:p w14:paraId="5F03B692" w14:textId="77777777"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t>Overview of SDG 10</w:t>
      </w:r>
    </w:p>
    <w:p w14:paraId="43BDB2B9" w14:textId="5D2039C1"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SDG 10 aims to reduce inequalities within and among countries by promoting social inclusion, equal opportunities and equitable access to resources (United Nations, 2015). While inequality is often associated with income, it also includes disparities in education, employment, housing and healthcare. These factors significantly influence health and wellbeing, making SDG 10 closely linked to SDG 3.</w:t>
      </w:r>
      <w:r w:rsidR="003918F2">
        <w:rPr>
          <w:rFonts w:eastAsia="Times New Roman"/>
          <w:kern w:val="0"/>
          <w:lang w:eastAsia="en-GB"/>
          <w14:ligatures w14:val="none"/>
        </w:rPr>
        <w:t xml:space="preserve"> </w:t>
      </w:r>
      <w:r w:rsidRPr="0023724F">
        <w:rPr>
          <w:rFonts w:eastAsia="Times New Roman"/>
          <w:kern w:val="0"/>
          <w:lang w:eastAsia="en-GB"/>
          <w14:ligatures w14:val="none"/>
        </w:rPr>
        <w:t>Research consistently demonstrates that more unequal societies experience poorer health outcomes, lower social cohesion and higher levels of mental ill-health (Wilkinson and Pickett, 2018). Consequently, reducing inequalities is essential for improving population health and achieving sustainable development.</w:t>
      </w:r>
    </w:p>
    <w:p w14:paraId="5F7E4510" w14:textId="6BD9EDB6"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t>Global Policies and Initiatives</w:t>
      </w:r>
    </w:p>
    <w:p w14:paraId="151F5289" w14:textId="5E44AD90"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International organisations including the United Nations and World Bank have introduced policies aimed at reducing poverty and promoting social inclusion. These initiatives have contributed to improvements in living standards and access to education and healthcare in many countries (United Nations, 2024). Nevertheless, significant inequalities persist.</w:t>
      </w:r>
      <w:r w:rsidR="003918F2">
        <w:rPr>
          <w:rFonts w:eastAsia="Times New Roman"/>
          <w:kern w:val="0"/>
          <w:lang w:eastAsia="en-GB"/>
          <w14:ligatures w14:val="none"/>
        </w:rPr>
        <w:t xml:space="preserve"> </w:t>
      </w:r>
      <w:r w:rsidRPr="0023724F">
        <w:rPr>
          <w:rFonts w:eastAsia="Times New Roman"/>
          <w:kern w:val="0"/>
          <w:lang w:eastAsia="en-GB"/>
          <w14:ligatures w14:val="none"/>
        </w:rPr>
        <w:t>The World Bank (2023) reports that disadvantaged populations continue to experience higher levels of poverty, food insecurity and limited access to essential services. According to the Social Determinants of Health Framework, these inequalities influence health outcomes because access to resources, opportunities and social support affects an individual’s ability to maintain good health (Solar and Irwin, 2010).</w:t>
      </w:r>
      <w:r w:rsidR="003918F2">
        <w:rPr>
          <w:rFonts w:eastAsia="Times New Roman"/>
          <w:kern w:val="0"/>
          <w:lang w:eastAsia="en-GB"/>
          <w14:ligatures w14:val="none"/>
        </w:rPr>
        <w:t xml:space="preserve"> </w:t>
      </w:r>
      <w:r w:rsidRPr="0023724F">
        <w:rPr>
          <w:rFonts w:eastAsia="Times New Roman"/>
          <w:kern w:val="0"/>
          <w:lang w:eastAsia="en-GB"/>
          <w14:ligatures w14:val="none"/>
        </w:rPr>
        <w:t>A key criticism of many global initiatives is that they often address the consequences of inequality rather than its underlying causes. While programmes may reduce immediate hardship, long-term progress requires structural changes that address unequal distributions of wealth, power and opportunity.</w:t>
      </w:r>
    </w:p>
    <w:p w14:paraId="553B8F9B" w14:textId="77777777" w:rsidR="00E106CD" w:rsidRDefault="00E106CD" w:rsidP="0023724F">
      <w:pPr>
        <w:spacing w:before="100" w:beforeAutospacing="1" w:after="100" w:afterAutospacing="1" w:line="360" w:lineRule="auto"/>
        <w:outlineLvl w:val="2"/>
        <w:rPr>
          <w:rFonts w:eastAsia="Times New Roman"/>
          <w:b/>
          <w:bCs/>
          <w:kern w:val="0"/>
          <w:lang w:eastAsia="en-GB"/>
          <w14:ligatures w14:val="none"/>
        </w:rPr>
      </w:pPr>
    </w:p>
    <w:p w14:paraId="6DADFDFA" w14:textId="1BCE5264"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lastRenderedPageBreak/>
        <w:t>National Policies and Initiatives</w:t>
      </w:r>
    </w:p>
    <w:p w14:paraId="49A90F05" w14:textId="0508EDD7"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Within the United Kingdom, the Levelling Up White Paper aims to reduce geographical inequalities through investment in education, employment, infrastructure and public services (UK Government, 2022). The policy recognises that place-based inequalities influence life chances and health outcomes.</w:t>
      </w:r>
      <w:r w:rsidR="003918F2">
        <w:rPr>
          <w:rFonts w:eastAsia="Times New Roman"/>
          <w:kern w:val="0"/>
          <w:lang w:eastAsia="en-GB"/>
          <w14:ligatures w14:val="none"/>
        </w:rPr>
        <w:t xml:space="preserve"> </w:t>
      </w:r>
      <w:r w:rsidRPr="0023724F">
        <w:rPr>
          <w:rFonts w:eastAsia="Times New Roman"/>
          <w:kern w:val="0"/>
          <w:lang w:eastAsia="en-GB"/>
          <w14:ligatures w14:val="none"/>
        </w:rPr>
        <w:t>However, the effectiveness of the initiative remains debated. Although investment has been directed towards disadvantaged areas, evidence suggests that inequalities in health and opportunity remain substantial (Marmot et al., 2020). Life expectancy continues to vary considerably between affluent and deprived communities, indicating that existing policies have not fully addressed underlying social and economic disparities.</w:t>
      </w:r>
    </w:p>
    <w:p w14:paraId="7D899F6C" w14:textId="469905C4" w:rsidR="003918F2" w:rsidRPr="003918F2" w:rsidRDefault="0023724F" w:rsidP="003918F2">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Furthermore, Bambra (2016) argues that reductions in public spending have disproportionately affected disadvantaged populations, contributing to widening inequalities. These findings highlight the importance of evaluating policy outcomes rather than policy intentions.</w:t>
      </w:r>
      <w:r w:rsidR="003918F2">
        <w:rPr>
          <w:rFonts w:eastAsia="Times New Roman"/>
          <w:kern w:val="0"/>
          <w:lang w:eastAsia="en-GB"/>
          <w14:ligatures w14:val="none"/>
        </w:rPr>
        <w:t xml:space="preserve"> </w:t>
      </w:r>
      <w:r w:rsidRPr="0023724F">
        <w:rPr>
          <w:rFonts w:eastAsia="Times New Roman"/>
          <w:kern w:val="0"/>
          <w:lang w:eastAsia="en-GB"/>
          <w14:ligatures w14:val="none"/>
        </w:rPr>
        <w:t>The Health Belief Model also demonstrates the limitations of approaches that focus primarily on individual behaviour change. Individuals facing financial hardship, poor housing or unemployment may encounter significant barriers to adopting healthier lifestyles regardless of their awareness of health risks (Rosenstock, 1974). Consequently, reducing inequalities requires action on broader structural determinants rather than individual behaviour alone.</w:t>
      </w:r>
    </w:p>
    <w:p w14:paraId="57B00AAE" w14:textId="30490D22"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t>Local Policies and Initiatives</w:t>
      </w:r>
    </w:p>
    <w:p w14:paraId="091133D5" w14:textId="17545518" w:rsidR="0023724F" w:rsidRPr="0023724F" w:rsidRDefault="0023724F"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The West Midlands Combined Authority's Inclusive Growth Framework aims to ensure that economic development benefits all communities through investment in employment, skills and housing (West Midlands Combined Authority, 2021). The initiative acknowledges that economic growth alone does not automatically reduce inequalities and that targeted action is required to support disadvantaged populations.</w:t>
      </w:r>
      <w:r w:rsidR="003918F2">
        <w:rPr>
          <w:rFonts w:eastAsia="Times New Roman"/>
          <w:kern w:val="0"/>
          <w:lang w:eastAsia="en-GB"/>
          <w14:ligatures w14:val="none"/>
        </w:rPr>
        <w:t xml:space="preserve"> </w:t>
      </w:r>
      <w:r w:rsidRPr="0023724F">
        <w:rPr>
          <w:rFonts w:eastAsia="Times New Roman"/>
          <w:kern w:val="0"/>
          <w:lang w:eastAsia="en-GB"/>
          <w14:ligatures w14:val="none"/>
        </w:rPr>
        <w:t>Despite these efforts, significant inequalities remain across the region. Areas such as Birmingham, Wolverhampton and Sandwell continue to experience higher levels of deprivation and poorer health outcomes than national averages. This suggests that local initiatives can contribute to positive change but require sustained support from national policies to achieve long-term impact.</w:t>
      </w:r>
    </w:p>
    <w:p w14:paraId="5F779C41" w14:textId="77777777" w:rsidR="003918F2" w:rsidRDefault="003918F2" w:rsidP="0023724F">
      <w:pPr>
        <w:spacing w:before="100" w:beforeAutospacing="1" w:after="100" w:afterAutospacing="1" w:line="360" w:lineRule="auto"/>
        <w:outlineLvl w:val="2"/>
        <w:rPr>
          <w:rFonts w:eastAsia="Times New Roman"/>
          <w:b/>
          <w:bCs/>
          <w:kern w:val="0"/>
          <w:lang w:eastAsia="en-GB"/>
          <w14:ligatures w14:val="none"/>
        </w:rPr>
      </w:pPr>
    </w:p>
    <w:p w14:paraId="74A18180" w14:textId="77777777" w:rsidR="003918F2" w:rsidRDefault="003918F2" w:rsidP="0023724F">
      <w:pPr>
        <w:spacing w:before="100" w:beforeAutospacing="1" w:after="100" w:afterAutospacing="1" w:line="360" w:lineRule="auto"/>
        <w:outlineLvl w:val="2"/>
        <w:rPr>
          <w:rFonts w:eastAsia="Times New Roman"/>
          <w:b/>
          <w:bCs/>
          <w:kern w:val="0"/>
          <w:lang w:eastAsia="en-GB"/>
          <w14:ligatures w14:val="none"/>
        </w:rPr>
      </w:pPr>
    </w:p>
    <w:p w14:paraId="73FE3703" w14:textId="0AB248DA" w:rsidR="0023724F" w:rsidRPr="0023724F" w:rsidRDefault="0023724F" w:rsidP="0023724F">
      <w:pPr>
        <w:spacing w:before="100" w:beforeAutospacing="1" w:after="100" w:afterAutospacing="1" w:line="360" w:lineRule="auto"/>
        <w:outlineLvl w:val="2"/>
        <w:rPr>
          <w:rFonts w:eastAsia="Times New Roman"/>
          <w:b/>
          <w:bCs/>
          <w:kern w:val="0"/>
          <w:lang w:eastAsia="en-GB"/>
          <w14:ligatures w14:val="none"/>
        </w:rPr>
      </w:pPr>
      <w:r w:rsidRPr="0023724F">
        <w:rPr>
          <w:rFonts w:eastAsia="Times New Roman"/>
          <w:b/>
          <w:bCs/>
          <w:kern w:val="0"/>
          <w:lang w:eastAsia="en-GB"/>
          <w14:ligatures w14:val="none"/>
        </w:rPr>
        <w:lastRenderedPageBreak/>
        <w:t>Recommendations for SDG 10</w:t>
      </w:r>
    </w:p>
    <w:p w14:paraId="48C114A7" w14:textId="466DBB8A" w:rsidR="0023724F" w:rsidRPr="0023724F" w:rsidRDefault="0023724F" w:rsidP="0023724F">
      <w:pPr>
        <w:spacing w:before="100" w:beforeAutospacing="1" w:after="100" w:afterAutospacing="1" w:line="360" w:lineRule="auto"/>
        <w:outlineLvl w:val="1"/>
        <w:rPr>
          <w:rFonts w:eastAsia="Times New Roman"/>
          <w:kern w:val="0"/>
          <w:lang w:eastAsia="en-GB"/>
          <w14:ligatures w14:val="none"/>
        </w:rPr>
      </w:pPr>
      <w:r w:rsidRPr="0023724F">
        <w:rPr>
          <w:rFonts w:eastAsia="Times New Roman"/>
          <w:kern w:val="0"/>
          <w:lang w:eastAsia="en-GB"/>
          <w14:ligatures w14:val="none"/>
        </w:rPr>
        <w:t>The evaluation demonstrates that reducing inequalities is fundamental to improving health and wellbeing outcomes. Firstly, policymakers should prioritise long-term investment in affordable housing, education and secure employment opportunities. Marmot (2015) argues that inequalities in these areas are major drivers of health disparities and therefore require sustained policy attention.</w:t>
      </w:r>
      <w:r w:rsidR="003918F2">
        <w:rPr>
          <w:rFonts w:eastAsia="Times New Roman"/>
          <w:kern w:val="0"/>
          <w:lang w:eastAsia="en-GB"/>
          <w14:ligatures w14:val="none"/>
        </w:rPr>
        <w:t xml:space="preserve"> </w:t>
      </w:r>
      <w:r w:rsidRPr="0023724F">
        <w:rPr>
          <w:rFonts w:eastAsia="Times New Roman"/>
          <w:kern w:val="0"/>
          <w:lang w:eastAsia="en-GB"/>
          <w14:ligatures w14:val="none"/>
        </w:rPr>
        <w:t>Secondly, greater emphasis should be placed on reducing child poverty. Research indicates that childhood disadvantage has long-term consequences for educational attainment, employment opportunities and health throughout the life course (Wilkinson and Pickett, 2018). Investment in early intervention programmes may therefore generate significant social and economic benefits.</w:t>
      </w:r>
      <w:r w:rsidR="003918F2">
        <w:rPr>
          <w:rFonts w:eastAsia="Times New Roman"/>
          <w:kern w:val="0"/>
          <w:lang w:eastAsia="en-GB"/>
          <w14:ligatures w14:val="none"/>
        </w:rPr>
        <w:t xml:space="preserve"> </w:t>
      </w:r>
      <w:r w:rsidRPr="0023724F">
        <w:rPr>
          <w:rFonts w:eastAsia="Times New Roman"/>
          <w:kern w:val="0"/>
          <w:lang w:eastAsia="en-GB"/>
          <w14:ligatures w14:val="none"/>
        </w:rPr>
        <w:t>Thirdly, local authorities should expand community participation through co-production approaches that involve residents in the design and delivery of services. Braveman and Gottlieb (2014) argue that interventions are more effective when they reflect local needs and experiences. Although co-production requires additional resources and time, it can improve service quality, trust and engagement.</w:t>
      </w:r>
      <w:r w:rsidR="003918F2">
        <w:rPr>
          <w:rFonts w:eastAsia="Times New Roman"/>
          <w:kern w:val="0"/>
          <w:lang w:eastAsia="en-GB"/>
          <w14:ligatures w14:val="none"/>
        </w:rPr>
        <w:t xml:space="preserve"> </w:t>
      </w:r>
      <w:r w:rsidRPr="0023724F">
        <w:rPr>
          <w:rFonts w:eastAsia="Times New Roman"/>
          <w:kern w:val="0"/>
          <w:lang w:eastAsia="en-GB"/>
          <w14:ligatures w14:val="none"/>
        </w:rPr>
        <w:t>Finally, health impact assessments should be incorporated into major economic and social policies. This would help policymakers identify potential effects on health inequalities before implementation and ensure that decisions contribute positively to both SDG 10 and SDG 3. While this may increase administrative requirements, it would encourage a more integrated and preventative approach to policy development.</w:t>
      </w:r>
    </w:p>
    <w:p w14:paraId="15A210D0"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131AB6C9"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45D1B26C"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31B64BF5"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697EA99B"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426E60AE"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0631EEA8"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61911BF8"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4AA22160" w14:textId="77777777" w:rsidR="003918F2" w:rsidRDefault="003918F2" w:rsidP="0023724F">
      <w:pPr>
        <w:spacing w:before="100" w:beforeAutospacing="1" w:after="100" w:afterAutospacing="1" w:line="360" w:lineRule="auto"/>
        <w:outlineLvl w:val="1"/>
        <w:rPr>
          <w:rFonts w:eastAsia="Times New Roman"/>
          <w:b/>
          <w:bCs/>
          <w:kern w:val="0"/>
          <w:lang w:eastAsia="en-GB"/>
          <w14:ligatures w14:val="none"/>
        </w:rPr>
      </w:pPr>
    </w:p>
    <w:p w14:paraId="513F183A" w14:textId="056BC96B" w:rsidR="00A70905" w:rsidRPr="0023724F" w:rsidRDefault="00A70905" w:rsidP="0023724F">
      <w:pPr>
        <w:spacing w:before="100" w:beforeAutospacing="1" w:after="100" w:afterAutospacing="1" w:line="360" w:lineRule="auto"/>
        <w:outlineLvl w:val="1"/>
        <w:rPr>
          <w:rFonts w:eastAsia="Times New Roman"/>
          <w:b/>
          <w:bCs/>
          <w:kern w:val="0"/>
          <w:lang w:eastAsia="en-GB"/>
          <w14:ligatures w14:val="none"/>
        </w:rPr>
      </w:pPr>
      <w:r w:rsidRPr="0023724F">
        <w:rPr>
          <w:rFonts w:eastAsia="Times New Roman"/>
          <w:b/>
          <w:bCs/>
          <w:kern w:val="0"/>
          <w:lang w:eastAsia="en-GB"/>
          <w14:ligatures w14:val="none"/>
        </w:rPr>
        <w:lastRenderedPageBreak/>
        <w:t>Conclusion</w:t>
      </w:r>
    </w:p>
    <w:p w14:paraId="53263350" w14:textId="06006F56" w:rsidR="00A70905" w:rsidRPr="0023724F" w:rsidRDefault="00A70905" w:rsidP="0023724F">
      <w:pPr>
        <w:spacing w:before="100" w:beforeAutospacing="1" w:after="100" w:afterAutospacing="1" w:line="360" w:lineRule="auto"/>
        <w:rPr>
          <w:rFonts w:eastAsia="Times New Roman"/>
          <w:kern w:val="0"/>
          <w:lang w:eastAsia="en-GB"/>
          <w14:ligatures w14:val="none"/>
        </w:rPr>
      </w:pPr>
      <w:r w:rsidRPr="0023724F">
        <w:rPr>
          <w:rFonts w:eastAsia="Times New Roman"/>
          <w:kern w:val="0"/>
          <w:lang w:eastAsia="en-GB"/>
          <w14:ligatures w14:val="none"/>
        </w:rPr>
        <w:t>This report has critically examined the impact of SDG 3 (Good Health and Wellbeing) and SDG 10 (Reduced Inequalities) on health and wellbeing at global, national and local levels. The analysis demonstrated that although significant progress has been achieved through initiatives such as Universal Health Coverage, the NHS Long Term Plan and the West Midlands Inclusive Growth Framework, substantial inequalities remain. These inequalities continue to affect access to healthcare, health outcomes and overall wellbeing.</w:t>
      </w:r>
      <w:r w:rsidR="003918F2">
        <w:rPr>
          <w:rFonts w:eastAsia="Times New Roman"/>
          <w:kern w:val="0"/>
          <w:lang w:eastAsia="en-GB"/>
          <w14:ligatures w14:val="none"/>
        </w:rPr>
        <w:t xml:space="preserve"> </w:t>
      </w:r>
      <w:r w:rsidRPr="0023724F">
        <w:rPr>
          <w:rFonts w:eastAsia="Times New Roman"/>
          <w:kern w:val="0"/>
          <w:lang w:eastAsia="en-GB"/>
          <w14:ligatures w14:val="none"/>
        </w:rPr>
        <w:t>The application of the Health Belief Model, Social Cognitive Theory and the Social Determinants of Health Framework highlighted that health is influenced by both individual behaviours and wider social, economic and environmental factors. Consequently, healthcare interventions alone are insufficient to achieve sustainable improvements in population health. Effective progress towards SDG 3 requires simultaneous action on SDG 10 because inequalities in income, education, employment and housing contribute significantly to health</w:t>
      </w:r>
      <w:r w:rsidR="003918F2">
        <w:rPr>
          <w:rFonts w:eastAsia="Times New Roman"/>
          <w:kern w:val="0"/>
          <w:lang w:eastAsia="en-GB"/>
          <w14:ligatures w14:val="none"/>
        </w:rPr>
        <w:t xml:space="preserve"> </w:t>
      </w:r>
      <w:r w:rsidRPr="0023724F">
        <w:rPr>
          <w:rFonts w:eastAsia="Times New Roman"/>
          <w:kern w:val="0"/>
          <w:lang w:eastAsia="en-GB"/>
          <w14:ligatures w14:val="none"/>
        </w:rPr>
        <w:t>disparities.</w:t>
      </w:r>
      <w:r w:rsidR="003918F2">
        <w:rPr>
          <w:rFonts w:eastAsia="Times New Roman"/>
          <w:kern w:val="0"/>
          <w:lang w:eastAsia="en-GB"/>
          <w14:ligatures w14:val="none"/>
        </w:rPr>
        <w:t xml:space="preserve"> </w:t>
      </w:r>
      <w:r w:rsidRPr="0023724F">
        <w:rPr>
          <w:rFonts w:eastAsia="Times New Roman"/>
          <w:kern w:val="0"/>
          <w:lang w:eastAsia="en-GB"/>
          <w14:ligatures w14:val="none"/>
        </w:rPr>
        <w:t>The report concludes that future policy should adopt a whole-system approach that integrates healthcare, public health, education, housing and economic development. Such an approach is essential for creating healthier, more equitable and sustainable communities. Ultimately, achieving the Sustainable Development Goals requires not only improving healthcare services but also addressing the structural inequalities that underpin poor health and wellbeing.</w:t>
      </w:r>
    </w:p>
    <w:p w14:paraId="012E07FD" w14:textId="77777777" w:rsidR="00A70905" w:rsidRPr="0023724F" w:rsidRDefault="00A70905" w:rsidP="0023724F">
      <w:pPr>
        <w:spacing w:line="360" w:lineRule="auto"/>
        <w:rPr>
          <w:b/>
          <w:bCs/>
        </w:rPr>
      </w:pPr>
    </w:p>
    <w:p w14:paraId="227F9F9B" w14:textId="77777777" w:rsidR="00A70905" w:rsidRDefault="00A70905" w:rsidP="0023724F">
      <w:pPr>
        <w:spacing w:line="360" w:lineRule="auto"/>
        <w:rPr>
          <w:b/>
          <w:bCs/>
        </w:rPr>
      </w:pPr>
    </w:p>
    <w:p w14:paraId="17AF3297" w14:textId="77777777" w:rsidR="003918F2" w:rsidRDefault="003918F2" w:rsidP="0023724F">
      <w:pPr>
        <w:spacing w:line="360" w:lineRule="auto"/>
        <w:rPr>
          <w:b/>
          <w:bCs/>
        </w:rPr>
      </w:pPr>
    </w:p>
    <w:p w14:paraId="75DC1DA8" w14:textId="77777777" w:rsidR="003918F2" w:rsidRDefault="003918F2" w:rsidP="0023724F">
      <w:pPr>
        <w:spacing w:line="360" w:lineRule="auto"/>
        <w:rPr>
          <w:b/>
          <w:bCs/>
        </w:rPr>
      </w:pPr>
    </w:p>
    <w:p w14:paraId="50B88F4D" w14:textId="77777777" w:rsidR="003918F2" w:rsidRDefault="003918F2" w:rsidP="0023724F">
      <w:pPr>
        <w:spacing w:line="360" w:lineRule="auto"/>
        <w:rPr>
          <w:b/>
          <w:bCs/>
        </w:rPr>
      </w:pPr>
    </w:p>
    <w:p w14:paraId="63C26BEA" w14:textId="77777777" w:rsidR="003918F2" w:rsidRPr="0023724F" w:rsidRDefault="003918F2" w:rsidP="0023724F">
      <w:pPr>
        <w:spacing w:line="360" w:lineRule="auto"/>
        <w:rPr>
          <w:b/>
          <w:bCs/>
        </w:rPr>
      </w:pPr>
    </w:p>
    <w:p w14:paraId="3BCC02E4" w14:textId="77777777" w:rsidR="00A70905" w:rsidRPr="0023724F" w:rsidRDefault="00A70905" w:rsidP="0023724F">
      <w:pPr>
        <w:spacing w:line="360" w:lineRule="auto"/>
        <w:rPr>
          <w:b/>
          <w:bCs/>
        </w:rPr>
      </w:pPr>
    </w:p>
    <w:p w14:paraId="6A5466E1" w14:textId="77777777" w:rsidR="00A70905" w:rsidRDefault="00A70905" w:rsidP="0023724F">
      <w:pPr>
        <w:spacing w:line="360" w:lineRule="auto"/>
        <w:rPr>
          <w:b/>
          <w:bCs/>
        </w:rPr>
      </w:pPr>
    </w:p>
    <w:p w14:paraId="19C86098" w14:textId="77777777" w:rsidR="003918F2" w:rsidRDefault="003918F2" w:rsidP="0023724F">
      <w:pPr>
        <w:spacing w:line="360" w:lineRule="auto"/>
        <w:rPr>
          <w:b/>
          <w:bCs/>
        </w:rPr>
      </w:pPr>
    </w:p>
    <w:p w14:paraId="0BAA2A30" w14:textId="77777777" w:rsidR="003918F2" w:rsidRDefault="003918F2" w:rsidP="0023724F">
      <w:pPr>
        <w:spacing w:line="360" w:lineRule="auto"/>
        <w:rPr>
          <w:b/>
          <w:bCs/>
        </w:rPr>
      </w:pPr>
    </w:p>
    <w:p w14:paraId="06967CE6" w14:textId="77777777" w:rsidR="003918F2" w:rsidRDefault="003918F2" w:rsidP="0023724F">
      <w:pPr>
        <w:spacing w:line="360" w:lineRule="auto"/>
        <w:rPr>
          <w:b/>
          <w:bCs/>
        </w:rPr>
      </w:pPr>
    </w:p>
    <w:p w14:paraId="42B3BD32" w14:textId="77777777" w:rsidR="003918F2" w:rsidRPr="0023724F" w:rsidRDefault="003918F2" w:rsidP="0023724F">
      <w:pPr>
        <w:spacing w:line="360" w:lineRule="auto"/>
        <w:rPr>
          <w:b/>
          <w:bCs/>
        </w:rPr>
      </w:pPr>
    </w:p>
    <w:p w14:paraId="0F7C5286" w14:textId="151AAF83" w:rsidR="00A70905" w:rsidRPr="0023724F" w:rsidRDefault="00A70905" w:rsidP="0023724F">
      <w:pPr>
        <w:spacing w:line="360" w:lineRule="auto"/>
        <w:rPr>
          <w:b/>
          <w:bCs/>
        </w:rPr>
      </w:pPr>
      <w:r w:rsidRPr="0023724F">
        <w:rPr>
          <w:b/>
          <w:bCs/>
        </w:rPr>
        <w:lastRenderedPageBreak/>
        <w:t>Reference</w:t>
      </w:r>
      <w:r w:rsidRPr="0023724F">
        <w:rPr>
          <w:b/>
          <w:bCs/>
        </w:rPr>
        <w:t>s</w:t>
      </w:r>
      <w:r w:rsidRPr="0023724F">
        <w:rPr>
          <w:b/>
          <w:bCs/>
        </w:rPr>
        <w:t xml:space="preserve"> </w:t>
      </w:r>
    </w:p>
    <w:p w14:paraId="2F76911C" w14:textId="77777777" w:rsidR="00A70905" w:rsidRPr="0023724F" w:rsidRDefault="00A70905" w:rsidP="0023724F">
      <w:pPr>
        <w:spacing w:line="360" w:lineRule="auto"/>
      </w:pPr>
      <w:proofErr w:type="spellStart"/>
      <w:r w:rsidRPr="0023724F">
        <w:t>Alderwick</w:t>
      </w:r>
      <w:proofErr w:type="spellEnd"/>
      <w:r w:rsidRPr="0023724F">
        <w:t xml:space="preserve">, H. and Dixon, J. (2019) ‘The NHS long term plan’, </w:t>
      </w:r>
      <w:r w:rsidRPr="0023724F">
        <w:rPr>
          <w:i/>
          <w:iCs/>
        </w:rPr>
        <w:t>BMJ</w:t>
      </w:r>
      <w:r w:rsidRPr="0023724F">
        <w:t>, 364, p. l84.</w:t>
      </w:r>
    </w:p>
    <w:p w14:paraId="72A99C03" w14:textId="77777777" w:rsidR="00A70905" w:rsidRPr="0023724F" w:rsidRDefault="00A70905" w:rsidP="0023724F">
      <w:pPr>
        <w:spacing w:line="360" w:lineRule="auto"/>
      </w:pPr>
      <w:r w:rsidRPr="0023724F">
        <w:t xml:space="preserve">Bambra, C. (2016) </w:t>
      </w:r>
      <w:r w:rsidRPr="0023724F">
        <w:rPr>
          <w:i/>
          <w:iCs/>
        </w:rPr>
        <w:t>Health Divides: Where You Live Can Kill You</w:t>
      </w:r>
      <w:r w:rsidRPr="0023724F">
        <w:t>. Bristol: Policy Press.</w:t>
      </w:r>
    </w:p>
    <w:p w14:paraId="6FD30BCF" w14:textId="77777777" w:rsidR="00A70905" w:rsidRPr="0023724F" w:rsidRDefault="00A70905" w:rsidP="0023724F">
      <w:pPr>
        <w:spacing w:line="360" w:lineRule="auto"/>
      </w:pPr>
      <w:r w:rsidRPr="0023724F">
        <w:t xml:space="preserve">Bandura, A. (1986) </w:t>
      </w:r>
      <w:r w:rsidRPr="0023724F">
        <w:rPr>
          <w:i/>
          <w:iCs/>
        </w:rPr>
        <w:t>Social Foundations of Thought and Action: A Social Cognitive Theory</w:t>
      </w:r>
      <w:r w:rsidRPr="0023724F">
        <w:t>. Englewood Cliffs, NJ: Prentice Hall.</w:t>
      </w:r>
    </w:p>
    <w:p w14:paraId="0E78F39F" w14:textId="77777777" w:rsidR="00A70905" w:rsidRPr="0023724F" w:rsidRDefault="00A70905" w:rsidP="0023724F">
      <w:pPr>
        <w:spacing w:line="360" w:lineRule="auto"/>
      </w:pPr>
      <w:r w:rsidRPr="0023724F">
        <w:t xml:space="preserve">Braveman, P. and Gottlieb, L. (2014) ‘The social determinants of health: It’s time to consider the causes of the causes’, </w:t>
      </w:r>
      <w:r w:rsidRPr="0023724F">
        <w:rPr>
          <w:i/>
          <w:iCs/>
        </w:rPr>
        <w:t>Public Health Reports</w:t>
      </w:r>
      <w:r w:rsidRPr="0023724F">
        <w:t>, 129(Suppl. 2), pp. 19–31.</w:t>
      </w:r>
    </w:p>
    <w:p w14:paraId="5126D222" w14:textId="77777777" w:rsidR="00A70905" w:rsidRPr="0023724F" w:rsidRDefault="00A70905" w:rsidP="0023724F">
      <w:pPr>
        <w:spacing w:line="360" w:lineRule="auto"/>
      </w:pPr>
      <w:r w:rsidRPr="0023724F">
        <w:t xml:space="preserve">Dahlgren, G. and Whitehead, M. (1991) </w:t>
      </w:r>
      <w:r w:rsidRPr="0023724F">
        <w:rPr>
          <w:i/>
          <w:iCs/>
        </w:rPr>
        <w:t>Policies and Strategies to Promote Social Equity in Health</w:t>
      </w:r>
      <w:r w:rsidRPr="0023724F">
        <w:t>. Stockholm: Institute for Futures Studies.</w:t>
      </w:r>
    </w:p>
    <w:p w14:paraId="5958451B" w14:textId="77777777" w:rsidR="00A70905" w:rsidRPr="0023724F" w:rsidRDefault="00A70905" w:rsidP="0023724F">
      <w:pPr>
        <w:spacing w:line="360" w:lineRule="auto"/>
      </w:pPr>
      <w:r w:rsidRPr="0023724F">
        <w:t xml:space="preserve">Glanz, K., Rimer, B.K. and Viswanath, K. (2015) </w:t>
      </w:r>
      <w:r w:rsidRPr="0023724F">
        <w:rPr>
          <w:i/>
          <w:iCs/>
        </w:rPr>
        <w:t>Health Behavior: Theory, Research and Practice</w:t>
      </w:r>
      <w:r w:rsidRPr="0023724F">
        <w:t xml:space="preserve">. 5th </w:t>
      </w:r>
      <w:proofErr w:type="spellStart"/>
      <w:r w:rsidRPr="0023724F">
        <w:t>edn</w:t>
      </w:r>
      <w:proofErr w:type="spellEnd"/>
      <w:r w:rsidRPr="0023724F">
        <w:t>. San Francisco: Jossey-Bass.</w:t>
      </w:r>
    </w:p>
    <w:p w14:paraId="2A600616" w14:textId="77777777" w:rsidR="00A70905" w:rsidRPr="0023724F" w:rsidRDefault="00A70905" w:rsidP="0023724F">
      <w:pPr>
        <w:spacing w:line="360" w:lineRule="auto"/>
      </w:pPr>
      <w:r w:rsidRPr="0023724F">
        <w:t xml:space="preserve">Kickbusch, I., Allen, L. and Franz, C. (2021) ‘The commercial determinants of health’, </w:t>
      </w:r>
      <w:r w:rsidRPr="0023724F">
        <w:rPr>
          <w:i/>
          <w:iCs/>
        </w:rPr>
        <w:t>The Lancet Global Health</w:t>
      </w:r>
      <w:r w:rsidRPr="0023724F">
        <w:t>, 9(10), pp. e1351–e1352.</w:t>
      </w:r>
    </w:p>
    <w:p w14:paraId="40D63556" w14:textId="77777777" w:rsidR="00A70905" w:rsidRPr="0023724F" w:rsidRDefault="00A70905" w:rsidP="0023724F">
      <w:pPr>
        <w:spacing w:line="360" w:lineRule="auto"/>
      </w:pPr>
      <w:r w:rsidRPr="0023724F">
        <w:t xml:space="preserve">King’s Fund (2024) </w:t>
      </w:r>
      <w:r w:rsidRPr="0023724F">
        <w:rPr>
          <w:i/>
          <w:iCs/>
        </w:rPr>
        <w:t>NHS Performance and Pressures</w:t>
      </w:r>
      <w:r w:rsidRPr="0023724F">
        <w:t>. London: The King’s Fund.</w:t>
      </w:r>
    </w:p>
    <w:p w14:paraId="74C8F8AF" w14:textId="77777777" w:rsidR="00A70905" w:rsidRPr="0023724F" w:rsidRDefault="00A70905" w:rsidP="0023724F">
      <w:pPr>
        <w:spacing w:line="360" w:lineRule="auto"/>
      </w:pPr>
      <w:r w:rsidRPr="0023724F">
        <w:t xml:space="preserve">Mackenbach, J.P. (2019) </w:t>
      </w:r>
      <w:r w:rsidRPr="0023724F">
        <w:rPr>
          <w:i/>
          <w:iCs/>
        </w:rPr>
        <w:t>Health Inequalities: Persistence and Change in European Welfare States</w:t>
      </w:r>
      <w:r w:rsidRPr="0023724F">
        <w:t>. Oxford: Oxford University Press.</w:t>
      </w:r>
    </w:p>
    <w:p w14:paraId="5CF9469C" w14:textId="77777777" w:rsidR="00A70905" w:rsidRPr="0023724F" w:rsidRDefault="00A70905" w:rsidP="0023724F">
      <w:pPr>
        <w:spacing w:line="360" w:lineRule="auto"/>
      </w:pPr>
      <w:r w:rsidRPr="0023724F">
        <w:t xml:space="preserve">Marmot, M. (2015) </w:t>
      </w:r>
      <w:r w:rsidRPr="0023724F">
        <w:rPr>
          <w:i/>
          <w:iCs/>
        </w:rPr>
        <w:t>The Health Gap: The Challenge of an Unequal World</w:t>
      </w:r>
      <w:r w:rsidRPr="0023724F">
        <w:t>. London: Bloomsbury.</w:t>
      </w:r>
    </w:p>
    <w:p w14:paraId="6216C462" w14:textId="77777777" w:rsidR="00A70905" w:rsidRPr="0023724F" w:rsidRDefault="00A70905" w:rsidP="0023724F">
      <w:pPr>
        <w:spacing w:line="360" w:lineRule="auto"/>
      </w:pPr>
      <w:r w:rsidRPr="0023724F">
        <w:t xml:space="preserve">Marmot, M. et al. (2010) </w:t>
      </w:r>
      <w:r w:rsidRPr="0023724F">
        <w:rPr>
          <w:i/>
          <w:iCs/>
        </w:rPr>
        <w:t>Fair Society, Healthy Lives: Strategic Review of Health Inequalities in England Post-2010</w:t>
      </w:r>
      <w:r w:rsidRPr="0023724F">
        <w:t>. London: The Marmot Review.</w:t>
      </w:r>
    </w:p>
    <w:p w14:paraId="1E78CB28" w14:textId="77777777" w:rsidR="00A70905" w:rsidRPr="0023724F" w:rsidRDefault="00A70905" w:rsidP="0023724F">
      <w:pPr>
        <w:spacing w:line="360" w:lineRule="auto"/>
      </w:pPr>
      <w:r w:rsidRPr="0023724F">
        <w:t xml:space="preserve">Marmot, M., Allen, J., Boyce, T., Goldblatt, P. and Morrison, J. (2020) </w:t>
      </w:r>
      <w:r w:rsidRPr="0023724F">
        <w:rPr>
          <w:i/>
          <w:iCs/>
        </w:rPr>
        <w:t>Health Equity in England: The Marmot Review 10 Years On</w:t>
      </w:r>
      <w:r w:rsidRPr="0023724F">
        <w:t>. London: Institute of Health Equity.</w:t>
      </w:r>
    </w:p>
    <w:p w14:paraId="1B16720F" w14:textId="77777777" w:rsidR="00A70905" w:rsidRPr="0023724F" w:rsidRDefault="00A70905" w:rsidP="0023724F">
      <w:pPr>
        <w:spacing w:line="360" w:lineRule="auto"/>
      </w:pPr>
      <w:r w:rsidRPr="0023724F">
        <w:t xml:space="preserve">NHS England (2019) </w:t>
      </w:r>
      <w:r w:rsidRPr="0023724F">
        <w:rPr>
          <w:i/>
          <w:iCs/>
        </w:rPr>
        <w:t>The NHS Long Term Plan</w:t>
      </w:r>
      <w:r w:rsidRPr="0023724F">
        <w:t>. London: NHS England.</w:t>
      </w:r>
    </w:p>
    <w:p w14:paraId="47226996" w14:textId="77777777" w:rsidR="00A70905" w:rsidRPr="0023724F" w:rsidRDefault="00A70905" w:rsidP="0023724F">
      <w:pPr>
        <w:spacing w:line="360" w:lineRule="auto"/>
      </w:pPr>
      <w:r w:rsidRPr="0023724F">
        <w:t xml:space="preserve">NHS England (2021) </w:t>
      </w:r>
      <w:r w:rsidRPr="0023724F">
        <w:rPr>
          <w:i/>
          <w:iCs/>
        </w:rPr>
        <w:t>Core20PLUS5: An Approach to Reducing Healthcare Inequalities</w:t>
      </w:r>
      <w:r w:rsidRPr="0023724F">
        <w:t>. London: NHS England.</w:t>
      </w:r>
    </w:p>
    <w:p w14:paraId="0E398BEB" w14:textId="77777777" w:rsidR="00A70905" w:rsidRPr="0023724F" w:rsidRDefault="00A70905" w:rsidP="0023724F">
      <w:pPr>
        <w:spacing w:line="360" w:lineRule="auto"/>
      </w:pPr>
      <w:r w:rsidRPr="0023724F">
        <w:t xml:space="preserve">Nutbeam, D. and Lloyd, J.E. (2021) ‘Understanding and responding to health literacy as a social determinant of health’, </w:t>
      </w:r>
      <w:r w:rsidRPr="0023724F">
        <w:rPr>
          <w:i/>
          <w:iCs/>
        </w:rPr>
        <w:t>Annual Review of Public Health</w:t>
      </w:r>
      <w:r w:rsidRPr="0023724F">
        <w:t>, 42, pp. 159–173.</w:t>
      </w:r>
    </w:p>
    <w:p w14:paraId="50B9637A" w14:textId="77777777" w:rsidR="00A70905" w:rsidRPr="0023724F" w:rsidRDefault="00A70905" w:rsidP="0023724F">
      <w:pPr>
        <w:spacing w:line="360" w:lineRule="auto"/>
      </w:pPr>
      <w:r w:rsidRPr="0023724F">
        <w:t xml:space="preserve">Office for National Statistics (2024) </w:t>
      </w:r>
      <w:r w:rsidRPr="0023724F">
        <w:rPr>
          <w:i/>
          <w:iCs/>
        </w:rPr>
        <w:t>Health State Life Expectancies, UK: 2021 to 2023</w:t>
      </w:r>
      <w:r w:rsidRPr="0023724F">
        <w:t>. Newport: ONS.</w:t>
      </w:r>
    </w:p>
    <w:p w14:paraId="732A267E" w14:textId="77777777" w:rsidR="00A70905" w:rsidRPr="0023724F" w:rsidRDefault="00A70905" w:rsidP="0023724F">
      <w:pPr>
        <w:spacing w:line="360" w:lineRule="auto"/>
      </w:pPr>
      <w:r w:rsidRPr="0023724F">
        <w:lastRenderedPageBreak/>
        <w:t xml:space="preserve">Pickett, K.E. and Wilkinson, R.G. (2015) ‘Income inequality and health: A causal review’, </w:t>
      </w:r>
      <w:r w:rsidRPr="0023724F">
        <w:rPr>
          <w:i/>
          <w:iCs/>
        </w:rPr>
        <w:t>Social Science &amp; Medicine</w:t>
      </w:r>
      <w:r w:rsidRPr="0023724F">
        <w:t>, 128, pp. 316–326.</w:t>
      </w:r>
    </w:p>
    <w:p w14:paraId="3313B48C" w14:textId="77777777" w:rsidR="00A70905" w:rsidRPr="0023724F" w:rsidRDefault="00A70905" w:rsidP="0023724F">
      <w:pPr>
        <w:spacing w:line="360" w:lineRule="auto"/>
      </w:pPr>
      <w:r w:rsidRPr="0023724F">
        <w:t xml:space="preserve">Rosenstock, I.M. (1974) ‘Historical origins of the Health Belief Model’, </w:t>
      </w:r>
      <w:r w:rsidRPr="0023724F">
        <w:rPr>
          <w:i/>
          <w:iCs/>
        </w:rPr>
        <w:t>Health Education Monographs</w:t>
      </w:r>
      <w:r w:rsidRPr="0023724F">
        <w:t>, 2(4), pp. 328–335.</w:t>
      </w:r>
    </w:p>
    <w:p w14:paraId="1602339B" w14:textId="77777777" w:rsidR="00A70905" w:rsidRPr="0023724F" w:rsidRDefault="00A70905" w:rsidP="0023724F">
      <w:pPr>
        <w:spacing w:line="360" w:lineRule="auto"/>
      </w:pPr>
      <w:r w:rsidRPr="0023724F">
        <w:t xml:space="preserve">Solar, O. and Irwin, A. (2010) </w:t>
      </w:r>
      <w:r w:rsidRPr="0023724F">
        <w:rPr>
          <w:i/>
          <w:iCs/>
        </w:rPr>
        <w:t>A Conceptual Framework for Action on the Social Determinants of Health</w:t>
      </w:r>
      <w:r w:rsidRPr="0023724F">
        <w:t>. Geneva: World Health Organization.</w:t>
      </w:r>
    </w:p>
    <w:p w14:paraId="6D82857E" w14:textId="77777777" w:rsidR="00A70905" w:rsidRPr="0023724F" w:rsidRDefault="00A70905" w:rsidP="0023724F">
      <w:pPr>
        <w:spacing w:line="360" w:lineRule="auto"/>
      </w:pPr>
      <w:r w:rsidRPr="0023724F">
        <w:t xml:space="preserve">The Lancet (2022) ‘COVID-19 and health inequalities’, </w:t>
      </w:r>
      <w:r w:rsidRPr="0023724F">
        <w:rPr>
          <w:i/>
          <w:iCs/>
        </w:rPr>
        <w:t>The Lancet</w:t>
      </w:r>
      <w:r w:rsidRPr="0023724F">
        <w:t>, 399(10332), pp. 1461–1462.</w:t>
      </w:r>
    </w:p>
    <w:p w14:paraId="434817DA" w14:textId="77777777" w:rsidR="00A70905" w:rsidRPr="0023724F" w:rsidRDefault="00A70905" w:rsidP="0023724F">
      <w:pPr>
        <w:spacing w:line="360" w:lineRule="auto"/>
      </w:pPr>
      <w:r w:rsidRPr="0023724F">
        <w:t xml:space="preserve">UK Government (2022) </w:t>
      </w:r>
      <w:r w:rsidRPr="0023724F">
        <w:rPr>
          <w:i/>
          <w:iCs/>
        </w:rPr>
        <w:t>Levelling Up the United Kingdom</w:t>
      </w:r>
      <w:r w:rsidRPr="0023724F">
        <w:t>. London: HM Government.</w:t>
      </w:r>
    </w:p>
    <w:p w14:paraId="3FC7E162" w14:textId="77777777" w:rsidR="00A70905" w:rsidRPr="0023724F" w:rsidRDefault="00A70905" w:rsidP="0023724F">
      <w:pPr>
        <w:spacing w:line="360" w:lineRule="auto"/>
      </w:pPr>
      <w:r w:rsidRPr="0023724F">
        <w:t xml:space="preserve">United Nations (2015) </w:t>
      </w:r>
      <w:r w:rsidRPr="0023724F">
        <w:rPr>
          <w:i/>
          <w:iCs/>
        </w:rPr>
        <w:t>Transforming Our World: The 2030 Agenda for Sustainable Development</w:t>
      </w:r>
      <w:r w:rsidRPr="0023724F">
        <w:t>. New York: United Nations.</w:t>
      </w:r>
    </w:p>
    <w:p w14:paraId="721E489C" w14:textId="77777777" w:rsidR="00A70905" w:rsidRPr="0023724F" w:rsidRDefault="00A70905" w:rsidP="0023724F">
      <w:pPr>
        <w:spacing w:line="360" w:lineRule="auto"/>
      </w:pPr>
      <w:r w:rsidRPr="0023724F">
        <w:t xml:space="preserve">United Nations (2024) </w:t>
      </w:r>
      <w:r w:rsidRPr="0023724F">
        <w:rPr>
          <w:i/>
          <w:iCs/>
        </w:rPr>
        <w:t>The Sustainable Development Goals Report 2024</w:t>
      </w:r>
      <w:r w:rsidRPr="0023724F">
        <w:t>. New York: United Nations.</w:t>
      </w:r>
    </w:p>
    <w:p w14:paraId="0ED48AFA" w14:textId="77777777" w:rsidR="00A70905" w:rsidRPr="0023724F" w:rsidRDefault="00A70905" w:rsidP="0023724F">
      <w:pPr>
        <w:spacing w:line="360" w:lineRule="auto"/>
      </w:pPr>
      <w:r w:rsidRPr="0023724F">
        <w:t xml:space="preserve">West Midlands Combined Authority (2021) </w:t>
      </w:r>
      <w:r w:rsidRPr="0023724F">
        <w:rPr>
          <w:i/>
          <w:iCs/>
        </w:rPr>
        <w:t>Inclusive Growth Framework</w:t>
      </w:r>
      <w:r w:rsidRPr="0023724F">
        <w:t>. Birmingham: West Midlands Combined Authority.</w:t>
      </w:r>
    </w:p>
    <w:p w14:paraId="0AE44781" w14:textId="77777777" w:rsidR="00A70905" w:rsidRPr="0023724F" w:rsidRDefault="00A70905" w:rsidP="0023724F">
      <w:pPr>
        <w:spacing w:line="360" w:lineRule="auto"/>
      </w:pPr>
      <w:r w:rsidRPr="0023724F">
        <w:t xml:space="preserve">West Midlands Combined Authority (2023) </w:t>
      </w:r>
      <w:r w:rsidRPr="0023724F">
        <w:rPr>
          <w:i/>
          <w:iCs/>
        </w:rPr>
        <w:t>Thrive at Work Programme Evaluation Report</w:t>
      </w:r>
      <w:r w:rsidRPr="0023724F">
        <w:t>. Birmingham: West Midlands Combined Authority.</w:t>
      </w:r>
    </w:p>
    <w:p w14:paraId="7297D98E" w14:textId="77777777" w:rsidR="00A70905" w:rsidRPr="0023724F" w:rsidRDefault="00A70905" w:rsidP="0023724F">
      <w:pPr>
        <w:spacing w:line="360" w:lineRule="auto"/>
      </w:pPr>
      <w:r w:rsidRPr="0023724F">
        <w:t xml:space="preserve">Wilkinson, R. and Pickett, K. (2018) </w:t>
      </w:r>
      <w:r w:rsidRPr="0023724F">
        <w:rPr>
          <w:i/>
          <w:iCs/>
        </w:rPr>
        <w:t>The Inner Level: How More Equal Societies Reduce Stress, Restore Sanity and Improve Everyone’s Wellbeing</w:t>
      </w:r>
      <w:r w:rsidRPr="0023724F">
        <w:t>. London: Penguin Books.</w:t>
      </w:r>
    </w:p>
    <w:p w14:paraId="4682178B" w14:textId="77777777" w:rsidR="00A70905" w:rsidRPr="0023724F" w:rsidRDefault="00A70905" w:rsidP="0023724F">
      <w:pPr>
        <w:spacing w:line="360" w:lineRule="auto"/>
      </w:pPr>
      <w:r w:rsidRPr="0023724F">
        <w:t xml:space="preserve">World Bank (2023) </w:t>
      </w:r>
      <w:r w:rsidRPr="0023724F">
        <w:rPr>
          <w:i/>
          <w:iCs/>
        </w:rPr>
        <w:t xml:space="preserve">Poverty, Prosperity and Planet Report 2023: Pathways Out of the </w:t>
      </w:r>
      <w:proofErr w:type="spellStart"/>
      <w:r w:rsidRPr="0023724F">
        <w:rPr>
          <w:i/>
          <w:iCs/>
        </w:rPr>
        <w:t>Polycrisis</w:t>
      </w:r>
      <w:proofErr w:type="spellEnd"/>
      <w:r w:rsidRPr="0023724F">
        <w:t>. Washington, DC: World Bank.</w:t>
      </w:r>
    </w:p>
    <w:p w14:paraId="07CE0C30" w14:textId="77777777" w:rsidR="00A70905" w:rsidRPr="0023724F" w:rsidRDefault="00A70905" w:rsidP="0023724F">
      <w:pPr>
        <w:spacing w:line="360" w:lineRule="auto"/>
      </w:pPr>
      <w:r w:rsidRPr="0023724F">
        <w:t xml:space="preserve">World Health Organization (2008) </w:t>
      </w:r>
      <w:r w:rsidRPr="0023724F">
        <w:rPr>
          <w:i/>
          <w:iCs/>
        </w:rPr>
        <w:t>Closing the Gap in a Generation: Health Equity Through Action on the Social Determinants of Health</w:t>
      </w:r>
      <w:r w:rsidRPr="0023724F">
        <w:t>. Geneva: WHO.</w:t>
      </w:r>
    </w:p>
    <w:p w14:paraId="06B63501" w14:textId="77777777" w:rsidR="00A70905" w:rsidRPr="0023724F" w:rsidRDefault="00A70905" w:rsidP="0023724F">
      <w:pPr>
        <w:spacing w:line="360" w:lineRule="auto"/>
      </w:pPr>
      <w:r w:rsidRPr="0023724F">
        <w:t xml:space="preserve">World Health Organization (2023) </w:t>
      </w:r>
      <w:r w:rsidRPr="0023724F">
        <w:rPr>
          <w:i/>
          <w:iCs/>
        </w:rPr>
        <w:t>World Health Statistics 2023: Monitoring Health for the SDGs</w:t>
      </w:r>
      <w:r w:rsidRPr="0023724F">
        <w:t>. Geneva: WHO.</w:t>
      </w:r>
    </w:p>
    <w:p w14:paraId="171C173F" w14:textId="77777777" w:rsidR="00A70905" w:rsidRPr="0023724F" w:rsidRDefault="00A70905" w:rsidP="0023724F">
      <w:pPr>
        <w:spacing w:line="360" w:lineRule="auto"/>
      </w:pPr>
      <w:r w:rsidRPr="0023724F">
        <w:t xml:space="preserve">World Health Organization (2024) </w:t>
      </w:r>
      <w:r w:rsidRPr="0023724F">
        <w:rPr>
          <w:i/>
          <w:iCs/>
        </w:rPr>
        <w:t>Universal Health Coverage (UHC): Fact Sheet</w:t>
      </w:r>
      <w:r w:rsidRPr="0023724F">
        <w:t>. Geneva: WHO.</w:t>
      </w:r>
    </w:p>
    <w:p w14:paraId="03B69C4F" w14:textId="77777777" w:rsidR="00951AD2" w:rsidRPr="0023724F" w:rsidRDefault="00951AD2" w:rsidP="0023724F">
      <w:pPr>
        <w:spacing w:line="360" w:lineRule="auto"/>
      </w:pPr>
    </w:p>
    <w:sectPr w:rsidR="00951AD2" w:rsidRPr="0023724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6CFF5" w14:textId="77777777" w:rsidR="0014656B" w:rsidRDefault="0014656B" w:rsidP="001C5248">
      <w:pPr>
        <w:spacing w:after="0" w:line="240" w:lineRule="auto"/>
      </w:pPr>
      <w:r>
        <w:separator/>
      </w:r>
    </w:p>
  </w:endnote>
  <w:endnote w:type="continuationSeparator" w:id="0">
    <w:p w14:paraId="4F060927" w14:textId="77777777" w:rsidR="0014656B" w:rsidRDefault="0014656B" w:rsidP="001C5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391264"/>
      <w:docPartObj>
        <w:docPartGallery w:val="Page Numbers (Bottom of Page)"/>
        <w:docPartUnique/>
      </w:docPartObj>
    </w:sdtPr>
    <w:sdtEndPr>
      <w:rPr>
        <w:noProof/>
      </w:rPr>
    </w:sdtEndPr>
    <w:sdtContent>
      <w:p w14:paraId="195429F7" w14:textId="7B9E784A" w:rsidR="001C5248" w:rsidRDefault="001C52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17D1CE" w14:textId="77777777" w:rsidR="001C5248" w:rsidRDefault="001C5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F1E44" w14:textId="77777777" w:rsidR="0014656B" w:rsidRDefault="0014656B" w:rsidP="001C5248">
      <w:pPr>
        <w:spacing w:after="0" w:line="240" w:lineRule="auto"/>
      </w:pPr>
      <w:r>
        <w:separator/>
      </w:r>
    </w:p>
  </w:footnote>
  <w:footnote w:type="continuationSeparator" w:id="0">
    <w:p w14:paraId="59FB630B" w14:textId="77777777" w:rsidR="0014656B" w:rsidRDefault="0014656B" w:rsidP="001C52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56"/>
    <w:rsid w:val="0014656B"/>
    <w:rsid w:val="001C5248"/>
    <w:rsid w:val="0023724F"/>
    <w:rsid w:val="002E28B5"/>
    <w:rsid w:val="003918F2"/>
    <w:rsid w:val="00452458"/>
    <w:rsid w:val="00951AD2"/>
    <w:rsid w:val="00997BE7"/>
    <w:rsid w:val="00A70905"/>
    <w:rsid w:val="00A76756"/>
    <w:rsid w:val="00C441BF"/>
    <w:rsid w:val="00DA52DE"/>
    <w:rsid w:val="00E106CD"/>
    <w:rsid w:val="00E818B1"/>
    <w:rsid w:val="00EA6E4C"/>
    <w:rsid w:val="00F31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5BC6"/>
  <w15:chartTrackingRefBased/>
  <w15:docId w15:val="{C00346A3-2427-4D2C-94D4-48DAAFFCB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75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75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7675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7675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675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675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675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75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75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7675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7675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7675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7675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7675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76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75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75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76756"/>
    <w:pPr>
      <w:spacing w:before="160"/>
      <w:jc w:val="center"/>
    </w:pPr>
    <w:rPr>
      <w:i/>
      <w:iCs/>
      <w:color w:val="404040" w:themeColor="text1" w:themeTint="BF"/>
    </w:rPr>
  </w:style>
  <w:style w:type="character" w:customStyle="1" w:styleId="QuoteChar">
    <w:name w:val="Quote Char"/>
    <w:basedOn w:val="DefaultParagraphFont"/>
    <w:link w:val="Quote"/>
    <w:uiPriority w:val="29"/>
    <w:rsid w:val="00A76756"/>
    <w:rPr>
      <w:i/>
      <w:iCs/>
      <w:color w:val="404040" w:themeColor="text1" w:themeTint="BF"/>
    </w:rPr>
  </w:style>
  <w:style w:type="paragraph" w:styleId="ListParagraph">
    <w:name w:val="List Paragraph"/>
    <w:basedOn w:val="Normal"/>
    <w:uiPriority w:val="34"/>
    <w:qFormat/>
    <w:rsid w:val="00A76756"/>
    <w:pPr>
      <w:ind w:left="720"/>
      <w:contextualSpacing/>
    </w:pPr>
  </w:style>
  <w:style w:type="character" w:styleId="IntenseEmphasis">
    <w:name w:val="Intense Emphasis"/>
    <w:basedOn w:val="DefaultParagraphFont"/>
    <w:uiPriority w:val="21"/>
    <w:qFormat/>
    <w:rsid w:val="00A76756"/>
    <w:rPr>
      <w:i/>
      <w:iCs/>
      <w:color w:val="0F4761" w:themeColor="accent1" w:themeShade="BF"/>
    </w:rPr>
  </w:style>
  <w:style w:type="paragraph" w:styleId="IntenseQuote">
    <w:name w:val="Intense Quote"/>
    <w:basedOn w:val="Normal"/>
    <w:next w:val="Normal"/>
    <w:link w:val="IntenseQuoteChar"/>
    <w:uiPriority w:val="30"/>
    <w:qFormat/>
    <w:rsid w:val="00A76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756"/>
    <w:rPr>
      <w:i/>
      <w:iCs/>
      <w:color w:val="0F4761" w:themeColor="accent1" w:themeShade="BF"/>
    </w:rPr>
  </w:style>
  <w:style w:type="character" w:styleId="IntenseReference">
    <w:name w:val="Intense Reference"/>
    <w:basedOn w:val="DefaultParagraphFont"/>
    <w:uiPriority w:val="32"/>
    <w:qFormat/>
    <w:rsid w:val="00A76756"/>
    <w:rPr>
      <w:b/>
      <w:bCs/>
      <w:smallCaps/>
      <w:color w:val="0F4761" w:themeColor="accent1" w:themeShade="BF"/>
      <w:spacing w:val="5"/>
    </w:rPr>
  </w:style>
  <w:style w:type="paragraph" w:styleId="Header">
    <w:name w:val="header"/>
    <w:basedOn w:val="Normal"/>
    <w:link w:val="HeaderChar"/>
    <w:uiPriority w:val="99"/>
    <w:unhideWhenUsed/>
    <w:rsid w:val="001C5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248"/>
  </w:style>
  <w:style w:type="paragraph" w:styleId="Footer">
    <w:name w:val="footer"/>
    <w:basedOn w:val="Normal"/>
    <w:link w:val="FooterChar"/>
    <w:uiPriority w:val="99"/>
    <w:unhideWhenUsed/>
    <w:rsid w:val="001C5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9</Pages>
  <Words>2892</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Fateha Altafi (2309157)</dc:creator>
  <cp:keywords/>
  <dc:description/>
  <cp:lastModifiedBy>Fateha Altafi (2309157)</cp:lastModifiedBy>
  <cp:revision>8</cp:revision>
  <dcterms:created xsi:type="dcterms:W3CDTF">2026-06-21T08:49:00Z</dcterms:created>
  <dcterms:modified xsi:type="dcterms:W3CDTF">2026-06-21T10:23:00Z</dcterms:modified>
</cp:coreProperties>
</file>