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073B8" w14:textId="77777777" w:rsidR="00612B77" w:rsidRDefault="00612B77"/>
    <w:p w14:paraId="0A442826" w14:textId="77777777" w:rsidR="000A41F9" w:rsidRPr="00121F7F" w:rsidRDefault="000A41F9" w:rsidP="000A41F9">
      <w:r w:rsidRPr="00121F7F">
        <w:rPr>
          <w:noProof/>
        </w:rPr>
        <w:drawing>
          <wp:inline distT="0" distB="0" distL="0" distR="0" wp14:anchorId="56427AEA" wp14:editId="4F723B7F">
            <wp:extent cx="2028825" cy="704850"/>
            <wp:effectExtent l="0" t="0" r="0" b="0"/>
            <wp:docPr id="1277079440" name="Picture 127707944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79440" name="Picture 1277079440" descr="A close-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3C4E629" w14:textId="77777777" w:rsidR="000A41F9" w:rsidRPr="00121F7F" w:rsidRDefault="000A41F9" w:rsidP="000A41F9"/>
    <w:p w14:paraId="63BEA11D" w14:textId="77777777" w:rsidR="000A41F9" w:rsidRPr="00121F7F" w:rsidRDefault="000A41F9" w:rsidP="000A41F9">
      <w:pPr>
        <w:rPr>
          <w:b/>
          <w:bCs/>
        </w:rPr>
      </w:pPr>
      <w:r w:rsidRPr="00121F7F">
        <w:rPr>
          <w:b/>
        </w:rPr>
        <w:t xml:space="preserve">GRADUATE CERTIFICATE in </w:t>
      </w:r>
      <w:r w:rsidRPr="00121F7F">
        <w:rPr>
          <w:b/>
          <w:bCs/>
        </w:rPr>
        <w:t>Consolidation of Social Work Practice</w:t>
      </w:r>
    </w:p>
    <w:p w14:paraId="2337B6DE" w14:textId="77777777" w:rsidR="000A41F9" w:rsidRPr="00121F7F" w:rsidRDefault="000A41F9" w:rsidP="000A41F9">
      <w:pPr>
        <w:rPr>
          <w:b/>
        </w:rPr>
      </w:pPr>
      <w:r w:rsidRPr="00121F7F">
        <w:rPr>
          <w:b/>
        </w:rPr>
        <w:t>LEVEL 6 - 60 Credits</w:t>
      </w:r>
    </w:p>
    <w:p w14:paraId="2B6F3A9E" w14:textId="77777777" w:rsidR="000A41F9" w:rsidRPr="00121F7F" w:rsidRDefault="000A41F9" w:rsidP="000A41F9">
      <w:pPr>
        <w:rPr>
          <w:b/>
        </w:rPr>
      </w:pPr>
      <w:r w:rsidRPr="00121F7F">
        <w:rPr>
          <w:b/>
        </w:rPr>
        <w:t>BMPF6044</w:t>
      </w:r>
    </w:p>
    <w:p w14:paraId="65287C50" w14:textId="77777777" w:rsidR="000A41F9" w:rsidRPr="00121F7F" w:rsidRDefault="000A41F9" w:rsidP="000A41F9">
      <w:pPr>
        <w:rPr>
          <w:b/>
        </w:rPr>
      </w:pPr>
    </w:p>
    <w:p w14:paraId="5D35FCC0" w14:textId="77777777" w:rsidR="000A41F9" w:rsidRPr="00121F7F" w:rsidRDefault="000A41F9" w:rsidP="000A41F9">
      <w:pPr>
        <w:rPr>
          <w:b/>
        </w:rPr>
      </w:pPr>
    </w:p>
    <w:p w14:paraId="7B2E3CF8" w14:textId="77777777" w:rsidR="000A41F9" w:rsidRPr="00121F7F" w:rsidRDefault="000A41F9" w:rsidP="000A41F9">
      <w:pPr>
        <w:rPr>
          <w:b/>
        </w:rPr>
      </w:pPr>
      <w:r w:rsidRPr="00121F7F">
        <w:rPr>
          <w:b/>
        </w:rPr>
        <w:t>LEARNER PORTFOLIO</w:t>
      </w:r>
    </w:p>
    <w:p w14:paraId="37E5F386" w14:textId="77777777" w:rsidR="000A41F9" w:rsidRPr="00121F7F" w:rsidRDefault="000A41F9" w:rsidP="000A41F9">
      <w:pPr>
        <w:rPr>
          <w:b/>
          <w:bCs/>
        </w:rPr>
      </w:pPr>
      <w:r w:rsidRPr="00121F7F">
        <w:rPr>
          <w:b/>
          <w:bCs/>
        </w:rPr>
        <w:t>(PORTH AGORED and UNIVERSITY OF WALES TRINITY SAINT DAVID)</w:t>
      </w:r>
    </w:p>
    <w:p w14:paraId="0BBC3838" w14:textId="77777777" w:rsidR="000A41F9" w:rsidRPr="00121F7F" w:rsidRDefault="000A41F9" w:rsidP="000A41F9">
      <w:pPr>
        <w:rPr>
          <w:b/>
        </w:rPr>
      </w:pPr>
    </w:p>
    <w:p w14:paraId="4EC57C55" w14:textId="77777777" w:rsidR="000A41F9" w:rsidRPr="00121F7F" w:rsidRDefault="000A41F9" w:rsidP="000A41F9">
      <w:pPr>
        <w:rPr>
          <w: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0A41F9" w:rsidRPr="00121F7F" w14:paraId="412B2FBC" w14:textId="77777777" w:rsidTr="00C929A4">
        <w:tc>
          <w:tcPr>
            <w:tcW w:w="10368" w:type="dxa"/>
            <w:shd w:val="clear" w:color="auto" w:fill="auto"/>
          </w:tcPr>
          <w:p w14:paraId="093FA75E" w14:textId="77777777" w:rsidR="000A41F9" w:rsidRPr="00121F7F" w:rsidRDefault="000A41F9" w:rsidP="00C929A4">
            <w:pPr>
              <w:rPr>
                <w:b/>
              </w:rPr>
            </w:pPr>
            <w:r w:rsidRPr="00121F7F">
              <w:rPr>
                <w:b/>
              </w:rPr>
              <w:t>Learner’s name: Emily Bowden</w:t>
            </w:r>
          </w:p>
          <w:p w14:paraId="6A04767F" w14:textId="77777777" w:rsidR="000A41F9" w:rsidRPr="00121F7F" w:rsidRDefault="000A41F9" w:rsidP="00C929A4">
            <w:pPr>
              <w:rPr>
                <w:b/>
              </w:rPr>
            </w:pPr>
          </w:p>
          <w:p w14:paraId="4842CC90" w14:textId="662BE042" w:rsidR="000A41F9" w:rsidRPr="00121F7F" w:rsidRDefault="000A41F9" w:rsidP="00C929A4">
            <w:pPr>
              <w:rPr>
                <w:b/>
              </w:rPr>
            </w:pPr>
            <w:r w:rsidRPr="00121F7F">
              <w:rPr>
                <w:b/>
              </w:rPr>
              <w:t>Email address: emily</w:t>
            </w:r>
            <w:r>
              <w:rPr>
                <w:b/>
              </w:rPr>
              <w:t>bowden2001@live.co.uk</w:t>
            </w:r>
          </w:p>
          <w:p w14:paraId="45AE95C4" w14:textId="77777777" w:rsidR="000A41F9" w:rsidRPr="00121F7F" w:rsidRDefault="000A41F9" w:rsidP="00C929A4">
            <w:pPr>
              <w:rPr>
                <w:b/>
              </w:rPr>
            </w:pPr>
          </w:p>
          <w:p w14:paraId="55B457CB" w14:textId="6CE24F86" w:rsidR="000A41F9" w:rsidRPr="00121F7F" w:rsidRDefault="000A41F9" w:rsidP="00C929A4">
            <w:pPr>
              <w:rPr>
                <w:b/>
              </w:rPr>
            </w:pPr>
            <w:r w:rsidRPr="00121F7F">
              <w:rPr>
                <w:b/>
              </w:rPr>
              <w:t>Learner’s University Registration Number:</w:t>
            </w:r>
            <w:r>
              <w:rPr>
                <w:b/>
              </w:rPr>
              <w:t xml:space="preserve"> 2319564</w:t>
            </w:r>
          </w:p>
          <w:p w14:paraId="0298ED8D" w14:textId="77777777" w:rsidR="000A41F9" w:rsidRPr="00121F7F" w:rsidRDefault="000A41F9" w:rsidP="00C929A4">
            <w:pPr>
              <w:rPr>
                <w:b/>
              </w:rPr>
            </w:pPr>
          </w:p>
          <w:p w14:paraId="3FDDF5CA" w14:textId="77777777" w:rsidR="000A41F9" w:rsidRPr="00121F7F" w:rsidRDefault="000A41F9" w:rsidP="00C929A4">
            <w:pPr>
              <w:rPr>
                <w:b/>
              </w:rPr>
            </w:pPr>
            <w:r w:rsidRPr="00121F7F">
              <w:rPr>
                <w:b/>
              </w:rPr>
              <w:t>Cohort: 21 onwards</w:t>
            </w:r>
          </w:p>
        </w:tc>
      </w:tr>
    </w:tbl>
    <w:p w14:paraId="30D3189D" w14:textId="77777777" w:rsidR="000A41F9" w:rsidRPr="00121F7F" w:rsidRDefault="000A41F9" w:rsidP="000A41F9">
      <w:pPr>
        <w:rPr>
          <w:b/>
        </w:rPr>
      </w:pPr>
      <w:r w:rsidRPr="00121F7F">
        <w:rPr>
          <w:b/>
        </w:rPr>
        <w:t xml:space="preserve"> </w:t>
      </w:r>
    </w:p>
    <w:p w14:paraId="2D64064B" w14:textId="77777777" w:rsidR="000A41F9" w:rsidRPr="00121F7F" w:rsidRDefault="000A41F9" w:rsidP="000A41F9"/>
    <w:p w14:paraId="71523B1E" w14:textId="77777777" w:rsidR="000A41F9" w:rsidRPr="00121F7F" w:rsidRDefault="000A41F9" w:rsidP="000A41F9">
      <w:pPr>
        <w:rPr>
          <w:b/>
        </w:rPr>
      </w:pPr>
    </w:p>
    <w:p w14:paraId="7AB2DFDC" w14:textId="77777777" w:rsidR="000A41F9" w:rsidRPr="00121F7F" w:rsidRDefault="000A41F9" w:rsidP="000A41F9">
      <w:pPr>
        <w:rPr>
          <w:b/>
        </w:rPr>
      </w:pPr>
      <w:r w:rsidRPr="00121F7F">
        <w:rPr>
          <w:b/>
        </w:rPr>
        <w:br w:type="page"/>
      </w:r>
    </w:p>
    <w:p w14:paraId="3B4305C4" w14:textId="77777777" w:rsidR="000A41F9" w:rsidRPr="00121F7F" w:rsidRDefault="000A41F9" w:rsidP="000A41F9">
      <w:pPr>
        <w:rPr>
          <w:b/>
        </w:rPr>
      </w:pPr>
    </w:p>
    <w:p w14:paraId="1540FA03" w14:textId="77777777" w:rsidR="000A41F9" w:rsidRPr="00121F7F" w:rsidRDefault="000A41F9" w:rsidP="000A41F9">
      <w:pPr>
        <w:rPr>
          <w:b/>
        </w:rPr>
      </w:pPr>
    </w:p>
    <w:p w14:paraId="78C3F557" w14:textId="77777777" w:rsidR="000A41F9" w:rsidRPr="00121F7F" w:rsidRDefault="000A41F9" w:rsidP="000A41F9">
      <w:r w:rsidRPr="00121F7F">
        <w:rPr>
          <w:b/>
        </w:rPr>
        <w:t>Task 3</w:t>
      </w:r>
    </w:p>
    <w:p w14:paraId="10A809E9" w14:textId="77777777" w:rsidR="000A41F9" w:rsidRPr="00121F7F" w:rsidRDefault="000A41F9" w:rsidP="000A41F9">
      <w:pPr>
        <w:rPr>
          <w:b/>
        </w:rPr>
      </w:pPr>
    </w:p>
    <w:p w14:paraId="1990FA80" w14:textId="77777777" w:rsidR="000A41F9" w:rsidRPr="00121F7F" w:rsidRDefault="000A41F9" w:rsidP="000A41F9">
      <w:pPr>
        <w:rPr>
          <w:b/>
        </w:rPr>
      </w:pPr>
      <w:r w:rsidRPr="00121F7F">
        <w:rPr>
          <w:b/>
        </w:rPr>
        <w:t>Safeguarding and working in complex situations – Case Study</w:t>
      </w:r>
    </w:p>
    <w:p w14:paraId="69E6C595" w14:textId="77777777" w:rsidR="000A41F9" w:rsidRPr="00121F7F" w:rsidRDefault="000A41F9" w:rsidP="000A41F9">
      <w:pPr>
        <w:rPr>
          <w:b/>
        </w:rPr>
      </w:pPr>
    </w:p>
    <w:p w14:paraId="5536D119" w14:textId="77777777" w:rsidR="000A41F9" w:rsidRPr="00121F7F" w:rsidRDefault="000A41F9" w:rsidP="000A41F9">
      <w:pPr>
        <w:rPr>
          <w:b/>
        </w:rPr>
      </w:pPr>
      <w:r w:rsidRPr="00121F7F">
        <w:rPr>
          <w:b/>
        </w:rPr>
        <w:t>Guidance;</w:t>
      </w:r>
    </w:p>
    <w:p w14:paraId="3300A278" w14:textId="77777777" w:rsidR="000A41F9" w:rsidRPr="00121F7F" w:rsidRDefault="000A41F9" w:rsidP="000A41F9">
      <w:pPr>
        <w:rPr>
          <w:i/>
          <w:iCs/>
        </w:rPr>
      </w:pPr>
      <w:r w:rsidRPr="00121F7F">
        <w:rPr>
          <w:i/>
          <w:iCs/>
        </w:rPr>
        <w:t xml:space="preserve">Please ensure that you meet the National Occupational Standards and assigned Learning Outcomes for this task (see appendix 5 and 6 of the handbook). </w:t>
      </w:r>
    </w:p>
    <w:p w14:paraId="3A65AF22" w14:textId="77777777" w:rsidR="000A41F9" w:rsidRPr="00121F7F" w:rsidRDefault="000A41F9" w:rsidP="000A41F9">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41F9" w:rsidRPr="00121F7F" w14:paraId="18A4C652" w14:textId="77777777" w:rsidTr="00C929A4">
        <w:tc>
          <w:tcPr>
            <w:tcW w:w="10031" w:type="dxa"/>
            <w:shd w:val="clear" w:color="auto" w:fill="auto"/>
          </w:tcPr>
          <w:p w14:paraId="69FC8783" w14:textId="77777777" w:rsidR="000A41F9" w:rsidRPr="00121F7F" w:rsidRDefault="000A41F9" w:rsidP="00C929A4">
            <w:pPr>
              <w:rPr>
                <w:b/>
              </w:rPr>
            </w:pPr>
            <w:r w:rsidRPr="00121F7F">
              <w:rPr>
                <w:b/>
              </w:rPr>
              <w:t>Question:</w:t>
            </w:r>
          </w:p>
          <w:p w14:paraId="17E79677" w14:textId="77777777" w:rsidR="000A41F9" w:rsidRPr="00121F7F" w:rsidRDefault="000A41F9" w:rsidP="00C929A4">
            <w:r w:rsidRPr="00121F7F">
              <w:t>Complete a critically reflective case study based on an assessment that you have undertaken with others,</w:t>
            </w:r>
            <w:r w:rsidRPr="00121F7F">
              <w:rPr>
                <w:b/>
                <w:bCs/>
              </w:rPr>
              <w:t xml:space="preserve"> </w:t>
            </w:r>
            <w:r w:rsidRPr="00121F7F">
              <w:t xml:space="preserve">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2A841FF5" w14:textId="77777777" w:rsidR="000A41F9" w:rsidRPr="00121F7F" w:rsidRDefault="000A41F9" w:rsidP="00C929A4"/>
          <w:p w14:paraId="29CAD3D8" w14:textId="77777777" w:rsidR="000A41F9" w:rsidRPr="00121F7F" w:rsidRDefault="000A41F9" w:rsidP="00C929A4"/>
          <w:p w14:paraId="652DD723" w14:textId="77777777" w:rsidR="000A41F9" w:rsidRPr="00121F7F" w:rsidRDefault="000A41F9" w:rsidP="00C929A4">
            <w:pPr>
              <w:rPr>
                <w:i/>
              </w:rPr>
            </w:pPr>
            <w:r w:rsidRPr="00121F7F">
              <w:rPr>
                <w:i/>
              </w:rPr>
              <w:t>4000 words</w:t>
            </w:r>
            <w:r w:rsidRPr="00121F7F">
              <w:t xml:space="preserve"> </w:t>
            </w:r>
            <w:r w:rsidRPr="00121F7F">
              <w:rPr>
                <w:i/>
              </w:rPr>
              <w:t>(+/- 10%: include your actual word count at the end of each section).</w:t>
            </w:r>
          </w:p>
          <w:p w14:paraId="2AA35978" w14:textId="77777777" w:rsidR="000A41F9" w:rsidRPr="00121F7F" w:rsidRDefault="000A41F9" w:rsidP="00C929A4">
            <w:pPr>
              <w:rPr>
                <w:i/>
              </w:rPr>
            </w:pPr>
          </w:p>
          <w:p w14:paraId="57AC1ED1" w14:textId="77777777" w:rsidR="000A41F9" w:rsidRPr="00121F7F" w:rsidRDefault="000A41F9" w:rsidP="00C929A4">
            <w:pPr>
              <w:rPr>
                <w:i/>
              </w:rPr>
            </w:pPr>
          </w:p>
          <w:p w14:paraId="01272A0C" w14:textId="77777777" w:rsidR="000A41F9" w:rsidRPr="00911DFE" w:rsidRDefault="000A41F9" w:rsidP="00C929A4">
            <w:pPr>
              <w:spacing w:line="360" w:lineRule="auto"/>
              <w:jc w:val="both"/>
            </w:pPr>
            <w:r w:rsidRPr="00911DFE">
              <w:t xml:space="preserve">I am a frontline social work practitioner in Child and Family Services, and I work with children and their families through the child in need of care and support (CINCS), Child Protection, and Public Law Outline processes. Within my role, I work intensely with families at times, and there are essential laws that support this. It is key for social workers to have a strong understanding of the law, as it ensures they act in the best interests of the families they support. This knowledge enables them to protect rights when safeguarding children, make informed decisions that are in the best interest of both children and families, and effectively manage risks while upholding their duty of care (Brammer, 2003). In my everyday practice, I employ the Human Rights Act, Future Generations (Wales) Act 2023, Equality Act (2010), and Welsh Language Measures (Wales) 2011; these pieces of law serve as the foundation for my work with families. </w:t>
            </w:r>
          </w:p>
          <w:p w14:paraId="5684B3F9" w14:textId="77777777" w:rsidR="000A41F9" w:rsidRPr="00911DFE" w:rsidRDefault="000A41F9" w:rsidP="00C929A4">
            <w:pPr>
              <w:spacing w:line="360" w:lineRule="auto"/>
              <w:jc w:val="both"/>
            </w:pPr>
          </w:p>
          <w:p w14:paraId="3BF93857" w14:textId="77777777" w:rsidR="000A41F9" w:rsidRPr="00911DFE" w:rsidRDefault="000A41F9" w:rsidP="00C929A4">
            <w:pPr>
              <w:spacing w:line="360" w:lineRule="auto"/>
              <w:jc w:val="both"/>
            </w:pPr>
            <w:r w:rsidRPr="00911DFE">
              <w:t xml:space="preserve">However, when it comes to safeguarding responsibilities and working directly with children to ensuring their safety, my work is primarily supported by the Social Services </w:t>
            </w:r>
            <w:r w:rsidRPr="00911DFE">
              <w:lastRenderedPageBreak/>
              <w:t>Wellbeing Wales Act (2014) (SSWBA) and the Wales Safeguarding Procedures (2019), both of which are specific pieces of law to social workers practicing in Wales. In addition to these pieces of legislation, the Children's Act (1998) is a piece of legislation which I employ on a daily basis, as it assures that the "well-being of the child is paramount”, which is a critical principle that I must consider while working with vulnerable children who are either at risk of experiencing significant harm, or have already suffered significant harm (NSPCC, 2024).</w:t>
            </w:r>
          </w:p>
          <w:p w14:paraId="62F34196" w14:textId="77777777" w:rsidR="000A41F9" w:rsidRPr="00911DFE" w:rsidRDefault="000A41F9" w:rsidP="00C929A4">
            <w:pPr>
              <w:spacing w:line="360" w:lineRule="auto"/>
              <w:jc w:val="both"/>
              <w:rPr>
                <w:iCs/>
              </w:rPr>
            </w:pPr>
          </w:p>
          <w:p w14:paraId="29280B7C" w14:textId="77777777" w:rsidR="000A41F9" w:rsidRPr="00911DFE" w:rsidRDefault="000A41F9" w:rsidP="00C929A4">
            <w:pPr>
              <w:spacing w:line="360" w:lineRule="auto"/>
              <w:jc w:val="both"/>
              <w:rPr>
                <w:iCs/>
              </w:rPr>
            </w:pPr>
            <w:r w:rsidRPr="00911DFE">
              <w:rPr>
                <w:iCs/>
              </w:rPr>
              <w:t>To demonstrate my work in legislation, theories, professional judgement, critical analysis, and Welsh context, I have chosen a case study to discuss that involves a family I worked with during the Public Law Outline process where parenting assessments were conducted. To maintain confidentiality in accordance with the General Data Protection Regulations (2016), I will refer to the child as 'Child 1' and the parent as 'Adult 1’.</w:t>
            </w:r>
          </w:p>
          <w:p w14:paraId="004D4E6C" w14:textId="77777777" w:rsidR="000A41F9" w:rsidRPr="00911DFE" w:rsidRDefault="000A41F9" w:rsidP="00C929A4">
            <w:pPr>
              <w:spacing w:line="360" w:lineRule="auto"/>
              <w:jc w:val="both"/>
              <w:rPr>
                <w:iCs/>
              </w:rPr>
            </w:pPr>
          </w:p>
          <w:p w14:paraId="30C62574" w14:textId="77777777" w:rsidR="000A41F9" w:rsidRDefault="000A41F9" w:rsidP="00C929A4">
            <w:pPr>
              <w:spacing w:line="360" w:lineRule="auto"/>
              <w:jc w:val="both"/>
              <w:rPr>
                <w:iCs/>
              </w:rPr>
            </w:pPr>
            <w:r w:rsidRPr="00911DFE">
              <w:rPr>
                <w:iCs/>
              </w:rPr>
              <w:t>I began working with Adult 1 and Child 1 in June 2023 when I was assigned their case, owing to the previous social worker changing job roles. Prior to June 2023, Child 1 was known to the Local Authority for many years and as a result, numerous social workers have been allocated to work with the family as a whole. As a result of this, Child 1 has been assigned several social workers, which may have resulted in a lack of continuity for the family and made it more difficult for the family to develop relationships with such social workers (</w:t>
            </w:r>
            <w:proofErr w:type="spellStart"/>
            <w:r w:rsidRPr="00911DFE">
              <w:rPr>
                <w:iCs/>
              </w:rPr>
              <w:t>Baginsky</w:t>
            </w:r>
            <w:proofErr w:type="spellEnd"/>
            <w:r w:rsidRPr="00911DFE">
              <w:rPr>
                <w:iCs/>
              </w:rPr>
              <w:t xml:space="preserve">, 2022). </w:t>
            </w:r>
          </w:p>
          <w:p w14:paraId="3C97B107" w14:textId="77777777" w:rsidR="000A41F9" w:rsidRDefault="000A41F9" w:rsidP="00C929A4">
            <w:pPr>
              <w:spacing w:line="360" w:lineRule="auto"/>
              <w:jc w:val="both"/>
              <w:rPr>
                <w:iCs/>
              </w:rPr>
            </w:pPr>
          </w:p>
          <w:p w14:paraId="226F3243" w14:textId="77777777" w:rsidR="000A41F9" w:rsidRPr="00911DFE" w:rsidRDefault="000A41F9" w:rsidP="00C929A4">
            <w:pPr>
              <w:spacing w:line="360" w:lineRule="auto"/>
              <w:jc w:val="both"/>
              <w:rPr>
                <w:iCs/>
              </w:rPr>
            </w:pPr>
            <w:r w:rsidRPr="00911DFE">
              <w:rPr>
                <w:iCs/>
              </w:rPr>
              <w:t xml:space="preserve">While there is no social work law to support this, research informs that positive change in the lives of the families we work with occurs when the social worker demonstrates trust and empathy (Beckett and Horner, 2006), which supports working with families using a strengths-based approach (SCIE, 2023). However, when there is a constant turnover of social workers owing to leave and illness, there is a barrier to establishing trust between the children and the social worker(s). </w:t>
            </w:r>
          </w:p>
          <w:p w14:paraId="1EE7EA37" w14:textId="77777777" w:rsidR="000A41F9" w:rsidRPr="00911DFE" w:rsidRDefault="000A41F9" w:rsidP="00C929A4">
            <w:pPr>
              <w:spacing w:line="360" w:lineRule="auto"/>
              <w:jc w:val="both"/>
            </w:pPr>
          </w:p>
          <w:p w14:paraId="42110A76" w14:textId="77777777" w:rsidR="000A41F9" w:rsidRPr="00911DFE" w:rsidRDefault="000A41F9" w:rsidP="00C929A4">
            <w:pPr>
              <w:spacing w:line="360" w:lineRule="auto"/>
              <w:jc w:val="both"/>
            </w:pPr>
            <w:r w:rsidRPr="00911DFE">
              <w:lastRenderedPageBreak/>
              <w:t>Adult 1 was born within the jurisdiction of the Local Authority and has lived there her entire life. She experienced a highly challenging childhood, often left to care for herself. She was exposed to domestic violence, parental alcohol abuse, and mental illness, and tragically, suffered both physical and emotional abuse from her mother and father. According to Public Health Wales (2015), 47% of adults in Wales have experienced at least one adverse childhood experience (ACE), with 14% having endured four or more; Adult 1 is among the latter group. Furthermore, throughout her childhood, Adult 1 resided in an area classified as a ‘Lower Super Output Area’ by the Welsh Index of Multiple Deprivation (2019), placing Adult 1 and her community among the most deprived 10% in Wales (XXX, 2019).</w:t>
            </w:r>
          </w:p>
          <w:p w14:paraId="22CB197A" w14:textId="77777777" w:rsidR="000A41F9" w:rsidRPr="00911DFE" w:rsidRDefault="000A41F9" w:rsidP="00C929A4">
            <w:pPr>
              <w:spacing w:line="360" w:lineRule="auto"/>
              <w:jc w:val="both"/>
            </w:pPr>
          </w:p>
          <w:p w14:paraId="649D112B" w14:textId="77777777" w:rsidR="000A41F9" w:rsidRPr="00911DFE" w:rsidRDefault="000A41F9" w:rsidP="00C929A4">
            <w:pPr>
              <w:spacing w:line="360" w:lineRule="auto"/>
              <w:jc w:val="both"/>
              <w:rPr>
                <w:iCs/>
              </w:rPr>
            </w:pPr>
            <w:r w:rsidRPr="00911DFE">
              <w:rPr>
                <w:iCs/>
              </w:rPr>
              <w:t xml:space="preserve">Prior to the referral in 2022, Child 1 had been known to the Local Authority prior to this, due to worries around Adult 1’s significant mental health needs, and Adult 1’s elder children were placed with family members under Special Guardianship Orders due to Adult 1’s mental health in the past. It is important to note that when Child 1 was born, Child 1 and Adult 1 were placed in a Mother and Baby unit due to the decline in Adult 1’s mental health. Adult 1 had been afforded the appropriate care, treatment and support from professionals following this and her mental health greatly improved. Child 1 came to the attention of the Local Authority again in May 2022, and the case has remained open under my supervision since I was assigned to work with the family in June 2023. </w:t>
            </w:r>
          </w:p>
          <w:p w14:paraId="78A89322" w14:textId="77777777" w:rsidR="000A41F9" w:rsidRPr="00911DFE" w:rsidRDefault="000A41F9" w:rsidP="00C929A4">
            <w:pPr>
              <w:spacing w:line="360" w:lineRule="auto"/>
              <w:jc w:val="both"/>
              <w:rPr>
                <w:iCs/>
              </w:rPr>
            </w:pPr>
          </w:p>
          <w:p w14:paraId="345F263C" w14:textId="77777777" w:rsidR="000A41F9" w:rsidRDefault="000A41F9" w:rsidP="00C929A4">
            <w:pPr>
              <w:spacing w:line="360" w:lineRule="auto"/>
              <w:jc w:val="both"/>
              <w:rPr>
                <w:iCs/>
              </w:rPr>
            </w:pPr>
            <w:r w:rsidRPr="00911DFE">
              <w:rPr>
                <w:iCs/>
              </w:rPr>
              <w:t xml:space="preserve">The initial concerns stemmed from Adult 1's relationship with a partner, (referred to as Adult 2), and Adult 2's behaviours both towards the children and Adult 1. A significant portion of the concerns involved domestic abuse perpetrated by Adult 1 against Adult 2, as well as physical abuse directed by Adult 2 towards Child 1. This led to Section 47 enquiries and an escalation to a Child Protection Conference in May 2022, due to the serious risks Adult 2 posed to both Adult 1 and Child 1. </w:t>
            </w:r>
          </w:p>
          <w:p w14:paraId="675114EE" w14:textId="77777777" w:rsidR="000A41F9" w:rsidRDefault="000A41F9" w:rsidP="00C929A4">
            <w:pPr>
              <w:spacing w:line="360" w:lineRule="auto"/>
              <w:jc w:val="both"/>
              <w:rPr>
                <w:iCs/>
              </w:rPr>
            </w:pPr>
          </w:p>
          <w:p w14:paraId="76216A7F" w14:textId="414AA2B7" w:rsidR="000A41F9" w:rsidRPr="00911DFE" w:rsidRDefault="000A41F9" w:rsidP="00C929A4">
            <w:pPr>
              <w:spacing w:line="360" w:lineRule="auto"/>
              <w:jc w:val="both"/>
              <w:rPr>
                <w:iCs/>
              </w:rPr>
            </w:pPr>
            <w:r w:rsidRPr="00911DFE">
              <w:rPr>
                <w:iCs/>
              </w:rPr>
              <w:t xml:space="preserve">Since assuming responsibility for the case, many of the original concerns appeared to have lessened, although I believe this reduction is largely due to Adult 1 and 2’s </w:t>
            </w:r>
            <w:r w:rsidRPr="00911DFE">
              <w:rPr>
                <w:iCs/>
              </w:rPr>
              <w:lastRenderedPageBreak/>
              <w:t>continued non-engagement. While there remained suspicions of ongoing domestic abuse, there was insufficient evidence to escalate the concerns further. Additionally, through regular direct work with Child 1 during school hours, there appeared to be no immediate impact on the child’s well-being at that time.</w:t>
            </w:r>
          </w:p>
          <w:p w14:paraId="7AFF80BF" w14:textId="77777777" w:rsidR="000A41F9" w:rsidRPr="00911DFE" w:rsidRDefault="000A41F9" w:rsidP="00C929A4">
            <w:pPr>
              <w:spacing w:line="360" w:lineRule="auto"/>
              <w:jc w:val="both"/>
              <w:rPr>
                <w:iCs/>
              </w:rPr>
            </w:pPr>
          </w:p>
          <w:p w14:paraId="36FB0DE8" w14:textId="19576610" w:rsidR="000A41F9" w:rsidRPr="00911DFE" w:rsidRDefault="000A41F9" w:rsidP="00C929A4">
            <w:pPr>
              <w:spacing w:line="360" w:lineRule="auto"/>
              <w:jc w:val="both"/>
              <w:rPr>
                <w:iCs/>
              </w:rPr>
            </w:pPr>
            <w:r w:rsidRPr="00911DFE">
              <w:rPr>
                <w:iCs/>
              </w:rPr>
              <w:t>Within the Local Authority I work in; the Signs of Safety model is utilised when working with families. This model is a “relationship-grounded, safety-organised approach to child protection practice” which supports the discussion above, around the high turnover of social work practitioners (Si</w:t>
            </w:r>
            <w:r>
              <w:rPr>
                <w:iCs/>
              </w:rPr>
              <w:t>gn</w:t>
            </w:r>
            <w:r w:rsidRPr="00911DFE">
              <w:rPr>
                <w:iCs/>
              </w:rPr>
              <w:t xml:space="preserve">s of Safety, 2024). Signs of Safety looks at the impact on the child and during this period whereby Adult 1 and 2 refused to engage with professionals including myself, school, the health visiting service and wider family members, there was a lot of professional judgement during regular 6 weekly Core Group meetings aligning with the importance of working collaboratively in SSWBA 2014, to review the child protection plan. </w:t>
            </w:r>
          </w:p>
          <w:p w14:paraId="5851541F" w14:textId="77777777" w:rsidR="000A41F9" w:rsidRPr="00911DFE" w:rsidRDefault="000A41F9" w:rsidP="00C929A4">
            <w:pPr>
              <w:spacing w:line="360" w:lineRule="auto"/>
              <w:jc w:val="both"/>
              <w:rPr>
                <w:b/>
                <w:bCs/>
              </w:rPr>
            </w:pPr>
          </w:p>
          <w:p w14:paraId="4315171B" w14:textId="77777777" w:rsidR="000A41F9" w:rsidRPr="00911DFE" w:rsidRDefault="000A41F9" w:rsidP="00C929A4">
            <w:pPr>
              <w:spacing w:line="360" w:lineRule="auto"/>
              <w:jc w:val="both"/>
            </w:pPr>
            <w:r w:rsidRPr="00911DFE">
              <w:t>However, the non-engagement of Adult 1 and 2 significantly hindered the progress of the work being undertaken by professionals involved with the family. This lack of cooperation obstructed statutory child protection visits, as required by the Children Act 1989, making it exceedingly difficult for myself and other professionals to gain a comprehensive understanding of Child 1's life at home. This was particularly concerning in relation to the child’s safety and welfare, as it impeded our ability to assess whether the risks to the child had escalated (CSCB, 2016). This situation directly relates to the principle in the Children Act 1989 that "</w:t>
            </w:r>
            <w:r w:rsidRPr="00911DFE">
              <w:rPr>
                <w:i/>
                <w:iCs/>
              </w:rPr>
              <w:t>the welfare of the child is paramount</w:t>
            </w:r>
            <w:r w:rsidRPr="00911DFE">
              <w:t xml:space="preserve">." </w:t>
            </w:r>
          </w:p>
          <w:p w14:paraId="1B244B97" w14:textId="77777777" w:rsidR="000A41F9" w:rsidRPr="00911DFE" w:rsidRDefault="000A41F9" w:rsidP="00C929A4">
            <w:pPr>
              <w:spacing w:line="360" w:lineRule="auto"/>
              <w:jc w:val="both"/>
            </w:pPr>
          </w:p>
          <w:p w14:paraId="5A749F18" w14:textId="77777777" w:rsidR="000A41F9" w:rsidRPr="00911DFE" w:rsidRDefault="000A41F9" w:rsidP="00C929A4">
            <w:pPr>
              <w:spacing w:line="360" w:lineRule="auto"/>
              <w:jc w:val="both"/>
            </w:pPr>
            <w:r w:rsidRPr="00911DFE">
              <w:t>However, it was necessary to balance this with the provisions of the Human Rights Act 1998, particularly Article 8, which allows the right to respect for private and family life. At the time, it was clear that Child 1 was not at risk of "</w:t>
            </w:r>
            <w:r w:rsidRPr="00911DFE">
              <w:rPr>
                <w:i/>
                <w:iCs/>
              </w:rPr>
              <w:t>immediate harm</w:t>
            </w:r>
            <w:r w:rsidRPr="00911DFE">
              <w:t xml:space="preserve">" as defined by the Wales Safeguarding Procedures (2019). Consequently, there was no requirement to invoke these procedures, such as contacting the police or taking immediate action to protect the child. Although, due to the persisting concerns, professionals remained </w:t>
            </w:r>
            <w:r w:rsidRPr="00911DFE">
              <w:lastRenderedPageBreak/>
              <w:t>deeply apprehensive about the potential experiences Child 1 may have been facing within the family home.</w:t>
            </w:r>
          </w:p>
          <w:p w14:paraId="4708413F" w14:textId="77777777" w:rsidR="000A41F9" w:rsidRPr="00911DFE" w:rsidRDefault="000A41F9" w:rsidP="00C929A4">
            <w:pPr>
              <w:spacing w:line="360" w:lineRule="auto"/>
              <w:jc w:val="both"/>
            </w:pPr>
          </w:p>
          <w:p w14:paraId="22BBEC73" w14:textId="77777777" w:rsidR="000A41F9" w:rsidRPr="00911DFE" w:rsidRDefault="000A41F9" w:rsidP="00C929A4">
            <w:pPr>
              <w:spacing w:line="360" w:lineRule="auto"/>
              <w:jc w:val="both"/>
            </w:pPr>
            <w:r w:rsidRPr="00911DFE">
              <w:t xml:space="preserve">Following extensive involvement with the family and attending Child Protection Conference on the 9-month mark, the Local Authority procedure is to seek advice from a Legal Gateway meeting, which is comprised of Local Authority solicitors, senior management, the social worker and their supervisor to consider whether threshold is met to issue pre-proceedings or issue immediately to court to consider removing the child and exploring the child’s plans of permanency, which could include foster care or adoption if matters do not improve after lengthy parenting assessments. However, during this meeting it was established that threshold was not met and it was agreed that further work would continue with the family in attempts to re-establish relationships and engagement. </w:t>
            </w:r>
          </w:p>
          <w:p w14:paraId="1E6AB419" w14:textId="77777777" w:rsidR="000A41F9" w:rsidRPr="00911DFE" w:rsidRDefault="000A41F9" w:rsidP="00C929A4">
            <w:pPr>
              <w:spacing w:line="360" w:lineRule="auto"/>
              <w:jc w:val="both"/>
            </w:pPr>
          </w:p>
          <w:p w14:paraId="16C297E1" w14:textId="77777777" w:rsidR="000A41F9" w:rsidRDefault="000A41F9" w:rsidP="00C929A4">
            <w:pPr>
              <w:spacing w:line="360" w:lineRule="auto"/>
              <w:jc w:val="both"/>
            </w:pPr>
            <w:r w:rsidRPr="00911DFE">
              <w:t xml:space="preserve">I sought regular supervision with my line manager to address the concerns and behaviours that Child 1 exhibited at school, which suggested potential effects of domestic abuse at home. For instance, during the ongoing Core Group Meetings, education shared that Child 1 displayed frustration and aggression towards peers, exhibited low school attendance, and demonstrated withdrawn behaviours. These indicators strongly suggested the likelihood of continued domestic abuse in the home, which was impacting the child (Barnardo’s, 2024). It became evident that the behaviours exhibited by </w:t>
            </w:r>
            <w:r>
              <w:t>Adult 1 and 2</w:t>
            </w:r>
            <w:r w:rsidRPr="00911DFE">
              <w:t xml:space="preserve"> at home were becoming normalized for Child 1, which may explain why no concerns were raised during the regular direct work sessions with them (GOV.UK, 2019). </w:t>
            </w:r>
          </w:p>
          <w:p w14:paraId="1150CF8F" w14:textId="77777777" w:rsidR="000A41F9" w:rsidRDefault="000A41F9" w:rsidP="00C929A4">
            <w:pPr>
              <w:spacing w:line="360" w:lineRule="auto"/>
              <w:jc w:val="both"/>
            </w:pPr>
          </w:p>
          <w:p w14:paraId="7E8BDF05" w14:textId="42494E62" w:rsidR="000A41F9" w:rsidRPr="00911DFE" w:rsidRDefault="000A41F9" w:rsidP="00C929A4">
            <w:pPr>
              <w:spacing w:line="360" w:lineRule="auto"/>
              <w:jc w:val="both"/>
            </w:pPr>
            <w:r w:rsidRPr="00911DFE">
              <w:t>Upon reflection, I felt that it was absolutely imperative for the regular Core Group meetings to take place, and glad I had utilised my professional judgement to have these meetings every 4 weekly rather than 6 weekly on occasions as education were able to provide valuable information, from their observation of the child when in school.</w:t>
            </w:r>
          </w:p>
          <w:p w14:paraId="56F7CF02" w14:textId="77777777" w:rsidR="000A41F9" w:rsidRPr="00911DFE" w:rsidRDefault="000A41F9" w:rsidP="00C929A4">
            <w:pPr>
              <w:spacing w:line="360" w:lineRule="auto"/>
              <w:jc w:val="both"/>
            </w:pPr>
          </w:p>
          <w:p w14:paraId="7BCD53DE" w14:textId="77777777" w:rsidR="000A41F9" w:rsidRPr="00911DFE" w:rsidRDefault="000A41F9" w:rsidP="00C929A4">
            <w:pPr>
              <w:spacing w:line="360" w:lineRule="auto"/>
              <w:jc w:val="both"/>
            </w:pPr>
            <w:r w:rsidRPr="00911DFE">
              <w:lastRenderedPageBreak/>
              <w:t xml:space="preserve">It was reasonable to infer that Child 1 was experiencing Adverse Childhood Experiences (ACEs), defined as traumatic events that significantly impact a child's health and well-being or their living environment. Resilience, understood as the capacity to overcome serious adversity, is often developed in response to such challenges. I would argue that Child 1 had become accustomed to the behaviours occurring at home, and as a result, had developed resilience to these circumstances (ACE Hub Wales, 2022). </w:t>
            </w:r>
          </w:p>
          <w:p w14:paraId="0F176B2E" w14:textId="77777777" w:rsidR="000A41F9" w:rsidRPr="00911DFE" w:rsidRDefault="000A41F9" w:rsidP="00C929A4">
            <w:pPr>
              <w:spacing w:line="360" w:lineRule="auto"/>
              <w:jc w:val="both"/>
            </w:pPr>
          </w:p>
          <w:p w14:paraId="3B49B8C7" w14:textId="77777777" w:rsidR="000A41F9" w:rsidRDefault="000A41F9" w:rsidP="00C929A4">
            <w:pPr>
              <w:spacing w:line="360" w:lineRule="auto"/>
              <w:jc w:val="both"/>
            </w:pPr>
            <w:r w:rsidRPr="00911DFE">
              <w:t xml:space="preserve">After working with the family for 10 months, there was information shared to suggest that Adult 2 had inappropriate searches on his computer, which caused me to become extremely concerned for Child 1’s safety. Whilst this did not meet threshold for Section 47 enquiries to be undertaken under the Children Act 1989, due to this information being shared via fourth party and not knowing the validity of this information, it did cause me to become extremely worried for Child 1’s safety given the long-standing concerns of Adult 2’s behaviours. </w:t>
            </w:r>
          </w:p>
          <w:p w14:paraId="0EAED6BA" w14:textId="77777777" w:rsidR="000A41F9" w:rsidRDefault="000A41F9" w:rsidP="00C929A4">
            <w:pPr>
              <w:spacing w:line="360" w:lineRule="auto"/>
              <w:jc w:val="both"/>
            </w:pPr>
          </w:p>
          <w:p w14:paraId="10777D2F" w14:textId="164275D3" w:rsidR="000A41F9" w:rsidRPr="00911DFE" w:rsidRDefault="000A41F9" w:rsidP="00C929A4">
            <w:pPr>
              <w:spacing w:line="360" w:lineRule="auto"/>
              <w:jc w:val="both"/>
            </w:pPr>
            <w:r w:rsidRPr="00911DFE">
              <w:t xml:space="preserve">Aligning with the SSWBA 2014, the proportionate next step was for me to visit the property to discuss concerns with Adult 1, to gather further information, form a professional opinion and to update the safety plan to reflect any concerns. Whilst Adult 1 denied seeing any inappropriate searches, she did disclose and allege prolific domestic abuse, that including physical, emotional, sexual and financial abuse. Adult 1 also disclosed that Adult 2 had perpetrated physical abuse towards Child 1, including making Child 1 stand by the front door for 5 hours with no food or water, after spilling makeup on his carpet. </w:t>
            </w:r>
          </w:p>
          <w:p w14:paraId="530A33C3" w14:textId="77777777" w:rsidR="000A41F9" w:rsidRPr="00911DFE" w:rsidRDefault="000A41F9" w:rsidP="00C929A4">
            <w:pPr>
              <w:spacing w:line="360" w:lineRule="auto"/>
              <w:jc w:val="both"/>
            </w:pPr>
          </w:p>
          <w:p w14:paraId="4970A8D0" w14:textId="77777777" w:rsidR="000A41F9" w:rsidRPr="00911DFE" w:rsidRDefault="000A41F9" w:rsidP="00C929A4">
            <w:pPr>
              <w:spacing w:line="360" w:lineRule="auto"/>
              <w:jc w:val="both"/>
            </w:pPr>
            <w:r w:rsidRPr="00911DFE">
              <w:t xml:space="preserve">Following these conversations, a Section 47 was initiated under the Children Act 1989 as there was evidence to suggest 1 had already suffered and was likely to suffer significant harm (Wales Safeguarding Procedures, 2019). From what Adult 1 told me, there were now increasing worries around both her and Child 1’s safety, and due to Child 1 being a child and solely reliant on her parent to ensure all her needs were met, I worried that Child 1 had not been protected by her Mother whilst said abuse occurred, </w:t>
            </w:r>
            <w:r w:rsidRPr="00911DFE">
              <w:lastRenderedPageBreak/>
              <w:t>of which Child 1 was witness to. Policies were used within my Local Authority to discuss the matter at a Legal Gateway Meeting where the Public Law Outline process was agreed due to the harm Child 1 had suffered or was likely to suffer should she continue to not be protected by the adults in her life.</w:t>
            </w:r>
          </w:p>
          <w:p w14:paraId="02091FC3" w14:textId="77777777" w:rsidR="000A41F9" w:rsidRPr="00911DFE" w:rsidRDefault="000A41F9" w:rsidP="00C929A4">
            <w:pPr>
              <w:spacing w:line="360" w:lineRule="auto"/>
              <w:jc w:val="both"/>
            </w:pPr>
          </w:p>
          <w:p w14:paraId="33143A68" w14:textId="77777777" w:rsidR="000A41F9" w:rsidRPr="00911DFE" w:rsidRDefault="000A41F9" w:rsidP="00C929A4">
            <w:pPr>
              <w:spacing w:line="360" w:lineRule="auto"/>
              <w:jc w:val="both"/>
            </w:pPr>
            <w:r w:rsidRPr="00911DFE">
              <w:t xml:space="preserve">The Legal Gateway Meeting triggers the Public Law Outline (PLO) process which ultimately are pre-court proceedings. Firstly, a letter is developed to explain the concerns and formulate a meeting between the parents, the Local Authority and Legal representatives and a plan devised to ensure parents have the appropriate support to evidence significant and positive change. The process entails a 12-week assessment period where a parenting assessment is undertaken by the allocated social worker where appropriate (Care Inspectorate Wales, 2024), or a ‘CUBAS’ parenting assessment which is used for parents with additional learning needs to ensure they have a fair assessment and are able to understand what is being asked of them (CUBAS, 2024). </w:t>
            </w:r>
          </w:p>
          <w:p w14:paraId="2A1174F6" w14:textId="77777777" w:rsidR="000A41F9" w:rsidRPr="00911DFE" w:rsidRDefault="000A41F9" w:rsidP="00C929A4">
            <w:pPr>
              <w:spacing w:line="360" w:lineRule="auto"/>
              <w:jc w:val="both"/>
            </w:pPr>
          </w:p>
          <w:p w14:paraId="7AC0CF4A" w14:textId="77777777" w:rsidR="000A41F9" w:rsidRPr="00911DFE" w:rsidRDefault="000A41F9" w:rsidP="00C929A4">
            <w:pPr>
              <w:spacing w:line="360" w:lineRule="auto"/>
              <w:jc w:val="both"/>
            </w:pPr>
            <w:r w:rsidRPr="00911DFE">
              <w:t>Following the assessment period, the PLO process can either conclude positively and children continue to be subject to child protection levels of involvement. Or the process can conclude negatively, which means the Local Authority will usually apply to court for an Interim Care Order of the child to share parental responsibility. Thirdly, there can be occasions whereby the process is extended, should we need further information to conclude the assessment (Care Inspectorate Wales, 2024).</w:t>
            </w:r>
          </w:p>
          <w:p w14:paraId="51DD467D" w14:textId="77777777" w:rsidR="000A41F9" w:rsidRPr="00911DFE" w:rsidRDefault="000A41F9" w:rsidP="00C929A4">
            <w:pPr>
              <w:spacing w:line="360" w:lineRule="auto"/>
              <w:jc w:val="both"/>
            </w:pPr>
          </w:p>
          <w:p w14:paraId="30E605F3" w14:textId="77777777" w:rsidR="000A41F9" w:rsidRPr="00911DFE" w:rsidRDefault="000A41F9" w:rsidP="00C929A4">
            <w:pPr>
              <w:spacing w:line="360" w:lineRule="auto"/>
              <w:jc w:val="both"/>
            </w:pPr>
            <w:r w:rsidRPr="00911DFE">
              <w:t>Although I worried about Adult 1’s failure to protect Child 1 from the above, I also felt strong empathy toward Adult 1, recognising that she is a victim within this also. When considering legislation and the “</w:t>
            </w:r>
            <w:r w:rsidRPr="00911DFE">
              <w:rPr>
                <w:i/>
                <w:iCs/>
              </w:rPr>
              <w:t>welfare of the child is paramount</w:t>
            </w:r>
            <w:r w:rsidRPr="00911DFE">
              <w:t xml:space="preserve">”, I felt that there is almost a gap in legislation in relation to this specific issue. For example, Shevlin (2023) wrote an article and suggested that legislation and policy concentrate exclusively on children's safety and recognises that there is often limited availability of support services for victims, which consequently means that mothers are frequently held responsible for the actions of the perpetrators. </w:t>
            </w:r>
          </w:p>
          <w:p w14:paraId="037EFB45" w14:textId="77777777" w:rsidR="000A41F9" w:rsidRPr="00911DFE" w:rsidRDefault="000A41F9" w:rsidP="00C929A4">
            <w:pPr>
              <w:spacing w:line="360" w:lineRule="auto"/>
              <w:jc w:val="both"/>
            </w:pPr>
          </w:p>
          <w:p w14:paraId="46CA8989" w14:textId="77777777" w:rsidR="000A41F9" w:rsidRDefault="000A41F9" w:rsidP="00C929A4">
            <w:pPr>
              <w:spacing w:line="360" w:lineRule="auto"/>
              <w:jc w:val="both"/>
            </w:pPr>
            <w:r w:rsidRPr="00911DFE">
              <w:t>An issue touched upon previously in this piece of work is mental capacity, and how adult services’ work is predominantly based around not working with service users should they have capacity and decline support. In the eyes of the law, it could have been argued that Adult 1 is a capacitated adult who ultimately chose to stay in the relationship with Adult 2 despite the negative affects this had on both her and her child. There would have been opportunities for Adult 1 to reach out if she so wished to from the services and professionals working with the family, such as myself, school and the health visiting service, where the appropriate measures could have been implemented to safeguard herself and child sooner, rather than continue to endure the abuse.</w:t>
            </w:r>
          </w:p>
          <w:p w14:paraId="3EC9555A" w14:textId="77777777" w:rsidR="000A41F9" w:rsidRDefault="000A41F9" w:rsidP="00C929A4">
            <w:pPr>
              <w:spacing w:line="360" w:lineRule="auto"/>
              <w:jc w:val="both"/>
            </w:pPr>
          </w:p>
          <w:p w14:paraId="397A3E30" w14:textId="630B2CFA" w:rsidR="000A41F9" w:rsidRPr="00911DFE" w:rsidRDefault="000A41F9" w:rsidP="00C929A4">
            <w:pPr>
              <w:spacing w:line="360" w:lineRule="auto"/>
              <w:jc w:val="both"/>
            </w:pPr>
            <w:r w:rsidRPr="00911DFE">
              <w:t xml:space="preserve"> However, research indicates in the year ending March 2023, police in England and Wales recorded 43,774 offences of coercive control (Women’s Aid, 2023), and from what Adult 1 had alleged, there were clear factors of coercive and controlling behaviours such as isolation, deprivation of necessities, humiliation and intimidation (Women’s Aid, 2024).</w:t>
            </w:r>
          </w:p>
          <w:p w14:paraId="21B09327" w14:textId="77777777" w:rsidR="000A41F9" w:rsidRPr="00911DFE" w:rsidRDefault="000A41F9" w:rsidP="00C929A4">
            <w:pPr>
              <w:spacing w:line="360" w:lineRule="auto"/>
              <w:jc w:val="both"/>
            </w:pPr>
          </w:p>
          <w:p w14:paraId="0E09FF3C" w14:textId="77777777" w:rsidR="000A41F9" w:rsidRPr="00911DFE" w:rsidRDefault="000A41F9" w:rsidP="00C929A4">
            <w:pPr>
              <w:spacing w:line="360" w:lineRule="auto"/>
              <w:jc w:val="both"/>
            </w:pPr>
            <w:r w:rsidRPr="00911DFE">
              <w:t xml:space="preserve">As a part of the Section 47 enquiries, I strongly felt that it was not appropriate for Mother and child to continue living at their home due to Adult 2’s home being within close proximity, and him being able to see the family home from his doorstep. Options were considered; Mother and child staying with family, friends and a refuge. After lengthy discussions with Mother, it was felt a refuge was the safest and most viable option due to a lack of family support and her only friend residing on the same street. The only refuge available was approximately 6 miles from the family home, and it should be noted that Adult 1’s school is only a 5-minute walk from the family home. </w:t>
            </w:r>
          </w:p>
          <w:p w14:paraId="30915FE3" w14:textId="77777777" w:rsidR="000A41F9" w:rsidRPr="00911DFE" w:rsidRDefault="000A41F9" w:rsidP="00C929A4">
            <w:pPr>
              <w:spacing w:line="360" w:lineRule="auto"/>
              <w:jc w:val="both"/>
            </w:pPr>
          </w:p>
          <w:p w14:paraId="54185F0E" w14:textId="77777777" w:rsidR="000A41F9" w:rsidRPr="00911DFE" w:rsidRDefault="000A41F9" w:rsidP="00C929A4">
            <w:pPr>
              <w:spacing w:line="360" w:lineRule="auto"/>
              <w:jc w:val="both"/>
            </w:pPr>
            <w:r w:rsidRPr="00911DFE">
              <w:t xml:space="preserve">Considering the Welsh context, Mother and child moved 6 miles from friends and familiarity such as school and found themselves a little isolated when arrived at refuge. Links to public transport are limited where the family home is, the area can be described as rural with no access to a train. Whilst buses run, these are not regular due to the rurality of the area and would not coincide with school times. Given the financial </w:t>
            </w:r>
            <w:r w:rsidRPr="00911DFE">
              <w:lastRenderedPageBreak/>
              <w:t xml:space="preserve">burden of daily taxi fares to and from school for both the mother and child, it was agreed that the Local Authority would provide funding to alleviate this strain and ensure the child’s consistent school attendance. School is ultimately a place of safety for children and can buffer against the child being exposed to any unsafe behaviours (Sidebotham et al, 2016). Further, there are policies such as Keeping Learners Safe are in place to protect children and ensure their safety whilst at school (Gov.UK, 2022). </w:t>
            </w:r>
          </w:p>
          <w:p w14:paraId="460382E3" w14:textId="77777777" w:rsidR="000A41F9" w:rsidRPr="00911DFE" w:rsidRDefault="000A41F9" w:rsidP="00C929A4">
            <w:pPr>
              <w:spacing w:line="360" w:lineRule="auto"/>
              <w:jc w:val="both"/>
            </w:pPr>
          </w:p>
          <w:p w14:paraId="0FC12066" w14:textId="77777777" w:rsidR="000A41F9" w:rsidRPr="00911DFE" w:rsidRDefault="000A41F9" w:rsidP="00C929A4">
            <w:pPr>
              <w:spacing w:line="360" w:lineRule="auto"/>
              <w:jc w:val="both"/>
            </w:pPr>
            <w:r w:rsidRPr="00911DFE">
              <w:t>This policy references key legislation, including the Well-being of Future Generations (Wales) Act 2015, which empowers schools to intervene when there are signs of abuse or neglect, and the SSWBA 2014, which mandates schools to report concerns if a child is at risk of harm (Gov.UK, 2022). Additionally, schools are required to have a Designated Safeguarding Person (DSP), and in this case, the headteacher fulfils this role. As someone who had attended every Core Group meeting and was familiar with the child, the headteacher was able to maintain regular contact throughout the day, ensuring that if the child’s well-being declined during school hours, appropriate support could be promptly implemented (Gov.UK, 2022). This aligned well with the collaborative working approach in the SSWBA 2014.</w:t>
            </w:r>
          </w:p>
          <w:p w14:paraId="7F04AC09" w14:textId="77777777" w:rsidR="000A41F9" w:rsidRPr="00911DFE" w:rsidRDefault="000A41F9" w:rsidP="00C929A4">
            <w:pPr>
              <w:spacing w:line="360" w:lineRule="auto"/>
              <w:jc w:val="both"/>
            </w:pPr>
          </w:p>
          <w:p w14:paraId="7148E44E" w14:textId="77777777" w:rsidR="000A41F9" w:rsidRPr="00911DFE" w:rsidRDefault="000A41F9" w:rsidP="00C929A4">
            <w:pPr>
              <w:spacing w:line="360" w:lineRule="auto"/>
              <w:jc w:val="both"/>
            </w:pPr>
            <w:r w:rsidRPr="00911DFE">
              <w:t xml:space="preserve">The refuge staff made attempts to work with Adult 1 to find alternative housing, although after months the position remained where there was no movement on housing due to the waiting list being extensive. Returning to their original area was not an option for Adult 1 and Child 1, as the small, rural village heightened the risk of encountering Adult 2 and increased the likelihood of </w:t>
            </w:r>
            <w:r w:rsidRPr="00911DFE">
              <w:rPr>
                <w:i/>
                <w:iCs/>
              </w:rPr>
              <w:t>'post-separation abuse</w:t>
            </w:r>
            <w:r w:rsidRPr="00911DFE">
              <w:t xml:space="preserve">' (Refuge, 2024). Whilst searches were underway with support from the Housing Department from the Local Authority for Adult 1 and Child 1 to be rehoused, sadly, Adult 1’s mental health declined significantly. Research was conducted by Women’s Aid (2022), who found that 45.6% of women residing in refuge expressed thoughts of suicide and reported feeling depressed, owing to the abuse they had suffered from ex-partners. </w:t>
            </w:r>
          </w:p>
          <w:p w14:paraId="146B7B1A" w14:textId="77777777" w:rsidR="000A41F9" w:rsidRPr="00911DFE" w:rsidRDefault="000A41F9" w:rsidP="00C929A4">
            <w:pPr>
              <w:spacing w:line="360" w:lineRule="auto"/>
              <w:jc w:val="both"/>
            </w:pPr>
          </w:p>
          <w:p w14:paraId="7A5E442C" w14:textId="77777777" w:rsidR="000A41F9" w:rsidRPr="00911DFE" w:rsidRDefault="000A41F9" w:rsidP="00C929A4">
            <w:pPr>
              <w:spacing w:line="360" w:lineRule="auto"/>
              <w:jc w:val="both"/>
            </w:pPr>
            <w:r w:rsidRPr="00911DFE">
              <w:t xml:space="preserve">Sadly, this was the case for Adult 1, who was expressing thoughts of suicide and low mood. Upon exploration with Adult 1, this was due to being in refuge and feeling </w:t>
            </w:r>
            <w:r w:rsidRPr="00911DFE">
              <w:lastRenderedPageBreak/>
              <w:t>extremely isolated, and also the medication which she was taking, which was no longer correct. Adult 1 had not had a medication review in a few years and had relied on the medication prescribed, predominantly Quetiapine as she knew that this worked for her. Unfortunately, there has been a shortage of Quetiapine medication (Northumberland, Tyne and Wear NHS Foundation Trust, 2024) and this has meant Adult 1’s medication was changed without review. The change in medication caused Adult 1’s mental health to deteriorate significantly.</w:t>
            </w:r>
          </w:p>
          <w:p w14:paraId="0D6A40E0" w14:textId="77777777" w:rsidR="000A41F9" w:rsidRPr="00911DFE" w:rsidRDefault="000A41F9" w:rsidP="00C929A4">
            <w:pPr>
              <w:spacing w:line="360" w:lineRule="auto"/>
              <w:jc w:val="both"/>
            </w:pPr>
          </w:p>
          <w:p w14:paraId="404792A3" w14:textId="77777777" w:rsidR="000A41F9" w:rsidRPr="00911DFE" w:rsidRDefault="000A41F9" w:rsidP="00C929A4">
            <w:pPr>
              <w:spacing w:line="360" w:lineRule="auto"/>
              <w:jc w:val="both"/>
            </w:pPr>
            <w:r w:rsidRPr="00911DFE">
              <w:t xml:space="preserve"> I utilised a strength’s based approach as I felt working in a collaborative manner in this instance would be most appropriate; and drawing on Adult 1’s strengths and wanting Adult 1 to recognise that she had managed matters well up until this point and there had been no suggestion that Child 1 had been exposed to Adult 1’s down days, although it was now clear that Adult 1 was in crisis and needed further support (</w:t>
            </w:r>
            <w:proofErr w:type="spellStart"/>
            <w:r w:rsidRPr="00911DFE">
              <w:t>Caiels</w:t>
            </w:r>
            <w:proofErr w:type="spellEnd"/>
            <w:r w:rsidRPr="00911DFE">
              <w:t xml:space="preserve">, Milne, Beadle-Brown, 2021). However, upon conversations with Adult 1, she was honest in saying she felt she could not keep Child 1 safe, had forgotten to feed her on one occasion, and was actively self-harming as a means of coping. </w:t>
            </w:r>
          </w:p>
          <w:p w14:paraId="14D15913" w14:textId="77777777" w:rsidR="000A41F9" w:rsidRPr="00911DFE" w:rsidRDefault="000A41F9" w:rsidP="00C929A4">
            <w:pPr>
              <w:spacing w:line="360" w:lineRule="auto"/>
              <w:jc w:val="both"/>
            </w:pPr>
          </w:p>
          <w:p w14:paraId="3E52E9EC" w14:textId="25134D1A" w:rsidR="000A41F9" w:rsidRPr="00911DFE" w:rsidRDefault="000A41F9" w:rsidP="00C929A4">
            <w:pPr>
              <w:spacing w:line="360" w:lineRule="auto"/>
              <w:jc w:val="both"/>
            </w:pPr>
            <w:r w:rsidRPr="00911DFE">
              <w:t xml:space="preserve">I sought urgent advice from senior management as I worried that Child 1 was at risk of significant harm in Adult 1’s care, and as a result of this, Section 47 enquiries were initiated to address these issues and ensure there was a plan safe enough for Child 1 to remain in Adult 1’s care. Unfortunately, the refuge is not staffed on a 24/7 basis </w:t>
            </w:r>
            <w:r>
              <w:t>meaning</w:t>
            </w:r>
            <w:r w:rsidRPr="00911DFE">
              <w:t xml:space="preserve">  there was little to no safety, and this balanced with Adult 1 having no support network who could support her and Child 1. Further to this, there was a lack of Foster Placement’s available, and worryingly, it was the school summer holidays which meant that safety could not be achieved from Child 1 going to school daily which would in turn provide Adult 1 with natural respite. </w:t>
            </w:r>
          </w:p>
          <w:p w14:paraId="0DE4C92C" w14:textId="77777777" w:rsidR="000A41F9" w:rsidRPr="00911DFE" w:rsidRDefault="000A41F9" w:rsidP="00C929A4">
            <w:pPr>
              <w:spacing w:line="360" w:lineRule="auto"/>
              <w:jc w:val="both"/>
            </w:pPr>
          </w:p>
          <w:p w14:paraId="1D064692" w14:textId="77777777" w:rsidR="000A41F9" w:rsidRPr="00911DFE" w:rsidRDefault="000A41F9" w:rsidP="00C929A4">
            <w:pPr>
              <w:spacing w:line="360" w:lineRule="auto"/>
              <w:jc w:val="both"/>
            </w:pPr>
            <w:r w:rsidRPr="00911DFE">
              <w:t xml:space="preserve">As a result, we used a relief pool of staff who supervised Child 1 and Adult 1 throughout the night, as the worries were so heightened. However, it was evident that this plan was not sustainable long term, nor realistic, as it was unnatural for Child 1 and not in her best interests to have somebody constantly supervising her with Adult 1. Family came </w:t>
            </w:r>
            <w:r w:rsidRPr="00911DFE">
              <w:lastRenderedPageBreak/>
              <w:t xml:space="preserve">forward to say they could support with accommodating Child 1 for the weekend only, however, sadly during this time, Adult 1 had made an attempt on her life by way of overdose, which meant that it was unsafe for Child 1 to return to her care by Monday. </w:t>
            </w:r>
          </w:p>
          <w:p w14:paraId="14CE219D" w14:textId="77777777" w:rsidR="000A41F9" w:rsidRPr="00911DFE" w:rsidRDefault="000A41F9" w:rsidP="00C929A4">
            <w:pPr>
              <w:spacing w:line="360" w:lineRule="auto"/>
              <w:jc w:val="both"/>
            </w:pPr>
          </w:p>
          <w:p w14:paraId="42EC3DF4" w14:textId="77777777" w:rsidR="000A41F9" w:rsidRPr="00911DFE" w:rsidRDefault="000A41F9" w:rsidP="00C929A4">
            <w:pPr>
              <w:spacing w:line="360" w:lineRule="auto"/>
              <w:jc w:val="both"/>
            </w:pPr>
            <w:r w:rsidRPr="00911DFE">
              <w:t>A voluntarily signed a Section 76 agreement under the SSWBA 2014, although I was careful to ensure there was no breach of Adult 1's human rights and considered whether she was capable of giving fully informed consent (Cardiff University, N.D.). After using my professional judgement, I determined that Adult 1 was able to provide informed consent and understood the implications of her decision. She was able to sit with me, review the Delegated Authority and Placement Information Record, and clearly express her views regarding these documents. Consequently, Child 1 was placed in an emergency foster care placement.</w:t>
            </w:r>
          </w:p>
          <w:p w14:paraId="7C11A323" w14:textId="77777777" w:rsidR="000A41F9" w:rsidRPr="00911DFE" w:rsidRDefault="000A41F9" w:rsidP="00C929A4">
            <w:pPr>
              <w:spacing w:line="360" w:lineRule="auto"/>
              <w:jc w:val="both"/>
            </w:pPr>
          </w:p>
          <w:p w14:paraId="4BAC6C53" w14:textId="77777777" w:rsidR="000A41F9" w:rsidRPr="00911DFE" w:rsidRDefault="000A41F9" w:rsidP="00C929A4">
            <w:pPr>
              <w:spacing w:line="360" w:lineRule="auto"/>
              <w:jc w:val="both"/>
            </w:pPr>
            <w:r w:rsidRPr="00911DFE">
              <w:t>I had to consider the attachment between Adult 1 and Child 1 and how they had never been separated before. This was a key factor in planning family time for Adult 1 and Child 1. Careful consideration was given to the frequency and duration of their contact due to the strong attachment they have exhibited towards each other since I have been case manager; while balancing the need for Child 1 to feel secure and stable in her foster placement. This would allow her to develop an attachment to her carers, fostering trust and consistency (Scott, 2024).</w:t>
            </w:r>
          </w:p>
          <w:p w14:paraId="30C49AAC" w14:textId="77777777" w:rsidR="000A41F9" w:rsidRPr="00911DFE" w:rsidRDefault="000A41F9" w:rsidP="00C929A4">
            <w:pPr>
              <w:spacing w:line="360" w:lineRule="auto"/>
              <w:jc w:val="both"/>
            </w:pPr>
          </w:p>
          <w:p w14:paraId="016E8F41" w14:textId="77777777" w:rsidR="000A41F9" w:rsidRPr="00911DFE" w:rsidRDefault="000A41F9" w:rsidP="00C929A4">
            <w:pPr>
              <w:spacing w:line="360" w:lineRule="auto"/>
              <w:jc w:val="both"/>
            </w:pPr>
            <w:r w:rsidRPr="00911DFE">
              <w:t xml:space="preserve">One of the greatest challenges I encountered whilst supporting and working with Adult 1 to manage her medication was ensuring the medication was correct. For example, I did not feel there was a collaborative approach between myself and health professionals at this point. I had visited the pharmacy myself to explain the impact of Adult 1’s medication being incorrect, this done with Adult 1’s consent aligning with the GDPR 2018, in hopes that it could be corrected. Although this was not the case and each time Adult 1 was met with incorrect medication due to the shortage, which did not agree with her, further causing her mental health to deteriorate. </w:t>
            </w:r>
          </w:p>
          <w:p w14:paraId="097A7121" w14:textId="77777777" w:rsidR="000A41F9" w:rsidRPr="00911DFE" w:rsidRDefault="000A41F9" w:rsidP="00C929A4">
            <w:pPr>
              <w:spacing w:line="360" w:lineRule="auto"/>
              <w:jc w:val="both"/>
            </w:pPr>
          </w:p>
          <w:p w14:paraId="3952C187" w14:textId="77777777" w:rsidR="000A41F9" w:rsidRPr="00911DFE" w:rsidRDefault="000A41F9" w:rsidP="00C929A4">
            <w:pPr>
              <w:spacing w:line="360" w:lineRule="auto"/>
              <w:jc w:val="both"/>
            </w:pPr>
            <w:r w:rsidRPr="00911DFE">
              <w:lastRenderedPageBreak/>
              <w:t>I strongly believed that Adult 1 should have been more receptive to intensive mental health support, as her deteriorating mental health led to Child 1 becoming a ‘</w:t>
            </w:r>
            <w:r w:rsidRPr="00911DFE">
              <w:rPr>
                <w:i/>
                <w:iCs/>
              </w:rPr>
              <w:t>Looked After Child’</w:t>
            </w:r>
            <w:r w:rsidRPr="00911DFE">
              <w:t xml:space="preserve"> and no longer being in her care. However, mental health and healthcare professionals did not share my sense of urgency regarding Adult 1’s condition, highlighting aspects of both the social and medical models. In my professional judgement, Adult 1 faced significant barriers to receiving the correct support, although it seemed that health professionals viewed Adult 1 as the ‘problem’ (Scope, 2024).</w:t>
            </w:r>
          </w:p>
          <w:p w14:paraId="36D72269" w14:textId="77777777" w:rsidR="000A41F9" w:rsidRPr="00911DFE" w:rsidRDefault="000A41F9" w:rsidP="00C929A4">
            <w:pPr>
              <w:spacing w:line="360" w:lineRule="auto"/>
              <w:jc w:val="both"/>
            </w:pPr>
          </w:p>
          <w:p w14:paraId="764FE783" w14:textId="77777777" w:rsidR="000A41F9" w:rsidRPr="00911DFE" w:rsidRDefault="000A41F9" w:rsidP="00C929A4">
            <w:pPr>
              <w:spacing w:line="360" w:lineRule="auto"/>
              <w:jc w:val="both"/>
            </w:pPr>
            <w:r w:rsidRPr="00911DFE">
              <w:t>For example, there was an instance where I supported Adult 1 in seeking help from the crisis team. However, because she did not answer a call from an unknown number, understandably, given that she was fleeing an abusive relationship, the support was withdrawn. Adult 1 was labelled as someone who was not engaging. Upon reflection, this created a substantial barrier to her receiving help. All these obstacles were addressed in a multi-disciplinary meeting, allowing professionals to work together to better support Adult 1.</w:t>
            </w:r>
          </w:p>
          <w:p w14:paraId="727196D4" w14:textId="77777777" w:rsidR="000A41F9" w:rsidRPr="00911DFE" w:rsidRDefault="000A41F9" w:rsidP="00C929A4">
            <w:pPr>
              <w:spacing w:line="360" w:lineRule="auto"/>
              <w:jc w:val="both"/>
            </w:pPr>
          </w:p>
          <w:p w14:paraId="0AB4482B" w14:textId="77777777" w:rsidR="000A41F9" w:rsidRPr="00911DFE" w:rsidRDefault="000A41F9" w:rsidP="00C929A4">
            <w:pPr>
              <w:spacing w:line="360" w:lineRule="auto"/>
              <w:jc w:val="both"/>
            </w:pPr>
            <w:r w:rsidRPr="00911DFE">
              <w:t>I was particularly mindful of ensuring that Adult 1 could meaningfully engage with the PLO assessment sessions, taking her wishes and feelings into account. I also ensured that she would receive a fair assessment, given that her medication had only recently been corrected. It was crucial to embed the overarching principles of the SSWBA 2014 in my practice, respecting Adult 1's dignity and considering her capacity to participate, while acknowledging that Adult 1 is best placed to judge her own well-being. I felt the most proportionate response was to pause Adult 1’s assessment sessions to allow Adult 1 time to stabilise on her medication, ensuring her right to a fair assessment, consistent with both the SSWBA 2014 and the Human Rights Act 1998.</w:t>
            </w:r>
          </w:p>
          <w:p w14:paraId="4141448E" w14:textId="77777777" w:rsidR="000A41F9" w:rsidRPr="00911DFE" w:rsidRDefault="000A41F9" w:rsidP="00C929A4">
            <w:pPr>
              <w:spacing w:line="360" w:lineRule="auto"/>
              <w:jc w:val="both"/>
            </w:pPr>
          </w:p>
          <w:p w14:paraId="7FEFD87E" w14:textId="77777777" w:rsidR="000A41F9" w:rsidRPr="00911DFE" w:rsidRDefault="000A41F9" w:rsidP="00C929A4">
            <w:pPr>
              <w:spacing w:line="360" w:lineRule="auto"/>
              <w:jc w:val="both"/>
            </w:pPr>
            <w:r w:rsidRPr="00911DFE">
              <w:t xml:space="preserve">As a result of this, further advice was sought from senior management in the forum of a Legal Gateway Meeting and my recommendation of an extension for the PLO assessment was agreed by professionals due to the medication shortage being out of Adult 1’s control. I strongly believed that considering the evidence of how Adult 1 managed her mental health throughout the duration of Child 1’s life, that this was the </w:t>
            </w:r>
            <w:r w:rsidRPr="00911DFE">
              <w:lastRenderedPageBreak/>
              <w:t xml:space="preserve">most proportionate next step to gain confidence for Adult to sustain positive decision making and to ensure the correct dosage of medication was working to certify that Adult 1 had a fair assessment (Welbourne, 2014). </w:t>
            </w:r>
          </w:p>
          <w:p w14:paraId="2F5162F8" w14:textId="77777777" w:rsidR="000A41F9" w:rsidRPr="00911DFE" w:rsidRDefault="000A41F9" w:rsidP="00C929A4">
            <w:pPr>
              <w:spacing w:line="360" w:lineRule="auto"/>
              <w:jc w:val="both"/>
            </w:pPr>
          </w:p>
          <w:p w14:paraId="604E8E0C" w14:textId="77777777" w:rsidR="000A41F9" w:rsidRPr="00911DFE" w:rsidRDefault="000A41F9" w:rsidP="00C929A4">
            <w:pPr>
              <w:spacing w:line="360" w:lineRule="auto"/>
              <w:jc w:val="both"/>
            </w:pPr>
            <w:r w:rsidRPr="00911DFE">
              <w:t>In conclusion, working intensively with Child 1 and Adult 1 has provided me with valuable learning opportunities, particularly in understanding how concerns can rapidly escalate. I have witnessed firsthand the family’s distrust in engaging with professionals, largely due to the numerous social workers assigned before my involvement, and the challenges this posed in building meaningful relationships. This experience has highlighted the importance of not only conducting meaningful direct work with the child but also interpreting the child’s behaviours in light of relevant research, as these behaviours may reveal underlying issues. Moreover, this underlines the critical need for collaboration with other professionals during Core Group and multi-disciplinary meetings, ensuring that information is effectively shared to facilitate a coordinated approach in supporting both the family and the child.</w:t>
            </w:r>
          </w:p>
          <w:p w14:paraId="40AC46EA" w14:textId="77777777" w:rsidR="000A41F9" w:rsidRPr="00911DFE" w:rsidRDefault="000A41F9" w:rsidP="00C929A4">
            <w:pPr>
              <w:spacing w:line="360" w:lineRule="auto"/>
              <w:jc w:val="both"/>
            </w:pPr>
          </w:p>
          <w:p w14:paraId="2C294FB5" w14:textId="77777777" w:rsidR="000A41F9" w:rsidRPr="00911DFE" w:rsidRDefault="000A41F9" w:rsidP="00C929A4">
            <w:pPr>
              <w:spacing w:line="360" w:lineRule="auto"/>
              <w:jc w:val="both"/>
            </w:pPr>
            <w:r w:rsidRPr="00911DFE">
              <w:t>Reflecting on future learning and development, I believe it would be beneficial to pursue further training on understanding the various behaviours exhibited by children and their potential causes. This would be in hopes of additional knowledge enhancing my professional judgement, as in this case, the child’s behaviour indicated difficulties at home that were later confirmed. Additionally, I have reflected on my confidence in decision-making. In hindsight, I believe the situation could have escalated sooner due to the non-engagement of Adult 1 and 2, and I now recognise the great importance of having the confidence to assert my professional judgement in such circumstances, whether that is working collaboratively with wider professionals, or senior management within the Local Authority.</w:t>
            </w:r>
          </w:p>
          <w:p w14:paraId="47E39E48" w14:textId="77777777" w:rsidR="000A41F9" w:rsidRDefault="000A41F9" w:rsidP="00C929A4"/>
          <w:p w14:paraId="023C0D99" w14:textId="77777777" w:rsidR="000A41F9" w:rsidRPr="00121F7F" w:rsidRDefault="000A41F9" w:rsidP="00C929A4">
            <w:pPr>
              <w:rPr>
                <w:b/>
                <w:bCs/>
                <w:i/>
                <w:iCs/>
              </w:rPr>
            </w:pPr>
            <w:r w:rsidRPr="00911DFE">
              <w:rPr>
                <w:b/>
                <w:bCs/>
                <w:i/>
                <w:iCs/>
              </w:rPr>
              <w:t>Word count - 4400</w:t>
            </w:r>
          </w:p>
          <w:p w14:paraId="54E2471A" w14:textId="77777777" w:rsidR="000A41F9" w:rsidRPr="00121F7F" w:rsidRDefault="000A41F9" w:rsidP="00C929A4">
            <w:pPr>
              <w:rPr>
                <w:iCs/>
              </w:rPr>
            </w:pPr>
          </w:p>
          <w:p w14:paraId="07CE83D9" w14:textId="77777777" w:rsidR="000A41F9" w:rsidRPr="00121F7F" w:rsidRDefault="000A41F9" w:rsidP="00C929A4"/>
        </w:tc>
      </w:tr>
    </w:tbl>
    <w:p w14:paraId="0458EAE5" w14:textId="77777777" w:rsidR="000A41F9" w:rsidRPr="00121F7F" w:rsidRDefault="000A41F9" w:rsidP="000A41F9"/>
    <w:p w14:paraId="62380205" w14:textId="77777777" w:rsidR="000A41F9" w:rsidRPr="00121F7F" w:rsidRDefault="000A41F9" w:rsidP="000A41F9">
      <w:pPr>
        <w:rPr>
          <w:b/>
        </w:rPr>
      </w:pPr>
    </w:p>
    <w:p w14:paraId="19B267D0" w14:textId="77777777" w:rsidR="000A41F9" w:rsidRPr="00121F7F" w:rsidRDefault="000A41F9" w:rsidP="000A41F9">
      <w:pPr>
        <w:rPr>
          <w:b/>
        </w:rPr>
      </w:pPr>
    </w:p>
    <w:p w14:paraId="6C4562E9" w14:textId="77777777" w:rsidR="000A41F9" w:rsidRDefault="000A41F9"/>
    <w:sectPr w:rsidR="000A4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1F9"/>
    <w:rsid w:val="000057B7"/>
    <w:rsid w:val="000A41F9"/>
    <w:rsid w:val="00202C63"/>
    <w:rsid w:val="00442B51"/>
    <w:rsid w:val="004E6B03"/>
    <w:rsid w:val="0051601D"/>
    <w:rsid w:val="00612B77"/>
    <w:rsid w:val="0062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70629"/>
  <w15:chartTrackingRefBased/>
  <w15:docId w15:val="{8D1F4E9F-65C8-4202-8F79-77E49C2A5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1F9"/>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0A41F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A41F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A41F9"/>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A41F9"/>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0A41F9"/>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0A41F9"/>
    <w:pPr>
      <w:keepNext/>
      <w:keepLines/>
      <w:spacing w:before="4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0A41F9"/>
    <w:pPr>
      <w:keepNext/>
      <w:keepLines/>
      <w:spacing w:before="4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0A41F9"/>
    <w:pPr>
      <w:keepNext/>
      <w:keepLines/>
      <w:spacing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0A41F9"/>
    <w:pPr>
      <w:keepNext/>
      <w:keepLines/>
      <w:spacing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1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1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1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1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1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1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1F9"/>
    <w:rPr>
      <w:rFonts w:eastAsiaTheme="majorEastAsia" w:cstheme="majorBidi"/>
      <w:color w:val="272727" w:themeColor="text1" w:themeTint="D8"/>
    </w:rPr>
  </w:style>
  <w:style w:type="paragraph" w:styleId="Title">
    <w:name w:val="Title"/>
    <w:basedOn w:val="Normal"/>
    <w:next w:val="Normal"/>
    <w:link w:val="TitleChar"/>
    <w:uiPriority w:val="10"/>
    <w:qFormat/>
    <w:rsid w:val="000A41F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A4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1F9"/>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A41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1F9"/>
    <w:pPr>
      <w:spacing w:before="160" w:after="160" w:line="259" w:lineRule="auto"/>
      <w:jc w:val="center"/>
    </w:pPr>
    <w:rPr>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0A41F9"/>
    <w:rPr>
      <w:i/>
      <w:iCs/>
      <w:color w:val="404040" w:themeColor="text1" w:themeTint="BF"/>
    </w:rPr>
  </w:style>
  <w:style w:type="paragraph" w:styleId="ListParagraph">
    <w:name w:val="List Paragraph"/>
    <w:basedOn w:val="Normal"/>
    <w:uiPriority w:val="34"/>
    <w:qFormat/>
    <w:rsid w:val="000A41F9"/>
    <w:pPr>
      <w:spacing w:after="160" w:line="259" w:lineRule="auto"/>
      <w:ind w:left="720"/>
      <w:contextualSpacing/>
    </w:pPr>
    <w:rPr>
      <w:kern w:val="2"/>
      <w:sz w:val="22"/>
      <w:szCs w:val="22"/>
      <w14:ligatures w14:val="standardContextual"/>
    </w:rPr>
  </w:style>
  <w:style w:type="character" w:styleId="IntenseEmphasis">
    <w:name w:val="Intense Emphasis"/>
    <w:basedOn w:val="DefaultParagraphFont"/>
    <w:uiPriority w:val="21"/>
    <w:qFormat/>
    <w:rsid w:val="000A41F9"/>
    <w:rPr>
      <w:i/>
      <w:iCs/>
      <w:color w:val="0F4761" w:themeColor="accent1" w:themeShade="BF"/>
    </w:rPr>
  </w:style>
  <w:style w:type="paragraph" w:styleId="IntenseQuote">
    <w:name w:val="Intense Quote"/>
    <w:basedOn w:val="Normal"/>
    <w:next w:val="Normal"/>
    <w:link w:val="IntenseQuoteChar"/>
    <w:uiPriority w:val="30"/>
    <w:qFormat/>
    <w:rsid w:val="000A41F9"/>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0A41F9"/>
    <w:rPr>
      <w:i/>
      <w:iCs/>
      <w:color w:val="0F4761" w:themeColor="accent1" w:themeShade="BF"/>
    </w:rPr>
  </w:style>
  <w:style w:type="character" w:styleId="IntenseReference">
    <w:name w:val="Intense Reference"/>
    <w:basedOn w:val="DefaultParagraphFont"/>
    <w:uiPriority w:val="32"/>
    <w:qFormat/>
    <w:rsid w:val="000A41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4262</Words>
  <Characters>24294</Characters>
  <Application>Microsoft Office Word</Application>
  <DocSecurity>0</DocSecurity>
  <Lines>202</Lines>
  <Paragraphs>56</Paragraphs>
  <ScaleCrop>false</ScaleCrop>
  <Company>Swansea Council</Company>
  <LinksUpToDate>false</LinksUpToDate>
  <CharactersWithSpaces>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Bowden</dc:creator>
  <cp:keywords/>
  <dc:description/>
  <cp:lastModifiedBy>Emily Bowden</cp:lastModifiedBy>
  <cp:revision>1</cp:revision>
  <dcterms:created xsi:type="dcterms:W3CDTF">2024-10-07T16:08:00Z</dcterms:created>
  <dcterms:modified xsi:type="dcterms:W3CDTF">2024-10-07T16:12:00Z</dcterms:modified>
</cp:coreProperties>
</file>