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7631" w:rsidRDefault="00CF7631" w:rsidP="00CF7631">
      <w:pPr>
        <w:rPr>
          <w:rFonts w:ascii="Arial" w:hAnsi="Arial" w:cs="Arial"/>
        </w:rPr>
      </w:pPr>
    </w:p>
    <w:p w:rsidR="001463F8" w:rsidRPr="001463F8" w:rsidRDefault="001463F8" w:rsidP="00234294">
      <w:pPr>
        <w:spacing w:line="360" w:lineRule="auto"/>
        <w:jc w:val="both"/>
        <w:rPr>
          <w:rFonts w:ascii="Arial" w:hAnsi="Arial" w:cs="Arial"/>
          <w:b/>
          <w:bCs/>
        </w:rPr>
      </w:pPr>
      <w:r w:rsidRPr="001463F8">
        <w:rPr>
          <w:rFonts w:ascii="Arial" w:hAnsi="Arial" w:cs="Arial"/>
          <w:b/>
          <w:bCs/>
        </w:rPr>
        <w:t xml:space="preserve">Introduction </w:t>
      </w:r>
    </w:p>
    <w:p w:rsidR="00CF7631" w:rsidRDefault="00CF7631" w:rsidP="00234294">
      <w:pPr>
        <w:spacing w:line="360" w:lineRule="auto"/>
        <w:jc w:val="both"/>
        <w:rPr>
          <w:rFonts w:ascii="Arial" w:hAnsi="Arial" w:cs="Arial"/>
          <w:b/>
          <w:bCs/>
        </w:rPr>
      </w:pPr>
    </w:p>
    <w:p w:rsidR="00234294" w:rsidRPr="00234294" w:rsidRDefault="00234294" w:rsidP="00234294">
      <w:pPr>
        <w:spacing w:line="360" w:lineRule="auto"/>
        <w:jc w:val="both"/>
        <w:rPr>
          <w:rFonts w:asciiTheme="minorBidi" w:hAnsiTheme="minorBidi"/>
        </w:rPr>
      </w:pPr>
      <w:r w:rsidRPr="00234294">
        <w:rPr>
          <w:rFonts w:asciiTheme="minorBidi" w:hAnsiTheme="minorBidi"/>
        </w:rPr>
        <w:t xml:space="preserve">The Hebrew Bible and the New Testament are crucial to Christianity. This being said, the doctrine of Trinity in Christianity shapes a distinctly Christian view of faith, belief in one God, covenant and salvation in comparison to how these premises are perceived in the Hebrew Bible. Before assessing the Hebrew Bible, the first section will explore and analyse how the Trinity is understood in Christianity. After highlighting the key distinctive points in the Trinity, such as God, Jesus, Holy Spirit, creator and creation, we will attempt to understand how these characteristics influence Christian reading of the Hebrew Bible. The second section will take the key findings identified in the first section and elaborate on how the Trinity influences a unique interpretation of God, covenant, and salvation. In essence, the Trinity reaffirms the true faith in God promised to the Israelites in the Hebrew Bible. The covenantal chosen people of God are the Christians, who are independent of the temporary fleshy commitments required to remain as God’s chosen people. The locus of understanding how these particular factors are negotiated are mediated through the Holy Trinity. </w:t>
      </w:r>
    </w:p>
    <w:p w:rsidR="00234294" w:rsidRDefault="00234294" w:rsidP="00234294">
      <w:pPr>
        <w:spacing w:line="360" w:lineRule="auto"/>
        <w:jc w:val="both"/>
        <w:rPr>
          <w:rFonts w:ascii="Arial" w:hAnsi="Arial" w:cs="Arial"/>
          <w:b/>
          <w:bCs/>
        </w:rPr>
      </w:pPr>
    </w:p>
    <w:p w:rsidR="001639CC" w:rsidRPr="001639CC" w:rsidRDefault="001639CC" w:rsidP="00234294">
      <w:pPr>
        <w:spacing w:line="360" w:lineRule="auto"/>
        <w:jc w:val="both"/>
        <w:rPr>
          <w:rFonts w:ascii="Arial" w:hAnsi="Arial" w:cs="Arial"/>
          <w:b/>
          <w:bCs/>
        </w:rPr>
      </w:pPr>
      <w:r w:rsidRPr="001639CC">
        <w:rPr>
          <w:rFonts w:ascii="Arial" w:hAnsi="Arial" w:cs="Arial"/>
          <w:b/>
          <w:bCs/>
        </w:rPr>
        <w:t xml:space="preserve">Unveiling the Trinity </w:t>
      </w:r>
    </w:p>
    <w:p w:rsidR="001639CC" w:rsidRDefault="001639CC" w:rsidP="00234294">
      <w:pPr>
        <w:spacing w:line="360" w:lineRule="auto"/>
        <w:jc w:val="both"/>
        <w:rPr>
          <w:rFonts w:ascii="Arial" w:hAnsi="Arial" w:cs="Arial"/>
        </w:rPr>
      </w:pPr>
    </w:p>
    <w:p w:rsidR="00234294" w:rsidRPr="00234294" w:rsidRDefault="00234294" w:rsidP="00234294">
      <w:pPr>
        <w:spacing w:line="360" w:lineRule="auto"/>
        <w:jc w:val="both"/>
        <w:rPr>
          <w:rFonts w:asciiTheme="minorBidi" w:hAnsiTheme="minorBidi"/>
        </w:rPr>
      </w:pPr>
      <w:r w:rsidRPr="00234294">
        <w:rPr>
          <w:rFonts w:asciiTheme="minorBidi" w:hAnsiTheme="minorBidi"/>
        </w:rPr>
        <w:t xml:space="preserve">The one divine God created the world, and all things in the world are moved and powered by his will. By the grace of God and his word all things owe their being to his will, might and </w:t>
      </w:r>
      <w:r w:rsidR="00CF7631">
        <w:rPr>
          <w:rFonts w:ascii="Arial" w:hAnsi="Arial" w:cs="Arial"/>
        </w:rPr>
        <w:t>power</w:t>
      </w:r>
      <w:r w:rsidR="00152AE8">
        <w:rPr>
          <w:rStyle w:val="FootnoteReference"/>
          <w:rFonts w:ascii="Arial" w:hAnsi="Arial" w:cs="Arial"/>
        </w:rPr>
        <w:footnoteReference w:customMarkFollows="1" w:id="1"/>
        <w:t>1</w:t>
      </w:r>
      <w:r w:rsidR="00CF7631">
        <w:rPr>
          <w:rFonts w:ascii="Arial" w:hAnsi="Arial" w:cs="Arial"/>
        </w:rPr>
        <w:t xml:space="preserve">. </w:t>
      </w:r>
      <w:r w:rsidRPr="00234294">
        <w:rPr>
          <w:rFonts w:asciiTheme="minorBidi" w:hAnsiTheme="minorBidi"/>
        </w:rPr>
        <w:t xml:space="preserve">Athanasius identifies the grace of God and his word as the author of the word. Equally, in this same breath, he observes there is a distinction between the creator and the creation. While God, his grace and the word are necessary for creation, mankind is subjugated to God, owing their existence to God. </w:t>
      </w:r>
      <w:r w:rsidR="00436506" w:rsidRPr="00436506">
        <w:rPr>
          <w:rFonts w:asciiTheme="minorBidi" w:hAnsiTheme="minorBidi"/>
        </w:rPr>
        <w:t xml:space="preserve">The proclamation here presumes the world was created by God, further marking a distinction between the creator and the creation. This special relationship is subtle, yet it is an imperative aspect of the Christian </w:t>
      </w:r>
      <w:r w:rsidR="00436506">
        <w:rPr>
          <w:rFonts w:asciiTheme="minorBidi" w:hAnsiTheme="minorBidi"/>
        </w:rPr>
        <w:t xml:space="preserve">doctrine of </w:t>
      </w:r>
      <w:r w:rsidR="00436506" w:rsidRPr="00436506">
        <w:rPr>
          <w:rFonts w:asciiTheme="minorBidi" w:hAnsiTheme="minorBidi"/>
        </w:rPr>
        <w:t>Trinity</w:t>
      </w:r>
      <w:r w:rsidRPr="00234294">
        <w:rPr>
          <w:rFonts w:asciiTheme="minorBidi" w:hAnsiTheme="minorBidi"/>
        </w:rPr>
        <w:t xml:space="preserve">. This is where the word became incarnate in Jesus who proclaimed the Gospel to the fellow believers. As John proclaims in his Gospel, “in the beginning was the word, and the word was with God </w:t>
      </w:r>
      <w:r w:rsidRPr="00234294">
        <w:rPr>
          <w:rFonts w:asciiTheme="minorBidi" w:hAnsiTheme="minorBidi"/>
        </w:rPr>
        <w:lastRenderedPageBreak/>
        <w:t xml:space="preserve">and the word was </w:t>
      </w:r>
      <w:r w:rsidR="005449EB">
        <w:rPr>
          <w:rFonts w:ascii="Arial" w:hAnsi="Arial" w:cs="Arial"/>
        </w:rPr>
        <w:t>God”</w:t>
      </w:r>
      <w:r w:rsidR="00152AE8">
        <w:rPr>
          <w:rStyle w:val="FootnoteReference"/>
          <w:rFonts w:ascii="Arial" w:hAnsi="Arial" w:cs="Arial"/>
        </w:rPr>
        <w:footnoteReference w:customMarkFollows="1" w:id="2"/>
        <w:t>2</w:t>
      </w:r>
      <w:r w:rsidR="005449EB">
        <w:rPr>
          <w:rFonts w:ascii="Arial" w:hAnsi="Arial" w:cs="Arial"/>
        </w:rPr>
        <w:t xml:space="preserve">. </w:t>
      </w:r>
      <w:r w:rsidRPr="00234294">
        <w:rPr>
          <w:rFonts w:asciiTheme="minorBidi" w:hAnsiTheme="minorBidi"/>
        </w:rPr>
        <w:t xml:space="preserve">The inferred meaning here is, Jesus was the word, who resided with God before time, and after the world was created, Jesus became the word. By becoming the instrument of God, Jesus revealed the one true God to mankind. Those who adhered to Jesus’ teachings and believed in him would come to know God as God is supposed to be known. Secondly, by the word becoming flesh in the person of Jesus in the world, the world became the domain where God’s divinity is manifested to the creation. It seems for Athanasius when he speaks of the will and grace of God transpiring through the word, the will of God is recognised through Jesus. This is only achievable providing Jesus is accepted as the incarnate of the word of God. This would then allow humans to recognise God and accepts God as their creator who conducts divine works in the world. </w:t>
      </w:r>
    </w:p>
    <w:p w:rsidR="00152AE8" w:rsidRDefault="00152AE8" w:rsidP="00234294">
      <w:pPr>
        <w:spacing w:line="360" w:lineRule="auto"/>
        <w:jc w:val="both"/>
        <w:rPr>
          <w:rFonts w:ascii="Arial" w:hAnsi="Arial" w:cs="Arial"/>
        </w:rPr>
      </w:pPr>
    </w:p>
    <w:p w:rsidR="001302EA" w:rsidRDefault="00234294" w:rsidP="00234294">
      <w:pPr>
        <w:spacing w:line="360" w:lineRule="auto"/>
        <w:jc w:val="both"/>
        <w:rPr>
          <w:rFonts w:ascii="Arial" w:hAnsi="Arial" w:cs="Arial"/>
        </w:rPr>
      </w:pPr>
      <w:r w:rsidRPr="00234294">
        <w:rPr>
          <w:rFonts w:asciiTheme="minorBidi" w:hAnsiTheme="minorBidi"/>
        </w:rPr>
        <w:t xml:space="preserve">In Augustine’s collected works he is more direct and states, God is the true faith, the light and the beacon of truth, it is creations endeavour to progress towards the </w:t>
      </w:r>
      <w:r w:rsidR="00CF7631">
        <w:rPr>
          <w:rFonts w:ascii="Arial" w:hAnsi="Arial" w:cs="Arial"/>
        </w:rPr>
        <w:t>truth</w:t>
      </w:r>
      <w:r w:rsidR="00152AE8">
        <w:rPr>
          <w:rStyle w:val="FootnoteReference"/>
          <w:rFonts w:ascii="Arial" w:hAnsi="Arial" w:cs="Arial"/>
        </w:rPr>
        <w:footnoteReference w:customMarkFollows="1" w:id="3"/>
        <w:t>3</w:t>
      </w:r>
      <w:r w:rsidR="00CF7631">
        <w:rPr>
          <w:rFonts w:ascii="Arial" w:hAnsi="Arial" w:cs="Arial"/>
        </w:rPr>
        <w:t xml:space="preserve">. </w:t>
      </w:r>
      <w:r w:rsidRPr="00234294">
        <w:rPr>
          <w:rFonts w:asciiTheme="minorBidi" w:hAnsiTheme="minorBidi"/>
        </w:rPr>
        <w:t>Once again, we see a reiteration of God’s divine manifestation on earth, with the creation. However, for Augustine, the earth is a treacherous path which has to be conquered in light of the divine Truth. To bridge this gap creation must toil on earth to reunite with God to unveil the divine Truth by the means of divine faith.</w:t>
      </w:r>
    </w:p>
    <w:p w:rsidR="00234294" w:rsidRPr="00234294" w:rsidRDefault="00CF7631" w:rsidP="00234294">
      <w:pPr>
        <w:spacing w:line="360" w:lineRule="auto"/>
        <w:jc w:val="both"/>
        <w:rPr>
          <w:rFonts w:asciiTheme="minorBidi" w:hAnsiTheme="minorBidi"/>
        </w:rPr>
      </w:pPr>
      <w:r>
        <w:rPr>
          <w:rFonts w:ascii="Arial" w:hAnsi="Arial" w:cs="Arial"/>
        </w:rPr>
        <w:t>Irenaeus</w:t>
      </w:r>
      <w:r w:rsidR="00152AE8">
        <w:rPr>
          <w:rStyle w:val="FootnoteReference"/>
          <w:rFonts w:ascii="Arial" w:hAnsi="Arial" w:cs="Arial"/>
        </w:rPr>
        <w:footnoteReference w:customMarkFollows="1" w:id="4"/>
        <w:t>4</w:t>
      </w:r>
      <w:r>
        <w:rPr>
          <w:rFonts w:ascii="Arial" w:hAnsi="Arial" w:cs="Arial"/>
        </w:rPr>
        <w:t xml:space="preserve"> </w:t>
      </w:r>
      <w:r w:rsidR="00234294" w:rsidRPr="00234294">
        <w:rPr>
          <w:rFonts w:asciiTheme="minorBidi" w:hAnsiTheme="minorBidi"/>
        </w:rPr>
        <w:t xml:space="preserve">does not only see the world as a place of reconciliation but emphasises man is created from the disease of the sin, and man should grow in strength, and recover and glorify God until he reaches the perfected image of God likened to him. In stark contrast, here we see the fall of the man being played out in this world. The task herein is to recognise God and recover from the initial state of sin and restore the perfect image of God by gradually glorifying God. Thus far, we have seen how God manifests himself to the creation. Within this manifestation, we have observed three modes of understanding the creation. Firstly, the word of God is incarnate in Jesus, as well as the will of God. Recognising the word in Jesus we can recognise God, and God’s will. Secondly, by believing in Jesus the Christian devotee is reaffirming faith in God and is progressing towards the truth. Lastly, the state of separation in creation is due to </w:t>
      </w:r>
      <w:r w:rsidR="00234294" w:rsidRPr="00234294">
        <w:rPr>
          <w:rFonts w:asciiTheme="minorBidi" w:hAnsiTheme="minorBidi"/>
        </w:rPr>
        <w:lastRenderedPageBreak/>
        <w:t xml:space="preserve">the sinful nature of the human condition. To rise above this temporal state, and reunite with the perfect image of God, man must glorify God. In each case, God is perceived as the sole creator of the creation, and within this God remains the one true God. The earth is seen as a level plain field where the creation has to recognise God. Finally, creation though created by God, at the same time is separate from God. The last stage requires salvation, which will be evaluated a little later. But as a preliminary remark, it must be noted, mankind must recognise the Lord God and strife to reunite with God by being on earth and living in the presence of the divine truth, which is demonstrated by the person of Jesus.  </w:t>
      </w:r>
    </w:p>
    <w:p w:rsidR="00E8341B" w:rsidRDefault="00CF7631" w:rsidP="00234294">
      <w:pPr>
        <w:spacing w:line="360" w:lineRule="auto"/>
        <w:jc w:val="both"/>
        <w:rPr>
          <w:rFonts w:ascii="Arial" w:hAnsi="Arial" w:cs="Arial"/>
        </w:rPr>
      </w:pPr>
      <w:r>
        <w:rPr>
          <w:rFonts w:ascii="Arial" w:hAnsi="Arial" w:cs="Arial"/>
        </w:rPr>
        <w:t xml:space="preserve">  </w:t>
      </w:r>
    </w:p>
    <w:p w:rsidR="005449EB" w:rsidRDefault="00234294" w:rsidP="00234294">
      <w:pPr>
        <w:spacing w:line="360" w:lineRule="auto"/>
        <w:jc w:val="both"/>
        <w:rPr>
          <w:rFonts w:ascii="Arial" w:hAnsi="Arial" w:cs="Arial"/>
        </w:rPr>
      </w:pPr>
      <w:r w:rsidRPr="00234294">
        <w:rPr>
          <w:rFonts w:asciiTheme="minorBidi" w:hAnsiTheme="minorBidi"/>
        </w:rPr>
        <w:t xml:space="preserve">Though God is distant from his creation, he does not remain detached from his creation. To restore this gap, God mediates through Jesus Christ. Athanasius emphasises how the human nature of Jesus and the resurrection of Christ manifested God’s eternal mercy and grace to the impermanent worldly </w:t>
      </w:r>
      <w:r w:rsidR="007F4F71">
        <w:rPr>
          <w:rFonts w:ascii="Arial" w:hAnsi="Arial" w:cs="Arial"/>
        </w:rPr>
        <w:t>creatures</w:t>
      </w:r>
      <w:r w:rsidR="00152AE8">
        <w:rPr>
          <w:rStyle w:val="FootnoteReference"/>
          <w:rFonts w:ascii="Arial" w:hAnsi="Arial" w:cs="Arial"/>
        </w:rPr>
        <w:footnoteReference w:customMarkFollows="1" w:id="5"/>
        <w:t>6</w:t>
      </w:r>
      <w:r w:rsidR="007F4F71">
        <w:rPr>
          <w:rFonts w:ascii="Arial" w:hAnsi="Arial" w:cs="Arial"/>
        </w:rPr>
        <w:t xml:space="preserve">. </w:t>
      </w:r>
      <w:r w:rsidRPr="00234294">
        <w:rPr>
          <w:rFonts w:asciiTheme="minorBidi" w:hAnsiTheme="minorBidi"/>
        </w:rPr>
        <w:t xml:space="preserve">The reassurance given by Athanasius can only work as a saving action of God’s grace if the human nature of Jesus is accepted and his resurrection is affirmed as part of the Christian doctrine. Without accepting the binary prerequisite, essential to the Christian understanding of the Trinity and the person of Jesus, God and God’s work cease to exist. In which case God’s saving activity of humankind also comes to no avail. Therefore, the role Jesus plays in the world is the saving activity of God in the world, while not negating his earthly/historical ministry on earth. The adverse implication of this confirmation suggests two things. Firstly, Jesus is divine who resided with God and his coming into the world was part of the divine plan, in so far Jesus is aware of God’s will. Secondly, by Jesus becoming fully human in the world to guide creation to God, should we condemn Jesus’ human nature to the same fate as the fallen nature of all humans. This paradox on a conceptual level is confusing. Nonetheless, Christ becoming the word of God on earth does not diminish Jesus’ nature. Christ remains divinely intact and perfect, he remains unscathed by the sinful nature and condition of the human flesh. The significance of Jesus residing with humans is the precise manner in which God decided to communicate with humans and guide creation back to God. The father sitting up in heaven plans everything, with the son (Christ) executing the commands and performing the father’s work here on earth, with the spirit nourishing </w:t>
      </w:r>
      <w:r w:rsidRPr="00234294">
        <w:rPr>
          <w:rFonts w:asciiTheme="minorBidi" w:hAnsiTheme="minorBidi"/>
        </w:rPr>
        <w:lastRenderedPageBreak/>
        <w:t xml:space="preserve">and increasing what is made by the Son, returning and conforming to the father’s </w:t>
      </w:r>
      <w:r w:rsidR="007F4F71">
        <w:rPr>
          <w:rFonts w:ascii="Arial" w:hAnsi="Arial" w:cs="Arial"/>
        </w:rPr>
        <w:t>will</w:t>
      </w:r>
      <w:r w:rsidR="00152AE8">
        <w:rPr>
          <w:rStyle w:val="FootnoteReference"/>
          <w:rFonts w:ascii="Arial" w:hAnsi="Arial" w:cs="Arial"/>
        </w:rPr>
        <w:footnoteReference w:customMarkFollows="1" w:id="6"/>
        <w:t>7</w:t>
      </w:r>
      <w:r w:rsidR="007F4F71">
        <w:rPr>
          <w:rFonts w:ascii="Arial" w:hAnsi="Arial" w:cs="Arial"/>
        </w:rPr>
        <w:t>.</w:t>
      </w:r>
      <w:r w:rsidR="00787BF2">
        <w:rPr>
          <w:rFonts w:ascii="Arial" w:hAnsi="Arial" w:cs="Arial"/>
        </w:rPr>
        <w:t xml:space="preserve"> </w:t>
      </w:r>
      <w:r w:rsidRPr="00234294">
        <w:rPr>
          <w:rFonts w:asciiTheme="minorBidi" w:hAnsiTheme="minorBidi"/>
        </w:rPr>
        <w:t>Considering the first two principles of the Trinity have been demonstrated, there is a third element in the Trinity that propels humans to realise the first two principles. That is the Holy Spirit.</w:t>
      </w:r>
    </w:p>
    <w:p w:rsidR="005449EB" w:rsidRDefault="005449EB" w:rsidP="00234294">
      <w:pPr>
        <w:spacing w:line="360" w:lineRule="auto"/>
        <w:jc w:val="both"/>
        <w:rPr>
          <w:rFonts w:ascii="Arial" w:hAnsi="Arial" w:cs="Arial"/>
        </w:rPr>
      </w:pPr>
    </w:p>
    <w:p w:rsidR="00234294" w:rsidRPr="00234294" w:rsidRDefault="00234294" w:rsidP="00234294">
      <w:pPr>
        <w:spacing w:line="360" w:lineRule="auto"/>
        <w:jc w:val="both"/>
        <w:rPr>
          <w:rFonts w:asciiTheme="minorBidi" w:hAnsiTheme="minorBidi"/>
        </w:rPr>
      </w:pPr>
      <w:r w:rsidRPr="00234294">
        <w:rPr>
          <w:rFonts w:asciiTheme="minorBidi" w:hAnsiTheme="minorBidi"/>
        </w:rPr>
        <w:t xml:space="preserve">To summate Jesus and the Holy Spirit’s relationship to God, Gregory of </w:t>
      </w:r>
      <w:r w:rsidR="007F4F71">
        <w:rPr>
          <w:rFonts w:ascii="Arial" w:hAnsi="Arial" w:cs="Arial"/>
        </w:rPr>
        <w:t>Nyssa</w:t>
      </w:r>
      <w:r w:rsidR="00152AE8">
        <w:rPr>
          <w:rStyle w:val="FootnoteReference"/>
          <w:rFonts w:ascii="Arial" w:hAnsi="Arial" w:cs="Arial"/>
        </w:rPr>
        <w:footnoteReference w:customMarkFollows="1" w:id="7"/>
        <w:t>8</w:t>
      </w:r>
      <w:r w:rsidR="007F4F71">
        <w:rPr>
          <w:rFonts w:ascii="Arial" w:hAnsi="Arial" w:cs="Arial"/>
        </w:rPr>
        <w:t xml:space="preserve"> </w:t>
      </w:r>
      <w:r w:rsidRPr="00234294">
        <w:rPr>
          <w:rFonts w:asciiTheme="minorBidi" w:hAnsiTheme="minorBidi"/>
        </w:rPr>
        <w:t xml:space="preserve">confesses the triune relationship is mysterious, however, although, a different name is given to each persona, together they are unison, coeternal, co-existence in the divine Godhead. Put simply, the relationship between the triune is how God manifests himself to the world and reaffirms faith in the Christian believer. The divine substance that is shared in each of the personas complete the trinity. How each persona functions and achieves its intended outcome varies yet together the three personas remain cognizance of the divine will. How the divine relationship was connected and conceptualised in its application went through a series of ecumenical councils before it was resolved eventually. The predominant view currently upholds the father always existed, the son was begotten as well as the Holy Spirit. Each persona shares the divine substance in the Godhead, but how each persona works in the world differs in its mode of manifesting God to the Christian believer. </w:t>
      </w:r>
    </w:p>
    <w:p w:rsidR="00D009AC" w:rsidRDefault="00D009AC" w:rsidP="00234294">
      <w:pPr>
        <w:spacing w:line="360" w:lineRule="auto"/>
        <w:jc w:val="both"/>
        <w:rPr>
          <w:rFonts w:ascii="Arial" w:hAnsi="Arial" w:cs="Arial"/>
        </w:rPr>
      </w:pPr>
    </w:p>
    <w:p w:rsidR="00234294" w:rsidRPr="00234294" w:rsidRDefault="00715F2C" w:rsidP="00234294">
      <w:pPr>
        <w:spacing w:line="360" w:lineRule="auto"/>
        <w:jc w:val="both"/>
        <w:rPr>
          <w:rFonts w:asciiTheme="minorBidi" w:hAnsiTheme="minorBidi"/>
        </w:rPr>
      </w:pPr>
      <w:r>
        <w:rPr>
          <w:rFonts w:ascii="Arial" w:hAnsi="Arial" w:cs="Arial"/>
        </w:rPr>
        <w:t>As Tanner</w:t>
      </w:r>
      <w:r w:rsidR="00152AE8">
        <w:rPr>
          <w:rStyle w:val="FootnoteReference"/>
          <w:rFonts w:ascii="Arial" w:hAnsi="Arial" w:cs="Arial"/>
        </w:rPr>
        <w:footnoteReference w:customMarkFollows="1" w:id="8"/>
        <w:t>9</w:t>
      </w:r>
      <w:r>
        <w:rPr>
          <w:rFonts w:ascii="Arial" w:hAnsi="Arial" w:cs="Arial"/>
        </w:rPr>
        <w:t xml:space="preserve"> </w:t>
      </w:r>
      <w:r w:rsidR="00234294" w:rsidRPr="00234294">
        <w:rPr>
          <w:rFonts w:asciiTheme="minorBidi" w:hAnsiTheme="minorBidi"/>
        </w:rPr>
        <w:t xml:space="preserve">points out the Holy Spirit is the affirmation of the Lord and Jesus, driven by faith through scripture and the Church (community of believers in Jesus Christ and the Lord God). The spirit, in essence, nourishes the faith of the Christian believer and the Christian community. Integral to this confirmation is the acceptance of the Spirit working through Christ acknowledging the works of the Christian community and the significance of the scripture. Thus, the Spirit is not only working through Christ in recognition of God but at the same time the Spirit accommodates the believer’s faith in all aspect of life, including rituals. The connection the Holy Spirit has with the father and the son establishes the true Christian faith in the believer, which also allows the faithful to participate in the continues divine active role of God in the world. The human nevertheless remains human, however, when a believer embodies the Gospel virtues </w:t>
      </w:r>
      <w:r w:rsidR="00234294" w:rsidRPr="00234294">
        <w:rPr>
          <w:rFonts w:asciiTheme="minorBidi" w:hAnsiTheme="minorBidi"/>
        </w:rPr>
        <w:lastRenderedPageBreak/>
        <w:t xml:space="preserve">the Spirit directs the human’s mind and actions towards God’s grace, keeping them in the realm of the Holy Spirit. Here we see the Spirit reconciling the human reason and action towards God, but this is not before the spirit is recognised in the actions of Jesus Christ in the Gospels. The working of the Spirit is not only divinely connected, but it is a primary mover in human thought and action. Implicit in this view is the notion of the fallen state of human flesh and thought, which requires the Spirit to realign the human fleshy action and thought towards God. The Spirit here plays a further role through the thoroughly Human nature of Christ by the order of God. The crucifixion and the actions of Christ, his speech, touch, and blood poured out for the sins of humans, to grant them salvation. God works in Christ as the Spirit works in us; how the Spirit works in and through us is found in the human nature of Christ. By the spirit working through us, we affirm faith in God and recognise the salvific work of Christ. </w:t>
      </w:r>
    </w:p>
    <w:p w:rsidR="002206E3" w:rsidRDefault="002206E3" w:rsidP="00234294">
      <w:pPr>
        <w:spacing w:line="360" w:lineRule="auto"/>
        <w:jc w:val="both"/>
        <w:rPr>
          <w:rFonts w:ascii="Arial" w:hAnsi="Arial" w:cs="Arial"/>
        </w:rPr>
      </w:pPr>
    </w:p>
    <w:p w:rsidR="005449EB" w:rsidRDefault="005449EB" w:rsidP="00234294">
      <w:pPr>
        <w:spacing w:line="360" w:lineRule="auto"/>
        <w:jc w:val="both"/>
        <w:rPr>
          <w:rFonts w:ascii="Arial" w:hAnsi="Arial" w:cs="Arial"/>
        </w:rPr>
      </w:pPr>
    </w:p>
    <w:p w:rsidR="005449EB" w:rsidRDefault="001639CC" w:rsidP="00234294">
      <w:pPr>
        <w:spacing w:line="360" w:lineRule="auto"/>
        <w:jc w:val="both"/>
        <w:rPr>
          <w:rFonts w:ascii="Arial" w:hAnsi="Arial" w:cs="Arial"/>
          <w:b/>
          <w:bCs/>
        </w:rPr>
      </w:pPr>
      <w:r>
        <w:rPr>
          <w:rFonts w:ascii="Arial" w:hAnsi="Arial" w:cs="Arial"/>
          <w:b/>
          <w:bCs/>
        </w:rPr>
        <w:t xml:space="preserve">God, Covenant and Salvation renewed by the Trinity. </w:t>
      </w:r>
    </w:p>
    <w:p w:rsidR="0056135C" w:rsidRDefault="0056135C" w:rsidP="00234294">
      <w:pPr>
        <w:spacing w:line="360" w:lineRule="auto"/>
        <w:jc w:val="both"/>
        <w:rPr>
          <w:rFonts w:ascii="Arial" w:hAnsi="Arial" w:cs="Arial"/>
          <w:b/>
          <w:bCs/>
        </w:rPr>
      </w:pPr>
    </w:p>
    <w:p w:rsidR="007C0642" w:rsidRPr="001639CC" w:rsidRDefault="00234294" w:rsidP="00234294">
      <w:pPr>
        <w:spacing w:line="360" w:lineRule="auto"/>
        <w:jc w:val="both"/>
        <w:rPr>
          <w:rFonts w:ascii="Arial" w:hAnsi="Arial" w:cs="Arial"/>
        </w:rPr>
      </w:pPr>
      <w:r w:rsidRPr="00234294">
        <w:rPr>
          <w:rFonts w:asciiTheme="minorBidi" w:hAnsiTheme="minorBidi"/>
        </w:rPr>
        <w:t xml:space="preserve">With the Holy Trinity intact, and the triune relationship, intertwined, working together, how the Hebrew Bible is viewed in Christianity has a rather unique outlook on how the Hebrew Bible is understood in Christianity. For instance, God in the Hebrew Bible is seen as the one true God, worthy of </w:t>
      </w:r>
      <w:r w:rsidR="005B6B27" w:rsidRPr="001639CC">
        <w:rPr>
          <w:rFonts w:ascii="Arial" w:hAnsi="Arial" w:cs="Arial"/>
        </w:rPr>
        <w:t>worship</w:t>
      </w:r>
      <w:r w:rsidR="00152AE8">
        <w:rPr>
          <w:rStyle w:val="FootnoteReference"/>
          <w:rFonts w:ascii="Arial" w:hAnsi="Arial" w:cs="Arial"/>
        </w:rPr>
        <w:footnoteReference w:customMarkFollows="1" w:id="9"/>
        <w:t>10</w:t>
      </w:r>
      <w:r w:rsidR="005B6B27" w:rsidRPr="001639CC">
        <w:rPr>
          <w:rFonts w:ascii="Arial" w:hAnsi="Arial" w:cs="Arial"/>
        </w:rPr>
        <w:t xml:space="preserve">. </w:t>
      </w:r>
      <w:r w:rsidRPr="00234294">
        <w:rPr>
          <w:rFonts w:asciiTheme="minorBidi" w:hAnsiTheme="minorBidi"/>
        </w:rPr>
        <w:t xml:space="preserve">The concept of one God is not a foreign notion in Christianity. However, due to the triune relationship in the Trinity, how Christians understand their position concerning this one God sees a different interpretation of God in the Hebrew Bible. In the Hebrew, </w:t>
      </w:r>
      <w:r w:rsidR="005B6B27" w:rsidRPr="001639CC">
        <w:rPr>
          <w:rFonts w:ascii="Arial" w:hAnsi="Arial" w:cs="Arial"/>
        </w:rPr>
        <w:t>Bible</w:t>
      </w:r>
      <w:r w:rsidR="00B62A6B">
        <w:rPr>
          <w:rStyle w:val="FootnoteReference"/>
          <w:rFonts w:ascii="Arial" w:hAnsi="Arial" w:cs="Arial"/>
        </w:rPr>
        <w:footnoteReference w:customMarkFollows="1" w:id="10"/>
        <w:t>11</w:t>
      </w:r>
      <w:r w:rsidR="005B6B27" w:rsidRPr="001639CC">
        <w:rPr>
          <w:rFonts w:ascii="Arial" w:hAnsi="Arial" w:cs="Arial"/>
        </w:rPr>
        <w:t xml:space="preserve"> </w:t>
      </w:r>
      <w:r w:rsidRPr="00234294">
        <w:rPr>
          <w:rFonts w:asciiTheme="minorBidi" w:hAnsiTheme="minorBidi"/>
        </w:rPr>
        <w:t>God makes several promises to Abraham in return for keeping faith in God. Of the several promises extended to Abraham two are worthy of mentioning. One is the special election of the people of Israel who inherited the promise made to</w:t>
      </w:r>
      <w:r>
        <w:rPr>
          <w:rFonts w:asciiTheme="minorBidi" w:hAnsiTheme="minorBidi"/>
        </w:rPr>
        <w:t xml:space="preserve"> </w:t>
      </w:r>
      <w:r w:rsidR="0056135C" w:rsidRPr="001639CC">
        <w:rPr>
          <w:rFonts w:ascii="Arial" w:hAnsi="Arial" w:cs="Arial"/>
        </w:rPr>
        <w:t>Abraham</w:t>
      </w:r>
      <w:r w:rsidR="00B62A6B">
        <w:rPr>
          <w:rStyle w:val="FootnoteReference"/>
          <w:rFonts w:ascii="Arial" w:hAnsi="Arial" w:cs="Arial"/>
        </w:rPr>
        <w:footnoteReference w:customMarkFollows="1" w:id="11"/>
        <w:t>12</w:t>
      </w:r>
      <w:r w:rsidR="005B6B27" w:rsidRPr="001639CC">
        <w:rPr>
          <w:rFonts w:ascii="Arial" w:hAnsi="Arial" w:cs="Arial"/>
        </w:rPr>
        <w:t xml:space="preserve">. </w:t>
      </w:r>
      <w:r w:rsidRPr="00234294">
        <w:rPr>
          <w:rFonts w:asciiTheme="minorBidi" w:hAnsiTheme="minorBidi"/>
        </w:rPr>
        <w:t xml:space="preserve">Second, being, the covenantal promise would remain intact providing the chosen people adhered to the </w:t>
      </w:r>
      <w:r w:rsidRPr="00234294">
        <w:rPr>
          <w:rFonts w:asciiTheme="minorBidi" w:hAnsiTheme="minorBidi"/>
        </w:rPr>
        <w:lastRenderedPageBreak/>
        <w:t xml:space="preserve">laws given to them by </w:t>
      </w:r>
      <w:r w:rsidR="00787BF2">
        <w:rPr>
          <w:rFonts w:ascii="Arial" w:hAnsi="Arial" w:cs="Arial"/>
        </w:rPr>
        <w:t>God</w:t>
      </w:r>
      <w:r w:rsidR="00B62A6B">
        <w:rPr>
          <w:rStyle w:val="FootnoteReference"/>
          <w:rFonts w:ascii="Arial" w:hAnsi="Arial" w:cs="Arial"/>
        </w:rPr>
        <w:footnoteReference w:customMarkFollows="1" w:id="12"/>
        <w:t>13</w:t>
      </w:r>
      <w:r w:rsidR="00B62A6B">
        <w:rPr>
          <w:rFonts w:ascii="Arial" w:hAnsi="Arial" w:cs="Arial"/>
        </w:rPr>
        <w:t>.</w:t>
      </w:r>
      <w:r w:rsidRPr="00234294">
        <w:rPr>
          <w:rFonts w:asciiTheme="minorBidi" w:hAnsiTheme="minorBidi"/>
        </w:rPr>
        <w:t xml:space="preserve"> The consequent understanding of inheriting the promise of Abraham and remaining as part of God’s covenantal people would by default alienate Christians. The contention between the Hebrew Bible and Christianity is not over their shared belief in one God, but it is due to accepting Jesus as the mediator of God sent to people other than the</w:t>
      </w:r>
      <w:r w:rsidR="0056135C" w:rsidRPr="001639CC">
        <w:rPr>
          <w:rFonts w:ascii="Arial" w:hAnsi="Arial" w:cs="Arial"/>
        </w:rPr>
        <w:t xml:space="preserve"> Israelites</w:t>
      </w:r>
      <w:r w:rsidR="00B62A6B">
        <w:rPr>
          <w:rStyle w:val="FootnoteReference"/>
          <w:rFonts w:ascii="Arial" w:hAnsi="Arial" w:cs="Arial"/>
        </w:rPr>
        <w:footnoteReference w:customMarkFollows="1" w:id="13"/>
        <w:t>14</w:t>
      </w:r>
      <w:r w:rsidR="0056135C" w:rsidRPr="001639CC">
        <w:rPr>
          <w:rFonts w:ascii="Arial" w:hAnsi="Arial" w:cs="Arial"/>
        </w:rPr>
        <w:t xml:space="preserve">. </w:t>
      </w:r>
      <w:r w:rsidRPr="00234294">
        <w:rPr>
          <w:rFonts w:asciiTheme="minorBidi" w:hAnsiTheme="minorBidi"/>
        </w:rPr>
        <w:t>The Israelites understood they were the descendants of Abraham, Isaac, and Jacob and inherited the promise made to Abraham providing the elected nation kept the laws and adhered to the promise of the covenant. However, the covenantal promise was reformed with the coming of Christ. This was further renewed in the Gentiles who accepted Christ as the inheritor of the renewed promise and covenant. The significance of reforming the covenant also meant the laws, which had previously been given to a particular nation were no longer mandatory for the Gentiles. The promise made to Abraham was fulfilled in Christ, and by believing in Christ the faithful Gentiles were now the true inheritors of the promise made to Abraham. Thus, by accepting Christ the covenant promised to Abraham is fulfilled by the Gentiles who are blessed through faith in God and not by the conditional promise of upkeeping the law.</w:t>
      </w:r>
    </w:p>
    <w:p w:rsidR="007C0642" w:rsidRDefault="007C0642" w:rsidP="00234294">
      <w:pPr>
        <w:spacing w:line="360" w:lineRule="auto"/>
        <w:jc w:val="both"/>
        <w:rPr>
          <w:rFonts w:ascii="Arial" w:hAnsi="Arial" w:cs="Arial"/>
          <w:b/>
          <w:bCs/>
        </w:rPr>
      </w:pPr>
    </w:p>
    <w:p w:rsidR="00234294" w:rsidRPr="00234294" w:rsidRDefault="00234294" w:rsidP="00234294">
      <w:pPr>
        <w:spacing w:line="360" w:lineRule="auto"/>
        <w:jc w:val="both"/>
        <w:rPr>
          <w:rFonts w:asciiTheme="minorBidi" w:hAnsiTheme="minorBidi"/>
        </w:rPr>
      </w:pPr>
      <w:r w:rsidRPr="00234294">
        <w:rPr>
          <w:rFonts w:asciiTheme="minorBidi" w:hAnsiTheme="minorBidi"/>
        </w:rPr>
        <w:t xml:space="preserve">This profound theology is best articulated in ‘The Letters of Paul to the Galatians’. Here Paul is seen addressing his fellow Gentiles, he categorically reprimands them by reminding them that the Gentiles are the true inheritors of Abraham’s faith due to their righteous belief in </w:t>
      </w:r>
      <w:r w:rsidR="005B6B27" w:rsidRPr="001639CC">
        <w:rPr>
          <w:rFonts w:ascii="Arial" w:hAnsi="Arial" w:cs="Arial"/>
        </w:rPr>
        <w:t>God</w:t>
      </w:r>
      <w:r w:rsidR="005B6B27" w:rsidRPr="001639CC">
        <w:rPr>
          <w:rFonts w:ascii="Arial" w:hAnsi="Arial" w:cs="Arial"/>
          <w:vertAlign w:val="superscript"/>
        </w:rPr>
        <w:t>18</w:t>
      </w:r>
      <w:r w:rsidR="005B6B27" w:rsidRPr="001639CC">
        <w:rPr>
          <w:rFonts w:ascii="Arial" w:hAnsi="Arial" w:cs="Arial"/>
        </w:rPr>
        <w:t xml:space="preserve">. </w:t>
      </w:r>
      <w:r w:rsidRPr="00234294">
        <w:rPr>
          <w:rFonts w:asciiTheme="minorBidi" w:hAnsiTheme="minorBidi"/>
        </w:rPr>
        <w:t>Paul’s proclamation bypasses the necessity of the law. Paul</w:t>
      </w:r>
      <w:r w:rsidR="005B6B27" w:rsidRPr="001639CC">
        <w:rPr>
          <w:rFonts w:ascii="Arial" w:hAnsi="Arial" w:cs="Arial"/>
        </w:rPr>
        <w:t xml:space="preserve"> upholds</w:t>
      </w:r>
      <w:r w:rsidR="005B6B27" w:rsidRPr="001639CC">
        <w:rPr>
          <w:rFonts w:ascii="Arial" w:hAnsi="Arial" w:cs="Arial"/>
          <w:vertAlign w:val="superscript"/>
        </w:rPr>
        <w:t>19</w:t>
      </w:r>
      <w:r w:rsidR="005B6B27" w:rsidRPr="001639CC">
        <w:rPr>
          <w:rFonts w:ascii="Arial" w:hAnsi="Arial" w:cs="Arial"/>
        </w:rPr>
        <w:t xml:space="preserve"> </w:t>
      </w:r>
      <w:r w:rsidRPr="00234294">
        <w:rPr>
          <w:rFonts w:asciiTheme="minorBidi" w:hAnsiTheme="minorBidi"/>
        </w:rPr>
        <w:t xml:space="preserve">that the laws were cursed in the Hebrew Bible “so that in Christ Jesus the blessings of Abraham might come to the Gentiles, so that they may receive the promise of spirit through faith”. It is important to note that Paul purposely traces his theology to Abraham to give importance to Jesus and justify the Christian faith. By reclaiming the faith of Abraham for Christianity the covenantal promise made to Abraham becomes fulfilled in </w:t>
      </w:r>
      <w:r w:rsidR="005B6B27" w:rsidRPr="001639CC">
        <w:rPr>
          <w:rFonts w:asciiTheme="minorBidi" w:hAnsiTheme="minorBidi"/>
        </w:rPr>
        <w:t>Christ</w:t>
      </w:r>
      <w:r w:rsidR="005B6B27" w:rsidRPr="001639CC">
        <w:rPr>
          <w:rFonts w:asciiTheme="minorBidi" w:hAnsiTheme="minorBidi"/>
          <w:vertAlign w:val="superscript"/>
        </w:rPr>
        <w:t>20</w:t>
      </w:r>
      <w:r w:rsidR="005B6B27" w:rsidRPr="001639CC">
        <w:rPr>
          <w:rFonts w:asciiTheme="minorBidi" w:hAnsiTheme="minorBidi"/>
        </w:rPr>
        <w:t xml:space="preserve">. </w:t>
      </w:r>
      <w:r w:rsidRPr="00234294">
        <w:rPr>
          <w:rFonts w:asciiTheme="minorBidi" w:hAnsiTheme="minorBidi"/>
        </w:rPr>
        <w:t xml:space="preserve">The commitment exhausted by Paul to defend Jesus and Christianity on the bases of the covenant made with Abraham does, however, show, Paul is struggling to harmonise his belief in Christ and the irrelevance of the laws. Traditionally in the Hebrew Bible, the Jews committed themselves to the laws, which they believed preserved the covenant. Paul implicitly on some level did </w:t>
      </w:r>
      <w:r w:rsidRPr="00234294">
        <w:rPr>
          <w:rFonts w:asciiTheme="minorBidi" w:hAnsiTheme="minorBidi"/>
        </w:rPr>
        <w:lastRenderedPageBreak/>
        <w:t xml:space="preserve">concede the Israelites were the chosen people of God and the covenant was conditional, providing the laws were kept. This would further imply the importance of the laws, which Paul seems to play down. This being the case, Paul re-constructs a Christian doctrine, where faith in Jesus is synonymous with the faith of Abraham, which eventually leads to faith in God. At the same time, Paul evades the laws and claims the inheritance of Abraham based on faith. By re-reading the promise of the covenant, Paul illuminates the Christian doctrine of Trinity in light of the Hebrew Bible. </w:t>
      </w:r>
    </w:p>
    <w:p w:rsidR="00E1300D" w:rsidRDefault="00E1300D" w:rsidP="00234294">
      <w:pPr>
        <w:spacing w:line="360" w:lineRule="auto"/>
        <w:jc w:val="both"/>
        <w:rPr>
          <w:rFonts w:asciiTheme="minorBidi" w:hAnsiTheme="minorBidi"/>
          <w:b/>
          <w:bCs/>
        </w:rPr>
      </w:pPr>
    </w:p>
    <w:p w:rsidR="00234294" w:rsidRPr="00234294" w:rsidRDefault="00234294" w:rsidP="00234294">
      <w:pPr>
        <w:spacing w:line="360" w:lineRule="auto"/>
        <w:jc w:val="both"/>
        <w:rPr>
          <w:rFonts w:asciiTheme="minorBidi" w:hAnsiTheme="minorBidi"/>
        </w:rPr>
      </w:pPr>
      <w:r w:rsidRPr="00234294">
        <w:rPr>
          <w:rFonts w:asciiTheme="minorBidi" w:hAnsiTheme="minorBidi"/>
        </w:rPr>
        <w:t xml:space="preserve">Although the laws are deemed insignificant by Paul, in his defence we could say, yes, the laws are important but due to the coming of Jesus the laws are not as important as having faith in Jesus, and it was God’s plan all </w:t>
      </w:r>
      <w:r w:rsidR="007C0642" w:rsidRPr="001639CC">
        <w:rPr>
          <w:rFonts w:asciiTheme="minorBidi" w:hAnsiTheme="minorBidi"/>
        </w:rPr>
        <w:t>along</w:t>
      </w:r>
      <w:r w:rsidR="00656C58" w:rsidRPr="001639CC">
        <w:rPr>
          <w:rStyle w:val="FootnoteReference"/>
          <w:rFonts w:asciiTheme="minorBidi" w:hAnsiTheme="minorBidi"/>
        </w:rPr>
        <w:footnoteReference w:customMarkFollows="1" w:id="14"/>
        <w:t>21</w:t>
      </w:r>
      <w:r w:rsidR="007C0642" w:rsidRPr="001639CC">
        <w:rPr>
          <w:rFonts w:asciiTheme="minorBidi" w:hAnsiTheme="minorBidi"/>
        </w:rPr>
        <w:t xml:space="preserve">. </w:t>
      </w:r>
      <w:r w:rsidRPr="00234294">
        <w:rPr>
          <w:rFonts w:asciiTheme="minorBidi" w:hAnsiTheme="minorBidi"/>
        </w:rPr>
        <w:t>Or, the laws dictated in the Hebrew Bible were conditional and exclusive to a certain group of people for a certain period in time, and after the coming of Jesus, they served a different purpose</w:t>
      </w:r>
      <w:r w:rsidR="007C0642" w:rsidRPr="001639CC">
        <w:rPr>
          <w:rFonts w:asciiTheme="minorBidi" w:hAnsiTheme="minorBidi"/>
        </w:rPr>
        <w:t xml:space="preserve"> </w:t>
      </w:r>
      <w:r w:rsidR="00B220C1" w:rsidRPr="001639CC">
        <w:rPr>
          <w:rFonts w:asciiTheme="minorBidi" w:hAnsiTheme="minorBidi"/>
        </w:rPr>
        <w:t>altogether</w:t>
      </w:r>
      <w:r w:rsidR="00656C58" w:rsidRPr="001639CC">
        <w:rPr>
          <w:rStyle w:val="FootnoteReference"/>
          <w:rFonts w:asciiTheme="minorBidi" w:hAnsiTheme="minorBidi"/>
        </w:rPr>
        <w:footnoteReference w:customMarkFollows="1" w:id="15"/>
        <w:t>22</w:t>
      </w:r>
      <w:r w:rsidR="007C0642" w:rsidRPr="001639CC">
        <w:rPr>
          <w:rFonts w:asciiTheme="minorBidi" w:hAnsiTheme="minorBidi"/>
        </w:rPr>
        <w:t xml:space="preserve">. </w:t>
      </w:r>
      <w:r w:rsidRPr="00234294">
        <w:rPr>
          <w:rFonts w:asciiTheme="minorBidi" w:hAnsiTheme="minorBidi"/>
        </w:rPr>
        <w:t xml:space="preserve">Calvin in the ‘Institute of Christian Religion’ perceived the laws in the Hebrew Bible were a temporal fleshy fulfilment, whereas faith in Christ, the New Testament and most importantly the death of Christ superseded the earthly commitment.  </w:t>
      </w:r>
    </w:p>
    <w:p w:rsidR="007C0642" w:rsidRPr="001639CC" w:rsidRDefault="00B220C1" w:rsidP="00234294">
      <w:pPr>
        <w:spacing w:line="360" w:lineRule="auto"/>
        <w:jc w:val="both"/>
        <w:rPr>
          <w:rFonts w:asciiTheme="minorBidi" w:hAnsiTheme="minorBidi"/>
        </w:rPr>
      </w:pPr>
      <w:r w:rsidRPr="001639CC">
        <w:rPr>
          <w:rFonts w:asciiTheme="minorBidi" w:hAnsiTheme="minorBidi"/>
        </w:rPr>
        <w:t xml:space="preserve">  </w:t>
      </w:r>
    </w:p>
    <w:p w:rsidR="00B220C1" w:rsidRDefault="00B220C1" w:rsidP="00234294">
      <w:pPr>
        <w:spacing w:line="360" w:lineRule="auto"/>
        <w:jc w:val="both"/>
        <w:rPr>
          <w:rFonts w:asciiTheme="minorBidi" w:hAnsiTheme="minorBidi"/>
          <w:b/>
          <w:bCs/>
        </w:rPr>
      </w:pPr>
    </w:p>
    <w:p w:rsidR="007C0642" w:rsidRPr="001639CC" w:rsidRDefault="007C0642" w:rsidP="00234294">
      <w:pPr>
        <w:spacing w:line="360" w:lineRule="auto"/>
        <w:jc w:val="both"/>
        <w:rPr>
          <w:rFonts w:asciiTheme="minorBidi" w:hAnsiTheme="minorBidi"/>
        </w:rPr>
      </w:pPr>
      <w:r w:rsidRPr="001639CC">
        <w:rPr>
          <w:rFonts w:asciiTheme="minorBidi" w:hAnsiTheme="minorBidi"/>
        </w:rPr>
        <w:t xml:space="preserve">Adam, Noah, Abraham Isaac and Jacob all experienced great sorrows in life, yet they continued to keep faith in God and believe in God’s promise. Secondly, when the Israelites broke the laws, they would be punished </w:t>
      </w:r>
      <w:r w:rsidR="00B220C1" w:rsidRPr="001639CC">
        <w:rPr>
          <w:rFonts w:asciiTheme="minorBidi" w:hAnsiTheme="minorBidi"/>
        </w:rPr>
        <w:t xml:space="preserve">physically in this world. This </w:t>
      </w:r>
      <w:r w:rsidRPr="001639CC">
        <w:rPr>
          <w:rFonts w:asciiTheme="minorBidi" w:hAnsiTheme="minorBidi"/>
        </w:rPr>
        <w:t>show</w:t>
      </w:r>
      <w:r w:rsidR="00B220C1" w:rsidRPr="001639CC">
        <w:rPr>
          <w:rFonts w:asciiTheme="minorBidi" w:hAnsiTheme="minorBidi"/>
        </w:rPr>
        <w:t>s</w:t>
      </w:r>
      <w:r w:rsidRPr="001639CC">
        <w:rPr>
          <w:rFonts w:asciiTheme="minorBidi" w:hAnsiTheme="minorBidi"/>
        </w:rPr>
        <w:t xml:space="preserve"> the covenant was an earthly fleshy condition between God and the Israelites. In his concluding remarks he maintains the blood of Christ </w:t>
      </w:r>
      <w:r w:rsidR="00BD3C54">
        <w:rPr>
          <w:rFonts w:asciiTheme="minorBidi" w:hAnsiTheme="minorBidi"/>
        </w:rPr>
        <w:t>shed</w:t>
      </w:r>
      <w:r w:rsidRPr="001639CC">
        <w:rPr>
          <w:rFonts w:asciiTheme="minorBidi" w:hAnsiTheme="minorBidi"/>
        </w:rPr>
        <w:t xml:space="preserve"> ended the earthly cycle and made the truth become new and eternal</w:t>
      </w:r>
      <w:r w:rsidR="00656C58" w:rsidRPr="001639CC">
        <w:rPr>
          <w:rStyle w:val="FootnoteReference"/>
          <w:rFonts w:asciiTheme="minorBidi" w:hAnsiTheme="minorBidi"/>
        </w:rPr>
        <w:footnoteReference w:customMarkFollows="1" w:id="16"/>
        <w:t>23</w:t>
      </w:r>
      <w:r w:rsidRPr="001639CC">
        <w:rPr>
          <w:rFonts w:asciiTheme="minorBidi" w:hAnsiTheme="minorBidi"/>
        </w:rPr>
        <w:t>.</w:t>
      </w:r>
    </w:p>
    <w:p w:rsidR="00B220C1" w:rsidRDefault="00B220C1" w:rsidP="00234294">
      <w:pPr>
        <w:spacing w:line="360" w:lineRule="auto"/>
        <w:jc w:val="both"/>
        <w:rPr>
          <w:rFonts w:asciiTheme="minorBidi" w:hAnsiTheme="minorBidi"/>
          <w:b/>
          <w:bCs/>
        </w:rPr>
      </w:pPr>
    </w:p>
    <w:p w:rsidR="00F04900" w:rsidRDefault="00234294" w:rsidP="00234294">
      <w:pPr>
        <w:spacing w:line="360" w:lineRule="auto"/>
        <w:jc w:val="both"/>
        <w:rPr>
          <w:rFonts w:asciiTheme="minorBidi" w:hAnsiTheme="minorBidi"/>
        </w:rPr>
      </w:pPr>
      <w:r w:rsidRPr="00234294">
        <w:rPr>
          <w:rFonts w:asciiTheme="minorBidi" w:hAnsiTheme="minorBidi"/>
        </w:rPr>
        <w:t xml:space="preserve">Inferring from Calvin’s observation the covenant was only upheld by faith in God, not on the condition of keeping the law. Therefore, what was inherited by the patriarchs was faith in God and not the promise mentioned in the Hebrew Bible. Similarly, if the laws were a temporary commitment, and God maintained his relationship with the Israelites, it is only logical that an alternative promise could be extended to another </w:t>
      </w:r>
      <w:r w:rsidRPr="00234294">
        <w:rPr>
          <w:rFonts w:asciiTheme="minorBidi" w:hAnsiTheme="minorBidi"/>
        </w:rPr>
        <w:lastRenderedPageBreak/>
        <w:t xml:space="preserve">group providing they kept faith in God. In this case, the death of Jesus was the commitment pledged to God, which not only superseded a promise made in a particular time but also the people it was promised to. The conclusion is drawn from tracing the lives of the Patriarchs and demonstrating how even though God made promises to them they remained distressed. This indicates, regardless of the commitment, the Patriarchs kept faith in God, which bears no significance on keeping the physical laws. Moreover, when the Israelites broke the law, God punished them in this world which would then suggests the promise and laws were only an earthly contract. Interestingly, Aquinas commentating on the circumcision incident in the New Testament concludes physical commitment to the laws in the Hebrew Bible restricts faith in God and limits God’s infinite mercy which is harmful. He argues, the Jews were commanded to circumcise themselves as a mark of their faithfulness to God, but faith in Christ frees you from all forms of </w:t>
      </w:r>
      <w:r w:rsidR="00B220C1" w:rsidRPr="001639CC">
        <w:rPr>
          <w:rFonts w:asciiTheme="minorBidi" w:hAnsiTheme="minorBidi"/>
        </w:rPr>
        <w:t>bondage</w:t>
      </w:r>
      <w:r w:rsidR="00656C58" w:rsidRPr="001639CC">
        <w:rPr>
          <w:rStyle w:val="FootnoteReference"/>
          <w:rFonts w:asciiTheme="minorBidi" w:hAnsiTheme="minorBidi"/>
        </w:rPr>
        <w:footnoteReference w:customMarkFollows="1" w:id="17"/>
        <w:t>24</w:t>
      </w:r>
      <w:r w:rsidR="00B220C1" w:rsidRPr="001639CC">
        <w:rPr>
          <w:rFonts w:asciiTheme="minorBidi" w:hAnsiTheme="minorBidi"/>
        </w:rPr>
        <w:t xml:space="preserve">. </w:t>
      </w:r>
    </w:p>
    <w:p w:rsidR="00F04900" w:rsidRDefault="00F04900" w:rsidP="00234294">
      <w:pPr>
        <w:spacing w:line="360" w:lineRule="auto"/>
        <w:jc w:val="both"/>
        <w:rPr>
          <w:rFonts w:asciiTheme="minorBidi" w:hAnsiTheme="minorBidi"/>
        </w:rPr>
      </w:pPr>
    </w:p>
    <w:p w:rsidR="00234294" w:rsidRPr="00234294" w:rsidRDefault="00234294" w:rsidP="00234294">
      <w:pPr>
        <w:spacing w:line="360" w:lineRule="auto"/>
        <w:jc w:val="both"/>
        <w:rPr>
          <w:rFonts w:asciiTheme="minorBidi" w:hAnsiTheme="minorBidi"/>
        </w:rPr>
      </w:pPr>
      <w:r w:rsidRPr="00234294">
        <w:rPr>
          <w:rFonts w:asciiTheme="minorBidi" w:hAnsiTheme="minorBidi"/>
        </w:rPr>
        <w:t xml:space="preserve">The doctrine of Trinity drives the underpinning of Aquinas's assumption. The negotiation between accepting the Trinity and keeping the commandments encounters a similar issue to Paul, whom we visited a little earlier. Aquinas sees the fleshy commitment to the laws in exchange for faith in God inferior. If God demands fleshy commitment to initiate God’s benevolence, clearly this type of relationship is harmful and one of bondage. Because if faith is dependent on physical acts, which activates God’s passion, faith in God is dependent on law and God’s infinite mercy is nullified. Paul, on the other hand, does not disregard the laws completely or even see them as extremely harmful, but he does emphasise the superiority of inheriting the true faith in God, as opposed to keeping the laws in exchange for the promise of faith. Of course, we have to make allowance for the context and the social settings the letters of Paul to the Galatians are being interpreted in. However, this is not the place for evaluating Biblical reception. In any case, what seems to be in harmony between Calvin, Aquinas, and Paul is faith in God and Christ, and the irrelevance of the earthly commitment and condition established in the Hebrew Bible. The Trinity emancipates the human of this temporal commitment and condition. Faith is contingent on the triune relationship of the Trinity, rather than a promise made in a particular time. The covenant made in the </w:t>
      </w:r>
      <w:r w:rsidRPr="00234294">
        <w:rPr>
          <w:rFonts w:asciiTheme="minorBidi" w:hAnsiTheme="minorBidi"/>
        </w:rPr>
        <w:lastRenderedPageBreak/>
        <w:t xml:space="preserve">Hebrew Bible is renewed by believing in Christ, thus, the Christian is alleviated from the fleshy commitments to the covenant and elevated to the true, eternal and spiritual life. </w:t>
      </w:r>
    </w:p>
    <w:p w:rsidR="00234294" w:rsidRPr="00234294" w:rsidRDefault="00234294" w:rsidP="00234294">
      <w:pPr>
        <w:spacing w:line="360" w:lineRule="auto"/>
        <w:jc w:val="both"/>
        <w:rPr>
          <w:rFonts w:asciiTheme="minorBidi" w:hAnsiTheme="minorBidi"/>
        </w:rPr>
      </w:pPr>
    </w:p>
    <w:p w:rsidR="00234294" w:rsidRPr="00234294" w:rsidRDefault="00234294" w:rsidP="00234294">
      <w:pPr>
        <w:spacing w:line="360" w:lineRule="auto"/>
        <w:jc w:val="both"/>
        <w:rPr>
          <w:rFonts w:asciiTheme="minorBidi" w:hAnsiTheme="minorBidi"/>
        </w:rPr>
      </w:pPr>
      <w:r w:rsidRPr="00234294">
        <w:rPr>
          <w:rFonts w:asciiTheme="minorBidi" w:hAnsiTheme="minorBidi"/>
        </w:rPr>
        <w:t>Aquinas and Calvin’s view of the Hebrew Bible is superseded by affirming Jesus inherited the true faith of God. This faith further ended the preceding earthly cycle and commitment to God in the Hebrew Bible. In any case, the fact that Jesus is believed to have inhabited this earth by Christians in his actual flesh does warrant a Christian commitment to acknowledge a physical obligation was required on earth. The Hebrew Bible recalls how humans were created in the image of God, and it was all good. Then Adam and Eve disobeyed God and were punished to the earthly life, one of death and</w:t>
      </w:r>
      <w:r>
        <w:rPr>
          <w:rFonts w:asciiTheme="minorBidi" w:hAnsiTheme="minorBidi"/>
        </w:rPr>
        <w:t xml:space="preserve"> </w:t>
      </w:r>
      <w:r w:rsidR="00C56044">
        <w:rPr>
          <w:rFonts w:asciiTheme="minorBidi" w:hAnsiTheme="minorBidi"/>
        </w:rPr>
        <w:t>suffering</w:t>
      </w:r>
      <w:r w:rsidR="001639CC">
        <w:rPr>
          <w:rStyle w:val="FootnoteReference"/>
          <w:rFonts w:asciiTheme="minorBidi" w:hAnsiTheme="minorBidi"/>
        </w:rPr>
        <w:footnoteReference w:customMarkFollows="1" w:id="18"/>
        <w:t>25</w:t>
      </w:r>
      <w:r w:rsidR="00C56044">
        <w:rPr>
          <w:rFonts w:asciiTheme="minorBidi" w:hAnsiTheme="minorBidi"/>
          <w:b/>
          <w:bCs/>
        </w:rPr>
        <w:t xml:space="preserve">. </w:t>
      </w:r>
      <w:r w:rsidRPr="00234294">
        <w:rPr>
          <w:rFonts w:asciiTheme="minorBidi" w:hAnsiTheme="minorBidi"/>
        </w:rPr>
        <w:t xml:space="preserve">The first chapter of the Hebrew Bible recounts the beginning of mankind and diverts the creation of the works of God. For the Israelites, once the distinction between God and the creation was established, to remain in God’s grace and remain the saved people of God, adhering to the laws promised by the covenant, which were inherited by the patriarchs became important. This is not to say Judaism holds the creation account responsible for the Original Sin in creation, as is the case with Christianity, but it does signify in Christianity to attain salvation and remain in God’s grace, something besides the covenant is required. </w:t>
      </w:r>
    </w:p>
    <w:p w:rsidR="00234294" w:rsidRPr="00234294" w:rsidRDefault="00234294" w:rsidP="00234294">
      <w:pPr>
        <w:spacing w:line="360" w:lineRule="auto"/>
        <w:jc w:val="both"/>
        <w:rPr>
          <w:rFonts w:asciiTheme="minorBidi" w:hAnsiTheme="minorBidi"/>
        </w:rPr>
      </w:pPr>
    </w:p>
    <w:p w:rsidR="002741DA" w:rsidRDefault="00234294" w:rsidP="00234294">
      <w:pPr>
        <w:spacing w:line="360" w:lineRule="auto"/>
        <w:jc w:val="both"/>
        <w:rPr>
          <w:rFonts w:asciiTheme="minorBidi" w:hAnsiTheme="minorBidi"/>
        </w:rPr>
      </w:pPr>
      <w:r w:rsidRPr="00234294">
        <w:rPr>
          <w:rFonts w:asciiTheme="minorBidi" w:hAnsiTheme="minorBidi"/>
        </w:rPr>
        <w:t xml:space="preserve">For Christians, having faith in the risen Christ is analogous to the principle of following the law and attaining </w:t>
      </w:r>
      <w:r w:rsidR="00C56044">
        <w:rPr>
          <w:rFonts w:asciiTheme="minorBidi" w:hAnsiTheme="minorBidi"/>
        </w:rPr>
        <w:t>salvation</w:t>
      </w:r>
      <w:r w:rsidR="001639CC">
        <w:rPr>
          <w:rStyle w:val="FootnoteReference"/>
          <w:rFonts w:asciiTheme="minorBidi" w:hAnsiTheme="minorBidi"/>
        </w:rPr>
        <w:footnoteReference w:customMarkFollows="1" w:id="19"/>
        <w:t>26</w:t>
      </w:r>
      <w:r w:rsidR="00C56044">
        <w:rPr>
          <w:rFonts w:asciiTheme="minorBidi" w:hAnsiTheme="minorBidi"/>
        </w:rPr>
        <w:t xml:space="preserve">. </w:t>
      </w:r>
      <w:r w:rsidRPr="00234294">
        <w:rPr>
          <w:rFonts w:asciiTheme="minorBidi" w:hAnsiTheme="minorBidi"/>
        </w:rPr>
        <w:t>Just as salvation was bestowed to Abraham in exchange for faith, having faith in the risen Christ is a membership to God’s chosen people. It is here the Holy Spirit plays a crucial role in harmonising the human rational knowledge and the works of God through the risen Jesus. The Holy Spirit works in unison with God and Jesus nourishing the Christian believer allowing them to realise the significance of being elected members of God. Jesus, the saviour died on our behalf, those who believe in Christ no longer die, whereas, aforetime it was the fulfilment of the</w:t>
      </w:r>
      <w:r w:rsidR="002741DA">
        <w:rPr>
          <w:rFonts w:asciiTheme="minorBidi" w:hAnsiTheme="minorBidi"/>
        </w:rPr>
        <w:t xml:space="preserve"> law</w:t>
      </w:r>
      <w:r w:rsidR="001639CC">
        <w:rPr>
          <w:rStyle w:val="FootnoteReference"/>
          <w:rFonts w:asciiTheme="minorBidi" w:hAnsiTheme="minorBidi"/>
        </w:rPr>
        <w:footnoteReference w:customMarkFollows="1" w:id="20"/>
        <w:t>27</w:t>
      </w:r>
      <w:r w:rsidR="002741DA">
        <w:rPr>
          <w:rFonts w:asciiTheme="minorBidi" w:hAnsiTheme="minorBidi"/>
        </w:rPr>
        <w:t xml:space="preserve">. </w:t>
      </w:r>
      <w:r w:rsidRPr="00234294">
        <w:rPr>
          <w:rFonts w:asciiTheme="minorBidi" w:hAnsiTheme="minorBidi"/>
        </w:rPr>
        <w:t xml:space="preserve">In essence, for St Athanasius, the prerequisite that validates </w:t>
      </w:r>
      <w:r w:rsidRPr="00234294">
        <w:rPr>
          <w:rFonts w:asciiTheme="minorBidi" w:hAnsiTheme="minorBidi"/>
        </w:rPr>
        <w:lastRenderedPageBreak/>
        <w:t>Christian belief, which justifies Christian faith and salvation is the acceptance of Jesus’ death and his miraculous resurrection. The Holy Spirit’s role is to make the creation realise God’s work in the person of Jesus and in particular his death as a sacrifice to God for the salvation of creation. Be as it may, if the death of Christ is accepted as part of God’s work for ensuring salvation, it could easily be argued, just as the laws were temporary and binding for a particular group in a particular time, the death of Jesus was also a temporary event for a particular group of people who witnessed the death of Jesus. The death in of itself does not necessarily ensure God’s act of salvation was working throughout time.</w:t>
      </w:r>
    </w:p>
    <w:p w:rsidR="002741DA" w:rsidRDefault="002741DA" w:rsidP="00234294">
      <w:pPr>
        <w:spacing w:line="360" w:lineRule="auto"/>
        <w:jc w:val="both"/>
        <w:rPr>
          <w:rFonts w:asciiTheme="minorBidi" w:hAnsiTheme="minorBidi"/>
        </w:rPr>
      </w:pPr>
    </w:p>
    <w:p w:rsidR="00234294" w:rsidRPr="00234294" w:rsidRDefault="00C56044" w:rsidP="00234294">
      <w:pPr>
        <w:spacing w:line="360" w:lineRule="auto"/>
        <w:jc w:val="both"/>
        <w:rPr>
          <w:rFonts w:asciiTheme="minorBidi" w:hAnsiTheme="minorBidi"/>
        </w:rPr>
      </w:pPr>
      <w:r>
        <w:rPr>
          <w:rFonts w:asciiTheme="minorBidi" w:hAnsiTheme="minorBidi"/>
        </w:rPr>
        <w:t>Webster</w:t>
      </w:r>
      <w:r w:rsidR="001639CC">
        <w:rPr>
          <w:rStyle w:val="FootnoteReference"/>
          <w:rFonts w:asciiTheme="minorBidi" w:hAnsiTheme="minorBidi"/>
        </w:rPr>
        <w:footnoteReference w:customMarkFollows="1" w:id="21"/>
        <w:t>28</w:t>
      </w:r>
      <w:r>
        <w:rPr>
          <w:rFonts w:asciiTheme="minorBidi" w:hAnsiTheme="minorBidi"/>
        </w:rPr>
        <w:t xml:space="preserve"> </w:t>
      </w:r>
      <w:r w:rsidR="00234294" w:rsidRPr="00234294">
        <w:rPr>
          <w:rFonts w:asciiTheme="minorBidi" w:hAnsiTheme="minorBidi"/>
        </w:rPr>
        <w:t xml:space="preserve">notes, the Holy Spirit marked the life of a Christion believer in fellowship with God through history, which was initiated by the death and resurrection of Christ. In light of this, the Hebrew Bible is seen part of the ongoing fellowship between God and the creation conferred to the Israelites. Nonetheless, after accepting Jesus and affirming his resurrection the Holy Spirit altered the course of history, resulting in the believer being nourished by the Holy Spirit which allows him to conceptualise the work of God in the world and how Jesus’ death served as an act of salvation. The Holy Spirit works with the father and through the Son, hereby manifesting the immortal state of Jesus and the infinite wisdom of God's will and grace.  To accept the Divine's works and grace in the risen Christ, Christ has to be accepted as the savior. coming to this faith-based understanding one has to depend on the Holy Spirit. The Holy Spirit connects the creation to the creator. Without the Holy Spirit, God’s lordship, the Son's kinship to the Lord and the death of the Risen Christ undermines the true faith in God, and a life lived in service to </w:t>
      </w:r>
      <w:r w:rsidR="00AE72A9">
        <w:rPr>
          <w:rFonts w:asciiTheme="minorBidi" w:hAnsiTheme="minorBidi"/>
        </w:rPr>
        <w:t>God</w:t>
      </w:r>
      <w:r w:rsidR="001639CC">
        <w:rPr>
          <w:rStyle w:val="FootnoteReference"/>
          <w:rFonts w:asciiTheme="minorBidi" w:hAnsiTheme="minorBidi"/>
        </w:rPr>
        <w:footnoteReference w:customMarkFollows="1" w:id="22"/>
        <w:t>29</w:t>
      </w:r>
      <w:r w:rsidR="00AE72A9">
        <w:rPr>
          <w:rFonts w:asciiTheme="minorBidi" w:hAnsiTheme="minorBidi"/>
        </w:rPr>
        <w:t xml:space="preserve">. </w:t>
      </w:r>
      <w:r w:rsidR="00234294" w:rsidRPr="00234294">
        <w:rPr>
          <w:rFonts w:asciiTheme="minorBidi" w:hAnsiTheme="minorBidi"/>
        </w:rPr>
        <w:t xml:space="preserve">The locus of the Christian belief is only attainable through the works of the Holy Spirit. The Holy Spirit enables the true Christion believer to affirm the oneness of God. The Divine works inherent in Christ can only be recognised if the Holy Spirit is working in the human. The last piece of this puzzle is the death of Christ and his resurrection, the Holy Spirit reconciles the relationship between creation and the creator through the course of history, enabling the Christian </w:t>
      </w:r>
      <w:r w:rsidR="00234294" w:rsidRPr="00234294">
        <w:rPr>
          <w:rFonts w:asciiTheme="minorBidi" w:hAnsiTheme="minorBidi"/>
        </w:rPr>
        <w:lastRenderedPageBreak/>
        <w:t>believer to attain salvation. The Holy Spirit completes the human relation to the divine. Without the Holy Spirit the true person of Jesus remains veiled, the importance of God’s grace concealed, and salvation remains hidden from the human.</w:t>
      </w:r>
    </w:p>
    <w:p w:rsidR="00234294" w:rsidRPr="00234294" w:rsidRDefault="00234294" w:rsidP="00234294">
      <w:pPr>
        <w:spacing w:line="360" w:lineRule="auto"/>
        <w:jc w:val="both"/>
        <w:rPr>
          <w:rFonts w:asciiTheme="minorBidi" w:hAnsiTheme="minorBidi"/>
        </w:rPr>
      </w:pPr>
    </w:p>
    <w:p w:rsidR="00234294" w:rsidRPr="00234294" w:rsidRDefault="00234294" w:rsidP="00234294">
      <w:pPr>
        <w:spacing w:line="360" w:lineRule="auto"/>
        <w:jc w:val="both"/>
        <w:rPr>
          <w:rFonts w:asciiTheme="minorBidi" w:hAnsiTheme="minorBidi"/>
        </w:rPr>
      </w:pPr>
    </w:p>
    <w:p w:rsidR="00234294" w:rsidRPr="00234294" w:rsidRDefault="00234294" w:rsidP="00234294">
      <w:pPr>
        <w:spacing w:line="360" w:lineRule="auto"/>
        <w:jc w:val="both"/>
        <w:rPr>
          <w:rFonts w:asciiTheme="minorBidi" w:hAnsiTheme="minorBidi"/>
        </w:rPr>
      </w:pPr>
      <w:r w:rsidRPr="00234294">
        <w:rPr>
          <w:rFonts w:asciiTheme="minorBidi" w:hAnsiTheme="minorBidi"/>
        </w:rPr>
        <w:t xml:space="preserve">First and foremost, the Trinity enables the creation to understand God and God’s work in the world. The task of understanding is mediated through Jesus. But this is not achievable without the Holy Spirit. The three personas work collectively, with each sharing the same divine substance. Also, each persona is cognisant of the Divine Godhead executing God’s will, bestowing Grace and ensuring salvation. While it would seem the father and the Son are crucial to the Trinity in understanding God and the creation, the Holy Spirit perhaps is equally important if not crucial. Without the Holy Spirit, the Human fails to comprehend God and Jesus. Once the Spirit nourishes the human the former two are given presidential weight. After the meaning is divulged the importance of faith in God and the purpose of Jesus are understood. However, understanding God and Jesus in of itself are not possible without referring back to the Hebrew Bible. God stands for truth and belief, this is established in the Hebrew Bible when God makes a covenantal promise with his chosen people. But who are the chosen people, and was the promise intended for eternal glory, or was it temporary and fleshy? </w:t>
      </w:r>
    </w:p>
    <w:p w:rsidR="00234294" w:rsidRPr="00234294" w:rsidRDefault="00234294" w:rsidP="00234294">
      <w:pPr>
        <w:spacing w:line="360" w:lineRule="auto"/>
        <w:jc w:val="both"/>
        <w:rPr>
          <w:rFonts w:asciiTheme="minorBidi" w:hAnsiTheme="minorBidi"/>
        </w:rPr>
      </w:pPr>
    </w:p>
    <w:p w:rsidR="00234294" w:rsidRDefault="00234294" w:rsidP="00234294">
      <w:pPr>
        <w:spacing w:line="360" w:lineRule="auto"/>
        <w:jc w:val="both"/>
        <w:rPr>
          <w:rFonts w:asciiTheme="minorBidi" w:hAnsiTheme="minorBidi"/>
        </w:rPr>
      </w:pPr>
      <w:r w:rsidRPr="00234294">
        <w:rPr>
          <w:rFonts w:asciiTheme="minorBidi" w:hAnsiTheme="minorBidi"/>
        </w:rPr>
        <w:t xml:space="preserve">Paul writing to the Galatians, with Aquinas and Calvin concentrating on specific passages in the Hebrew Bible and the historical reception of the covenant by the patriarchs, demonstrate Jesus is the true inheritor of the promise and covenant. This paves the path for Christians to understand themselves as the true inheritors of the true faith and the chosen people of God. The contention Christianity runs into is how does Christianity bypass the laws, which in the Hebrew Bible were conditional to the covenantal promise. In response to this issue, Christianity held the creation account responsible for the inauguration of the Original Sin. To restore the perfect state of creation, Jesus was offered to God as a sacrifice for the sins of humanity.  The Holy Spirit here becomes a necessary pre-requisite, which nourishes and enables the true Christian believer to acknowledge and understand how God’s will is delivered and how Christians remain within God’s favour and achieve salvation. By accepting the triune relationship between the Father, Son, and the Holy Spirit and their shared divine </w:t>
      </w:r>
      <w:r w:rsidRPr="00234294">
        <w:rPr>
          <w:rFonts w:asciiTheme="minorBidi" w:hAnsiTheme="minorBidi"/>
        </w:rPr>
        <w:lastRenderedPageBreak/>
        <w:t>substance, and how each of these personas executes the Divine will yet remain cognizance of the divine will and works, Christianity can re-interpret key fundamental ideas in the Hebrew Bible. Trinity is unique to Christianity and plays an integral role in how God, true faith in God, the conditional laws of the covenantal promise and salvation are received in Christianity as opposed to how they are understood in the Hebrew Bible.</w:t>
      </w:r>
    </w:p>
    <w:p w:rsidR="0007252B" w:rsidRDefault="0007252B" w:rsidP="00234294">
      <w:pPr>
        <w:rPr>
          <w:rFonts w:asciiTheme="minorBidi" w:hAnsiTheme="minorBidi"/>
        </w:rPr>
      </w:pPr>
    </w:p>
    <w:p w:rsidR="00234294" w:rsidRDefault="00234294" w:rsidP="00234294">
      <w:pPr>
        <w:rPr>
          <w:rFonts w:asciiTheme="minorBidi" w:hAnsiTheme="minorBidi"/>
        </w:rPr>
      </w:pPr>
    </w:p>
    <w:p w:rsidR="00234294" w:rsidRDefault="00234294" w:rsidP="00234294">
      <w:pPr>
        <w:rPr>
          <w:rFonts w:asciiTheme="minorBidi" w:hAnsiTheme="minorBidi"/>
        </w:rPr>
      </w:pPr>
    </w:p>
    <w:p w:rsidR="00234294" w:rsidRDefault="00234294" w:rsidP="00234294">
      <w:pPr>
        <w:rPr>
          <w:rFonts w:asciiTheme="minorBidi" w:hAnsiTheme="minorBidi"/>
        </w:rPr>
      </w:pPr>
    </w:p>
    <w:p w:rsidR="00234294" w:rsidRDefault="00234294" w:rsidP="00234294">
      <w:pPr>
        <w:rPr>
          <w:rFonts w:asciiTheme="minorBidi" w:hAnsiTheme="minorBidi"/>
        </w:rPr>
      </w:pPr>
    </w:p>
    <w:p w:rsidR="00234294" w:rsidRDefault="00234294" w:rsidP="00234294">
      <w:pPr>
        <w:rPr>
          <w:rFonts w:asciiTheme="minorBidi" w:hAnsiTheme="minorBidi"/>
        </w:rPr>
      </w:pPr>
    </w:p>
    <w:p w:rsidR="00234294" w:rsidRDefault="00234294" w:rsidP="00234294">
      <w:pPr>
        <w:rPr>
          <w:rFonts w:asciiTheme="minorBidi" w:hAnsiTheme="minorBidi"/>
        </w:rPr>
      </w:pPr>
    </w:p>
    <w:p w:rsidR="00234294" w:rsidRDefault="00234294" w:rsidP="00234294">
      <w:pPr>
        <w:rPr>
          <w:rFonts w:asciiTheme="minorBidi" w:hAnsiTheme="minorBidi"/>
        </w:rPr>
      </w:pPr>
    </w:p>
    <w:p w:rsidR="0082323D" w:rsidRDefault="0082323D" w:rsidP="00CC1E83">
      <w:pPr>
        <w:rPr>
          <w:rFonts w:asciiTheme="minorBidi" w:hAnsiTheme="minorBidi"/>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BD3927" w:rsidRDefault="00BD3927" w:rsidP="00CC1E83">
      <w:pPr>
        <w:rPr>
          <w:rFonts w:asciiTheme="minorBidi" w:hAnsiTheme="minorBidi"/>
          <w:b/>
          <w:bCs/>
        </w:rPr>
      </w:pPr>
    </w:p>
    <w:p w:rsidR="00533DBD" w:rsidRDefault="00CF7631" w:rsidP="00BD3927">
      <w:pPr>
        <w:jc w:val="center"/>
        <w:rPr>
          <w:rFonts w:asciiTheme="minorBidi" w:hAnsiTheme="minorBidi"/>
          <w:b/>
          <w:bCs/>
        </w:rPr>
      </w:pPr>
      <w:bookmarkStart w:id="0" w:name="_GoBack"/>
      <w:bookmarkEnd w:id="0"/>
      <w:r w:rsidRPr="00CF7631">
        <w:rPr>
          <w:rFonts w:asciiTheme="minorBidi" w:hAnsiTheme="minorBidi"/>
          <w:b/>
          <w:bCs/>
        </w:rPr>
        <w:lastRenderedPageBreak/>
        <w:t>Reference List</w:t>
      </w:r>
    </w:p>
    <w:p w:rsidR="0007252B" w:rsidRDefault="0007252B" w:rsidP="00CC1E83">
      <w:pPr>
        <w:rPr>
          <w:rFonts w:asciiTheme="minorBidi" w:hAnsiTheme="minorBidi"/>
          <w:b/>
          <w:bCs/>
        </w:rPr>
      </w:pPr>
    </w:p>
    <w:p w:rsidR="0007252B" w:rsidRDefault="0007252B" w:rsidP="0007252B">
      <w:pPr>
        <w:rPr>
          <w:rFonts w:asciiTheme="minorBidi" w:hAnsiTheme="minorBidi"/>
          <w:color w:val="000000" w:themeColor="text1"/>
        </w:rPr>
      </w:pPr>
      <w:r>
        <w:rPr>
          <w:rFonts w:asciiTheme="minorBidi" w:hAnsiTheme="minorBidi"/>
        </w:rPr>
        <w:t xml:space="preserve">Athanasius, </w:t>
      </w:r>
      <w:r w:rsidRPr="00CF7631">
        <w:rPr>
          <w:rFonts w:asciiTheme="minorBidi" w:hAnsiTheme="minorBidi"/>
          <w:i/>
          <w:iCs/>
        </w:rPr>
        <w:t>On the Incarnation: De Incarnatione Verbi Dei</w:t>
      </w:r>
      <w:r>
        <w:rPr>
          <w:rFonts w:asciiTheme="minorBidi" w:hAnsiTheme="minorBidi"/>
        </w:rPr>
        <w:t xml:space="preserve"> (1999), &lt;</w:t>
      </w:r>
      <w:r w:rsidRPr="00CF7631">
        <w:t xml:space="preserve"> </w:t>
      </w:r>
      <w:hyperlink r:id="rId7" w:history="1">
        <w:r w:rsidRPr="00CF7631">
          <w:rPr>
            <w:rStyle w:val="Hyperlink"/>
            <w:rFonts w:asciiTheme="minorBidi" w:hAnsiTheme="minorBidi"/>
            <w:color w:val="000000" w:themeColor="text1"/>
          </w:rPr>
          <w:t>http://www.copticchurch.net/topics/theology/incarnation_st_athanasius.pdf&gt;[accessed</w:t>
        </w:r>
      </w:hyperlink>
      <w:r w:rsidRPr="00CF7631">
        <w:rPr>
          <w:rFonts w:asciiTheme="minorBidi" w:hAnsiTheme="minorBidi"/>
          <w:color w:val="000000" w:themeColor="text1"/>
          <w:u w:val="single"/>
        </w:rPr>
        <w:t xml:space="preserve"> 10 March 2019]</w:t>
      </w:r>
      <w:r w:rsidRPr="00CF7631">
        <w:rPr>
          <w:rFonts w:asciiTheme="minorBidi" w:hAnsiTheme="minorBidi"/>
          <w:color w:val="000000" w:themeColor="text1"/>
        </w:rPr>
        <w:t xml:space="preserve"> </w:t>
      </w:r>
    </w:p>
    <w:p w:rsidR="0007252B" w:rsidRPr="00CF7631" w:rsidRDefault="0007252B" w:rsidP="00CC1E83">
      <w:pPr>
        <w:rPr>
          <w:rFonts w:asciiTheme="minorBidi" w:hAnsiTheme="minorBidi"/>
          <w:b/>
          <w:bCs/>
        </w:rPr>
      </w:pPr>
    </w:p>
    <w:p w:rsidR="0007252B" w:rsidRDefault="0007252B" w:rsidP="0007252B">
      <w:pPr>
        <w:rPr>
          <w:rFonts w:asciiTheme="minorBidi" w:hAnsiTheme="minorBidi"/>
        </w:rPr>
      </w:pPr>
      <w:r>
        <w:rPr>
          <w:rFonts w:asciiTheme="minorBidi" w:hAnsiTheme="minorBidi"/>
        </w:rPr>
        <w:t xml:space="preserve">Aquinas, Thomas, </w:t>
      </w:r>
      <w:r>
        <w:rPr>
          <w:rFonts w:asciiTheme="minorBidi" w:hAnsiTheme="minorBidi"/>
          <w:i/>
          <w:iCs/>
        </w:rPr>
        <w:t xml:space="preserve">Commentary on Saint Paul’s Epistle to the Galatians, </w:t>
      </w:r>
      <w:r>
        <w:rPr>
          <w:rFonts w:asciiTheme="minorBidi" w:hAnsiTheme="minorBidi"/>
        </w:rPr>
        <w:t xml:space="preserve">trans. By Fabian Larcher (Albany: Magi Books, 1966). </w:t>
      </w:r>
    </w:p>
    <w:p w:rsidR="0007252B" w:rsidRDefault="0007252B" w:rsidP="0007252B">
      <w:pPr>
        <w:rPr>
          <w:rFonts w:asciiTheme="minorBidi" w:hAnsiTheme="minorBidi"/>
        </w:rPr>
      </w:pPr>
    </w:p>
    <w:p w:rsidR="0007252B" w:rsidRDefault="0007252B" w:rsidP="0007252B">
      <w:pPr>
        <w:rPr>
          <w:rFonts w:asciiTheme="minorBidi" w:hAnsiTheme="minorBidi"/>
        </w:rPr>
      </w:pPr>
      <w:r w:rsidRPr="005B6B27">
        <w:rPr>
          <w:rFonts w:asciiTheme="minorBidi" w:hAnsiTheme="minorBidi"/>
        </w:rPr>
        <w:t>Bible (Mark 12: 19)</w:t>
      </w:r>
      <w:r>
        <w:rPr>
          <w:rFonts w:asciiTheme="minorBidi" w:hAnsiTheme="minorBidi"/>
        </w:rPr>
        <w:t>.</w:t>
      </w:r>
    </w:p>
    <w:p w:rsidR="0007252B" w:rsidRDefault="0007252B" w:rsidP="0007252B">
      <w:pPr>
        <w:rPr>
          <w:rFonts w:asciiTheme="minorBidi" w:hAnsiTheme="minorBidi"/>
        </w:rPr>
      </w:pPr>
    </w:p>
    <w:p w:rsidR="0007252B" w:rsidRDefault="0007252B" w:rsidP="0007252B">
      <w:pPr>
        <w:rPr>
          <w:rFonts w:asciiTheme="minorBidi" w:hAnsiTheme="minorBidi"/>
        </w:rPr>
      </w:pPr>
      <w:r w:rsidRPr="005B6B27">
        <w:rPr>
          <w:rFonts w:asciiTheme="minorBidi" w:hAnsiTheme="minorBidi"/>
        </w:rPr>
        <w:t>Bible (Mark 12: 19)</w:t>
      </w:r>
      <w:r>
        <w:rPr>
          <w:rFonts w:asciiTheme="minorBidi" w:hAnsiTheme="minorBidi"/>
        </w:rPr>
        <w:t>.</w:t>
      </w:r>
    </w:p>
    <w:p w:rsidR="0007252B" w:rsidRDefault="0007252B" w:rsidP="0007252B">
      <w:pPr>
        <w:rPr>
          <w:rFonts w:asciiTheme="minorBidi" w:hAnsiTheme="minorBidi"/>
        </w:rPr>
      </w:pPr>
    </w:p>
    <w:p w:rsidR="0007252B" w:rsidRDefault="0007252B" w:rsidP="0007252B">
      <w:pPr>
        <w:rPr>
          <w:rFonts w:asciiTheme="minorBidi" w:hAnsiTheme="minorBidi"/>
        </w:rPr>
      </w:pPr>
      <w:r w:rsidRPr="005B6B27">
        <w:rPr>
          <w:rFonts w:asciiTheme="minorBidi" w:hAnsiTheme="minorBidi"/>
        </w:rPr>
        <w:t xml:space="preserve">Bible (1 Corinthians 8:6).  </w:t>
      </w:r>
    </w:p>
    <w:p w:rsidR="0007252B" w:rsidRPr="00CF7631" w:rsidRDefault="0007252B" w:rsidP="0007252B">
      <w:pPr>
        <w:rPr>
          <w:rFonts w:asciiTheme="minorBidi" w:hAnsiTheme="minorBidi"/>
        </w:rPr>
      </w:pPr>
    </w:p>
    <w:p w:rsidR="0007252B" w:rsidRDefault="0007252B" w:rsidP="0007252B">
      <w:pPr>
        <w:rPr>
          <w:rFonts w:asciiTheme="minorBidi" w:hAnsiTheme="minorBidi"/>
        </w:rPr>
      </w:pPr>
      <w:r>
        <w:rPr>
          <w:rFonts w:asciiTheme="minorBidi" w:hAnsiTheme="minorBidi"/>
        </w:rPr>
        <w:t>Bible</w:t>
      </w:r>
      <w:r w:rsidRPr="005B6B27">
        <w:rPr>
          <w:rFonts w:asciiTheme="minorBidi" w:hAnsiTheme="minorBidi"/>
        </w:rPr>
        <w:t xml:space="preserve"> (Galatian 3: 1-19).</w:t>
      </w:r>
    </w:p>
    <w:p w:rsidR="0007252B" w:rsidRDefault="0007252B" w:rsidP="0007252B">
      <w:pPr>
        <w:rPr>
          <w:rFonts w:asciiTheme="minorBidi" w:hAnsiTheme="minorBidi"/>
        </w:rPr>
      </w:pPr>
    </w:p>
    <w:p w:rsidR="0007252B" w:rsidRPr="007C0642" w:rsidRDefault="0007252B" w:rsidP="0007252B">
      <w:pPr>
        <w:rPr>
          <w:rFonts w:asciiTheme="minorBidi" w:hAnsiTheme="minorBidi"/>
        </w:rPr>
      </w:pPr>
      <w:r w:rsidRPr="007C0642">
        <w:rPr>
          <w:rFonts w:asciiTheme="minorBidi" w:hAnsiTheme="minorBidi"/>
        </w:rPr>
        <w:t>Bible (Galatian 3: 14)</w:t>
      </w:r>
      <w:r>
        <w:rPr>
          <w:rFonts w:asciiTheme="minorBidi" w:hAnsiTheme="minorBidi"/>
        </w:rPr>
        <w:t xml:space="preserve">. </w:t>
      </w:r>
    </w:p>
    <w:p w:rsidR="0007252B" w:rsidRDefault="0007252B" w:rsidP="0007252B">
      <w:pPr>
        <w:rPr>
          <w:rFonts w:asciiTheme="minorBidi" w:hAnsiTheme="minorBidi"/>
        </w:rPr>
      </w:pPr>
    </w:p>
    <w:p w:rsidR="0007252B" w:rsidRPr="00086E56" w:rsidRDefault="0007252B" w:rsidP="0007252B">
      <w:pPr>
        <w:rPr>
          <w:rFonts w:asciiTheme="minorBidi" w:hAnsiTheme="minorBidi"/>
        </w:rPr>
      </w:pPr>
      <w:r w:rsidRPr="00086E56">
        <w:rPr>
          <w:rFonts w:asciiTheme="minorBidi" w:hAnsiTheme="minorBidi"/>
        </w:rPr>
        <w:t>Bible (Genesis 3: 1-24).</w:t>
      </w:r>
    </w:p>
    <w:p w:rsidR="00CF7631" w:rsidRDefault="00CF7631" w:rsidP="00CC1E83">
      <w:pPr>
        <w:rPr>
          <w:rFonts w:asciiTheme="minorBidi" w:hAnsiTheme="minorBidi"/>
        </w:rPr>
      </w:pPr>
    </w:p>
    <w:p w:rsidR="0007252B" w:rsidRDefault="0007252B" w:rsidP="0007252B">
      <w:pPr>
        <w:rPr>
          <w:rFonts w:asciiTheme="minorBidi" w:hAnsiTheme="minorBidi"/>
        </w:rPr>
      </w:pPr>
      <w:r>
        <w:rPr>
          <w:rFonts w:asciiTheme="minorBidi" w:hAnsiTheme="minorBidi"/>
        </w:rPr>
        <w:t xml:space="preserve">Calvin, John, Institutes of the Christian Religion, ed. by John. T, Mcnell, 2 vols (Louisville: Westminster John Know Press, 2006) </w:t>
      </w:r>
    </w:p>
    <w:p w:rsidR="0007252B" w:rsidRDefault="0007252B" w:rsidP="0007252B">
      <w:pPr>
        <w:rPr>
          <w:rFonts w:asciiTheme="minorBidi" w:hAnsiTheme="minorBidi"/>
        </w:rPr>
      </w:pPr>
    </w:p>
    <w:p w:rsidR="0007252B" w:rsidRDefault="0007252B" w:rsidP="0007252B">
      <w:pPr>
        <w:rPr>
          <w:rFonts w:ascii="Arial" w:hAnsi="Arial" w:cs="Arial"/>
          <w:color w:val="000000" w:themeColor="text1"/>
          <w:shd w:val="clear" w:color="auto" w:fill="FFFFFF"/>
        </w:rPr>
      </w:pPr>
      <w:r>
        <w:rPr>
          <w:rFonts w:asciiTheme="minorBidi" w:hAnsiTheme="minorBidi"/>
        </w:rPr>
        <w:t xml:space="preserve">Colle. D, Ralph,’ The Triune God’, in </w:t>
      </w:r>
      <w:r w:rsidR="00475E28">
        <w:rPr>
          <w:rFonts w:asciiTheme="minorBidi" w:hAnsiTheme="minorBidi"/>
        </w:rPr>
        <w:t>t</w:t>
      </w:r>
      <w:r w:rsidRPr="00D009AC">
        <w:rPr>
          <w:rFonts w:asciiTheme="minorBidi" w:hAnsiTheme="minorBidi"/>
          <w:i/>
          <w:iCs/>
        </w:rPr>
        <w:t>he Cambridge Companion to Christian Doctrine</w:t>
      </w:r>
      <w:r>
        <w:rPr>
          <w:rFonts w:asciiTheme="minorBidi" w:hAnsiTheme="minorBidi"/>
        </w:rPr>
        <w:t xml:space="preserve">, ed. by C. E. Gunton (Cambridge: Cambridge University Press, 1997), </w:t>
      </w:r>
      <w:r w:rsidRPr="00D009AC">
        <w:rPr>
          <w:rFonts w:ascii="Arial" w:hAnsi="Arial" w:cs="Arial"/>
          <w:color w:val="000000" w:themeColor="text1"/>
          <w:shd w:val="clear" w:color="auto" w:fill="FFFFFF"/>
        </w:rPr>
        <w:t>pp. 1</w:t>
      </w:r>
      <w:r>
        <w:rPr>
          <w:rFonts w:ascii="Arial" w:hAnsi="Arial" w:cs="Arial"/>
          <w:color w:val="000000" w:themeColor="text1"/>
          <w:shd w:val="clear" w:color="auto" w:fill="FFFFFF"/>
        </w:rPr>
        <w:t>21</w:t>
      </w:r>
      <w:r w:rsidRPr="00D009AC">
        <w:rPr>
          <w:rFonts w:ascii="Arial" w:hAnsi="Arial" w:cs="Arial"/>
          <w:color w:val="000000" w:themeColor="text1"/>
          <w:shd w:val="clear" w:color="auto" w:fill="FFFFFF"/>
        </w:rPr>
        <w:t>-</w:t>
      </w:r>
      <w:r>
        <w:rPr>
          <w:rFonts w:ascii="Arial" w:hAnsi="Arial" w:cs="Arial"/>
          <w:color w:val="000000" w:themeColor="text1"/>
          <w:shd w:val="clear" w:color="auto" w:fill="FFFFFF"/>
        </w:rPr>
        <w:t xml:space="preserve">38. </w:t>
      </w:r>
    </w:p>
    <w:p w:rsidR="0007252B" w:rsidRDefault="0007252B" w:rsidP="0007252B">
      <w:pPr>
        <w:rPr>
          <w:rFonts w:ascii="Arial" w:hAnsi="Arial" w:cs="Arial"/>
          <w:color w:val="000000" w:themeColor="text1"/>
          <w:shd w:val="clear" w:color="auto" w:fill="FFFFFF"/>
        </w:rPr>
      </w:pPr>
    </w:p>
    <w:p w:rsidR="0007252B" w:rsidRPr="005B6B27" w:rsidRDefault="0007252B" w:rsidP="0007252B">
      <w:pPr>
        <w:rPr>
          <w:rFonts w:asciiTheme="minorBidi" w:hAnsiTheme="minorBidi"/>
        </w:rPr>
      </w:pPr>
      <w:r w:rsidRPr="005B6B27">
        <w:rPr>
          <w:rFonts w:asciiTheme="minorBidi" w:hAnsiTheme="minorBidi"/>
        </w:rPr>
        <w:t xml:space="preserve">Dunn. D. G, James, </w:t>
      </w:r>
      <w:r w:rsidRPr="005B6B27">
        <w:rPr>
          <w:rFonts w:asciiTheme="minorBidi" w:hAnsiTheme="minorBidi"/>
          <w:i/>
          <w:iCs/>
        </w:rPr>
        <w:t>The new Perspective on Paul</w:t>
      </w:r>
      <w:r w:rsidRPr="005B6B27">
        <w:rPr>
          <w:rFonts w:asciiTheme="minorBidi" w:hAnsiTheme="minorBidi"/>
        </w:rPr>
        <w:t xml:space="preserve"> (Cambridge: Wm. B. Eerdmans Publishing, 2008). </w:t>
      </w:r>
    </w:p>
    <w:p w:rsidR="0007252B" w:rsidRPr="0007252B" w:rsidRDefault="0007252B" w:rsidP="0007252B">
      <w:pPr>
        <w:rPr>
          <w:rFonts w:ascii="Arial" w:hAnsi="Arial" w:cs="Arial"/>
          <w:color w:val="000000" w:themeColor="text1"/>
          <w:shd w:val="clear" w:color="auto" w:fill="FFFFFF"/>
        </w:rPr>
      </w:pPr>
    </w:p>
    <w:p w:rsidR="0007252B" w:rsidRDefault="0007252B" w:rsidP="0007252B">
      <w:pPr>
        <w:rPr>
          <w:rFonts w:asciiTheme="minorBidi" w:hAnsiTheme="minorBidi"/>
        </w:rPr>
      </w:pPr>
      <w:r w:rsidRPr="0007252B">
        <w:rPr>
          <w:rFonts w:asciiTheme="minorBidi" w:hAnsiTheme="minorBidi"/>
          <w:color w:val="000000" w:themeColor="text1"/>
        </w:rPr>
        <w:t xml:space="preserve">Irenaeus, </w:t>
      </w:r>
      <w:r w:rsidRPr="0007252B">
        <w:rPr>
          <w:rFonts w:asciiTheme="minorBidi" w:hAnsiTheme="minorBidi"/>
          <w:i/>
          <w:iCs/>
          <w:color w:val="000000" w:themeColor="text1"/>
        </w:rPr>
        <w:t>Against Heresies</w:t>
      </w:r>
      <w:r w:rsidRPr="0007252B">
        <w:rPr>
          <w:rFonts w:asciiTheme="minorBidi" w:hAnsiTheme="minorBidi"/>
          <w:color w:val="000000" w:themeColor="text1"/>
        </w:rPr>
        <w:t xml:space="preserve"> (n.d.), &lt;</w:t>
      </w:r>
      <w:r w:rsidRPr="0007252B">
        <w:rPr>
          <w:color w:val="000000" w:themeColor="text1"/>
        </w:rPr>
        <w:t xml:space="preserve"> </w:t>
      </w:r>
      <w:hyperlink r:id="rId8" w:history="1">
        <w:r w:rsidRPr="0007252B">
          <w:rPr>
            <w:rStyle w:val="Hyperlink"/>
            <w:rFonts w:asciiTheme="minorBidi" w:hAnsiTheme="minorBidi"/>
            <w:color w:val="000000" w:themeColor="text1"/>
          </w:rPr>
          <w:t>http://gnosis.org/library/advh4.htm&gt;[accessed</w:t>
        </w:r>
      </w:hyperlink>
      <w:r w:rsidRPr="0007252B">
        <w:rPr>
          <w:rFonts w:asciiTheme="minorBidi" w:hAnsiTheme="minorBidi"/>
          <w:color w:val="000000" w:themeColor="text1"/>
        </w:rPr>
        <w:t xml:space="preserve"> 12 </w:t>
      </w:r>
      <w:r>
        <w:rPr>
          <w:rFonts w:asciiTheme="minorBidi" w:hAnsiTheme="minorBidi"/>
        </w:rPr>
        <w:t xml:space="preserve">March 2019]  </w:t>
      </w:r>
    </w:p>
    <w:p w:rsidR="0007252B" w:rsidRDefault="0007252B" w:rsidP="0007252B">
      <w:pPr>
        <w:rPr>
          <w:rFonts w:ascii="Arial" w:hAnsi="Arial" w:cs="Arial"/>
          <w:color w:val="000000" w:themeColor="text1"/>
          <w:shd w:val="clear" w:color="auto" w:fill="FFFFFF"/>
        </w:rPr>
      </w:pPr>
    </w:p>
    <w:p w:rsidR="0007252B" w:rsidRDefault="0007252B" w:rsidP="0007252B">
      <w:pPr>
        <w:rPr>
          <w:rFonts w:asciiTheme="minorBidi" w:hAnsiTheme="minorBidi"/>
          <w:color w:val="000000" w:themeColor="text1"/>
        </w:rPr>
      </w:pPr>
      <w:r>
        <w:rPr>
          <w:rFonts w:asciiTheme="minorBidi" w:hAnsiTheme="minorBidi"/>
          <w:color w:val="000000" w:themeColor="text1"/>
        </w:rPr>
        <w:t xml:space="preserve">Nazianzus, Gregory, </w:t>
      </w:r>
      <w:r w:rsidRPr="00CF7631">
        <w:rPr>
          <w:rFonts w:asciiTheme="minorBidi" w:hAnsiTheme="minorBidi"/>
          <w:i/>
          <w:iCs/>
          <w:color w:val="000000" w:themeColor="text1"/>
        </w:rPr>
        <w:t>On God and Christ: The Five Theological Orations and Two Letters to Cledonius</w:t>
      </w:r>
      <w:r>
        <w:rPr>
          <w:rFonts w:asciiTheme="minorBidi" w:hAnsiTheme="minorBidi"/>
          <w:color w:val="000000" w:themeColor="text1"/>
        </w:rPr>
        <w:t>, trans. By Frederick Williams and Lionel Wickham (Crestwood: St Vladimir’s Seminary Press),&lt;</w:t>
      </w:r>
      <w:r w:rsidRPr="00CF7631">
        <w:t xml:space="preserve"> </w:t>
      </w:r>
      <w:hyperlink r:id="rId9" w:history="1">
        <w:r w:rsidRPr="00CF7631">
          <w:rPr>
            <w:rStyle w:val="Hyperlink"/>
            <w:rFonts w:asciiTheme="minorBidi" w:hAnsiTheme="minorBidi"/>
            <w:color w:val="000000" w:themeColor="text1"/>
          </w:rPr>
          <w:t>https://www.dropbox.com/s/zx5pj82fx2vs3h0/Gregory%20of%20Nazianzus%2C%20Third%20Oration.pdf?dl=0</w:t>
        </w:r>
      </w:hyperlink>
      <w:r w:rsidRPr="00CF7631">
        <w:rPr>
          <w:rFonts w:asciiTheme="minorBidi" w:hAnsiTheme="minorBidi"/>
          <w:color w:val="000000" w:themeColor="text1"/>
        </w:rPr>
        <w:t xml:space="preserve">&gt; [accessed 10 March 2019]. </w:t>
      </w:r>
    </w:p>
    <w:p w:rsidR="0007252B" w:rsidRDefault="0007252B" w:rsidP="0007252B">
      <w:pPr>
        <w:rPr>
          <w:rFonts w:asciiTheme="minorBidi" w:hAnsiTheme="minorBidi"/>
          <w:color w:val="000000" w:themeColor="text1"/>
        </w:rPr>
      </w:pPr>
    </w:p>
    <w:p w:rsidR="0007252B" w:rsidRDefault="0007252B" w:rsidP="0007252B">
      <w:pPr>
        <w:rPr>
          <w:rFonts w:asciiTheme="minorBidi" w:hAnsiTheme="minorBidi"/>
        </w:rPr>
      </w:pPr>
    </w:p>
    <w:p w:rsidR="0007252B" w:rsidRDefault="0007252B" w:rsidP="0007252B">
      <w:pPr>
        <w:rPr>
          <w:rFonts w:asciiTheme="minorBidi" w:hAnsiTheme="minorBidi"/>
        </w:rPr>
      </w:pPr>
      <w:r>
        <w:rPr>
          <w:rFonts w:asciiTheme="minorBidi" w:hAnsiTheme="minorBidi"/>
        </w:rPr>
        <w:t xml:space="preserve">Nyssa, Gregory, </w:t>
      </w:r>
      <w:r w:rsidRPr="00D009AC">
        <w:rPr>
          <w:rFonts w:asciiTheme="minorBidi" w:hAnsiTheme="minorBidi"/>
          <w:i/>
          <w:iCs/>
        </w:rPr>
        <w:t>On “Not Three Gods”: To Ablabius</w:t>
      </w:r>
      <w:r>
        <w:rPr>
          <w:rFonts w:asciiTheme="minorBidi" w:hAnsiTheme="minorBidi"/>
          <w:i/>
          <w:iCs/>
        </w:rPr>
        <w:t xml:space="preserve">, </w:t>
      </w:r>
      <w:r>
        <w:rPr>
          <w:rFonts w:asciiTheme="minorBidi" w:hAnsiTheme="minorBidi"/>
        </w:rPr>
        <w:t>trans. by Philip Schaff and Henry Wace, 5 vols (New York: Charles Scribner’s Sons, 1917)</w:t>
      </w:r>
    </w:p>
    <w:p w:rsidR="0007252B" w:rsidRDefault="0007252B" w:rsidP="0007252B">
      <w:pPr>
        <w:rPr>
          <w:rFonts w:asciiTheme="minorBidi" w:hAnsiTheme="minorBidi"/>
          <w:color w:val="000000" w:themeColor="text1"/>
        </w:rPr>
      </w:pPr>
    </w:p>
    <w:p w:rsidR="0007252B" w:rsidRDefault="0007252B" w:rsidP="0007252B">
      <w:pPr>
        <w:rPr>
          <w:rFonts w:asciiTheme="minorBidi" w:hAnsiTheme="minorBidi"/>
        </w:rPr>
      </w:pPr>
      <w:r>
        <w:rPr>
          <w:rFonts w:asciiTheme="minorBidi" w:hAnsiTheme="minorBidi"/>
        </w:rPr>
        <w:t xml:space="preserve">Oliver, Simon, </w:t>
      </w:r>
      <w:r w:rsidRPr="00CF7631">
        <w:rPr>
          <w:rFonts w:asciiTheme="minorBidi" w:hAnsiTheme="minorBidi"/>
          <w:i/>
          <w:iCs/>
        </w:rPr>
        <w:t xml:space="preserve">Creation: A Guide for the Perplexed </w:t>
      </w:r>
      <w:r>
        <w:rPr>
          <w:rFonts w:asciiTheme="minorBidi" w:hAnsiTheme="minorBidi"/>
        </w:rPr>
        <w:t xml:space="preserve">(London: Bloomsbury T&amp;T Clark, 2017). </w:t>
      </w:r>
    </w:p>
    <w:p w:rsidR="0007252B" w:rsidRDefault="0007252B" w:rsidP="0007252B">
      <w:pPr>
        <w:rPr>
          <w:rFonts w:asciiTheme="minorBidi" w:hAnsiTheme="minorBidi"/>
        </w:rPr>
      </w:pPr>
    </w:p>
    <w:p w:rsidR="0007252B" w:rsidRDefault="0007252B" w:rsidP="0007252B">
      <w:pPr>
        <w:rPr>
          <w:rFonts w:asciiTheme="minorBidi" w:hAnsiTheme="minorBidi"/>
        </w:rPr>
      </w:pPr>
      <w:r>
        <w:rPr>
          <w:rFonts w:asciiTheme="minorBidi" w:hAnsiTheme="minorBidi"/>
        </w:rPr>
        <w:t xml:space="preserve">Sanders. E, Parish, </w:t>
      </w:r>
      <w:r w:rsidRPr="00993024">
        <w:rPr>
          <w:rFonts w:asciiTheme="minorBidi" w:hAnsiTheme="minorBidi"/>
          <w:i/>
          <w:iCs/>
        </w:rPr>
        <w:t>Paul and Palestinian Judaism</w:t>
      </w:r>
      <w:r>
        <w:rPr>
          <w:rFonts w:asciiTheme="minorBidi" w:hAnsiTheme="minorBidi"/>
          <w:i/>
          <w:iCs/>
        </w:rPr>
        <w:t xml:space="preserve"> (</w:t>
      </w:r>
      <w:r>
        <w:rPr>
          <w:rFonts w:asciiTheme="minorBidi" w:hAnsiTheme="minorBidi"/>
        </w:rPr>
        <w:t xml:space="preserve">London: SCM, 1977)  </w:t>
      </w:r>
    </w:p>
    <w:p w:rsidR="0007252B" w:rsidRDefault="0007252B" w:rsidP="0007252B">
      <w:pPr>
        <w:rPr>
          <w:rFonts w:asciiTheme="minorBidi" w:hAnsiTheme="minorBidi"/>
        </w:rPr>
      </w:pPr>
    </w:p>
    <w:p w:rsidR="0007252B" w:rsidRDefault="0007252B" w:rsidP="0007252B">
      <w:pPr>
        <w:rPr>
          <w:rFonts w:asciiTheme="minorBidi" w:hAnsiTheme="minorBidi"/>
        </w:rPr>
      </w:pPr>
      <w:r>
        <w:rPr>
          <w:rFonts w:asciiTheme="minorBidi" w:hAnsiTheme="minorBidi"/>
        </w:rPr>
        <w:lastRenderedPageBreak/>
        <w:t xml:space="preserve">Segal. F, Alan, ‘Paul’s Jewish Presupposition’, in </w:t>
      </w:r>
      <w:r w:rsidRPr="00993024">
        <w:rPr>
          <w:rFonts w:asciiTheme="minorBidi" w:hAnsiTheme="minorBidi"/>
          <w:i/>
          <w:iCs/>
        </w:rPr>
        <w:t>The Cambridge companion to ST Paul</w:t>
      </w:r>
      <w:r>
        <w:rPr>
          <w:rFonts w:asciiTheme="minorBidi" w:hAnsiTheme="minorBidi"/>
        </w:rPr>
        <w:t xml:space="preserve">, ed. by J. D. G. Dunn (Cambridge: Cambridge University Press, Dunn,2003), pp.166-67. </w:t>
      </w:r>
    </w:p>
    <w:p w:rsidR="0007252B" w:rsidRDefault="0007252B" w:rsidP="0007252B">
      <w:pPr>
        <w:rPr>
          <w:rFonts w:asciiTheme="minorBidi" w:hAnsiTheme="minorBidi"/>
        </w:rPr>
      </w:pPr>
    </w:p>
    <w:p w:rsidR="00CF7631" w:rsidRDefault="00CF7631" w:rsidP="00CC1E83">
      <w:pPr>
        <w:rPr>
          <w:rFonts w:asciiTheme="minorBidi" w:hAnsiTheme="minorBidi"/>
        </w:rPr>
      </w:pPr>
      <w:r w:rsidRPr="00CF7631">
        <w:rPr>
          <w:rFonts w:asciiTheme="minorBidi" w:hAnsiTheme="minorBidi"/>
        </w:rPr>
        <w:t xml:space="preserve">Tanner, Kathryn, </w:t>
      </w:r>
      <w:r w:rsidRPr="00CF7631">
        <w:rPr>
          <w:rFonts w:asciiTheme="minorBidi" w:hAnsiTheme="minorBidi"/>
          <w:i/>
          <w:iCs/>
        </w:rPr>
        <w:t>Christ the Key</w:t>
      </w:r>
      <w:r w:rsidRPr="00CF7631">
        <w:rPr>
          <w:rFonts w:asciiTheme="minorBidi" w:hAnsiTheme="minorBidi"/>
        </w:rPr>
        <w:t xml:space="preserve"> (Cambridge: Cambridge University Press, 2012). </w:t>
      </w:r>
    </w:p>
    <w:p w:rsidR="00715F2C" w:rsidRDefault="00715F2C" w:rsidP="00CC1E83">
      <w:pPr>
        <w:rPr>
          <w:rFonts w:asciiTheme="minorBidi" w:hAnsiTheme="minorBidi"/>
        </w:rPr>
      </w:pPr>
    </w:p>
    <w:p w:rsidR="0007252B" w:rsidRDefault="0007252B" w:rsidP="0007252B">
      <w:pPr>
        <w:rPr>
          <w:rFonts w:asciiTheme="minorBidi" w:hAnsiTheme="minorBidi"/>
          <w:color w:val="000000" w:themeColor="text1"/>
        </w:rPr>
      </w:pPr>
      <w:r w:rsidRPr="00CF7631">
        <w:rPr>
          <w:rFonts w:asciiTheme="minorBidi" w:hAnsiTheme="minorBidi"/>
          <w:i/>
          <w:iCs/>
          <w:color w:val="000000" w:themeColor="text1"/>
        </w:rPr>
        <w:t>The City of God</w:t>
      </w:r>
      <w:r>
        <w:rPr>
          <w:rFonts w:asciiTheme="minorBidi" w:hAnsiTheme="minorBidi"/>
          <w:color w:val="000000" w:themeColor="text1"/>
        </w:rPr>
        <w:t xml:space="preserve">, ed. By William Babcock, 7 vols (New York: New City Press, 2002). </w:t>
      </w:r>
    </w:p>
    <w:p w:rsidR="0007252B" w:rsidRDefault="0007252B" w:rsidP="00CC1E83">
      <w:pPr>
        <w:rPr>
          <w:rFonts w:asciiTheme="minorBidi" w:hAnsiTheme="minorBidi"/>
        </w:rPr>
      </w:pPr>
    </w:p>
    <w:p w:rsidR="0007252B" w:rsidRDefault="0007252B" w:rsidP="0007252B">
      <w:pPr>
        <w:rPr>
          <w:rFonts w:asciiTheme="minorBidi" w:hAnsiTheme="minorBidi"/>
        </w:rPr>
      </w:pPr>
      <w:r w:rsidRPr="005B6B27">
        <w:rPr>
          <w:rFonts w:asciiTheme="minorBidi" w:hAnsiTheme="minorBidi"/>
        </w:rPr>
        <w:t>Torah (Genesis 12,15).</w:t>
      </w:r>
    </w:p>
    <w:p w:rsidR="0007252B" w:rsidRDefault="0007252B" w:rsidP="0007252B">
      <w:pPr>
        <w:rPr>
          <w:rFonts w:asciiTheme="minorBidi" w:hAnsiTheme="minorBidi"/>
        </w:rPr>
      </w:pPr>
    </w:p>
    <w:p w:rsidR="0007252B" w:rsidRDefault="0007252B" w:rsidP="0007252B">
      <w:pPr>
        <w:rPr>
          <w:rFonts w:asciiTheme="minorBidi" w:hAnsiTheme="minorBidi"/>
        </w:rPr>
      </w:pPr>
      <w:r>
        <w:rPr>
          <w:rFonts w:asciiTheme="minorBidi" w:hAnsiTheme="minorBidi"/>
        </w:rPr>
        <w:t>Torah (Genesis 15).</w:t>
      </w:r>
    </w:p>
    <w:p w:rsidR="0007252B" w:rsidRDefault="0007252B" w:rsidP="0007252B">
      <w:pPr>
        <w:rPr>
          <w:rFonts w:asciiTheme="minorBidi" w:hAnsiTheme="minorBidi"/>
        </w:rPr>
      </w:pPr>
    </w:p>
    <w:p w:rsidR="0007252B" w:rsidRDefault="0007252B" w:rsidP="0007252B">
      <w:pPr>
        <w:rPr>
          <w:rFonts w:asciiTheme="minorBidi" w:hAnsiTheme="minorBidi"/>
        </w:rPr>
      </w:pPr>
      <w:r w:rsidRPr="005B6B27">
        <w:rPr>
          <w:rFonts w:asciiTheme="minorBidi" w:hAnsiTheme="minorBidi"/>
        </w:rPr>
        <w:t>Torah</w:t>
      </w:r>
      <w:r>
        <w:rPr>
          <w:rFonts w:asciiTheme="minorBidi" w:hAnsiTheme="minorBidi"/>
        </w:rPr>
        <w:t xml:space="preserve"> </w:t>
      </w:r>
      <w:r w:rsidRPr="005B6B27">
        <w:rPr>
          <w:rFonts w:asciiTheme="minorBidi" w:hAnsiTheme="minorBidi"/>
        </w:rPr>
        <w:t>(Exodus 20: 3-7)</w:t>
      </w:r>
    </w:p>
    <w:p w:rsidR="0007252B" w:rsidRDefault="0007252B" w:rsidP="0007252B">
      <w:pPr>
        <w:rPr>
          <w:rFonts w:asciiTheme="minorBidi" w:hAnsiTheme="minorBidi"/>
        </w:rPr>
      </w:pPr>
    </w:p>
    <w:p w:rsidR="0007252B" w:rsidRDefault="0007252B" w:rsidP="0007252B">
      <w:pPr>
        <w:rPr>
          <w:rFonts w:asciiTheme="minorBidi" w:hAnsiTheme="minorBidi"/>
        </w:rPr>
      </w:pPr>
      <w:r w:rsidRPr="005B6B27">
        <w:rPr>
          <w:rFonts w:asciiTheme="minorBidi" w:hAnsiTheme="minorBidi"/>
        </w:rPr>
        <w:t>Torah (Deuteronomy 26: 17-19)</w:t>
      </w:r>
    </w:p>
    <w:p w:rsidR="0007252B" w:rsidRPr="005B6B27" w:rsidRDefault="0007252B" w:rsidP="0007252B">
      <w:pPr>
        <w:rPr>
          <w:rFonts w:asciiTheme="minorBidi" w:hAnsiTheme="minorBidi"/>
        </w:rPr>
      </w:pPr>
    </w:p>
    <w:p w:rsidR="00CF7631" w:rsidRPr="00CF7631" w:rsidRDefault="00CF7631" w:rsidP="00CC1E83">
      <w:pPr>
        <w:rPr>
          <w:rFonts w:asciiTheme="minorBidi" w:hAnsiTheme="minorBidi"/>
          <w:i/>
          <w:iCs/>
        </w:rPr>
      </w:pPr>
      <w:r>
        <w:rPr>
          <w:rFonts w:ascii="Arial" w:hAnsi="Arial" w:cs="Arial"/>
        </w:rPr>
        <w:t xml:space="preserve">Webster, John, </w:t>
      </w:r>
      <w:r>
        <w:rPr>
          <w:rFonts w:ascii="Arial" w:hAnsi="Arial" w:cs="Arial"/>
          <w:i/>
          <w:iCs/>
        </w:rPr>
        <w:t>The Fruit of the Spirit: Walk by the Spirit (20</w:t>
      </w:r>
      <w:r w:rsidR="00715F2C">
        <w:rPr>
          <w:rFonts w:ascii="Arial" w:hAnsi="Arial" w:cs="Arial"/>
          <w:i/>
          <w:iCs/>
        </w:rPr>
        <w:t>1</w:t>
      </w:r>
      <w:r>
        <w:rPr>
          <w:rFonts w:ascii="Arial" w:hAnsi="Arial" w:cs="Arial"/>
          <w:i/>
          <w:iCs/>
        </w:rPr>
        <w:t>5),&lt;</w:t>
      </w:r>
      <w:r w:rsidRPr="00CF7631">
        <w:t xml:space="preserve"> </w:t>
      </w:r>
      <w:hyperlink r:id="rId10" w:history="1">
        <w:r w:rsidRPr="00CF7631">
          <w:rPr>
            <w:rStyle w:val="Hyperlink"/>
            <w:rFonts w:ascii="Arial" w:hAnsi="Arial" w:cs="Arial"/>
            <w:color w:val="000000" w:themeColor="text1"/>
          </w:rPr>
          <w:t>http://www.reformation21.org/featured/the-fruit-of-the-spirit-walk-by-the-spirit-part-1.php&gt;[accessed</w:t>
        </w:r>
      </w:hyperlink>
      <w:r w:rsidRPr="00CF7631">
        <w:rPr>
          <w:rFonts w:ascii="Arial" w:hAnsi="Arial" w:cs="Arial"/>
          <w:color w:val="000000" w:themeColor="text1"/>
          <w:u w:val="single"/>
        </w:rPr>
        <w:t xml:space="preserve"> 12 March 2019]</w:t>
      </w:r>
      <w:r w:rsidRPr="00CF7631">
        <w:rPr>
          <w:rFonts w:ascii="Arial" w:hAnsi="Arial" w:cs="Arial"/>
          <w:i/>
          <w:iCs/>
          <w:color w:val="000000" w:themeColor="text1"/>
        </w:rPr>
        <w:t xml:space="preserve">  </w:t>
      </w:r>
    </w:p>
    <w:p w:rsidR="00533DBD" w:rsidRDefault="00533DBD">
      <w:pPr>
        <w:rPr>
          <w:rFonts w:asciiTheme="minorBidi" w:hAnsiTheme="minorBidi"/>
          <w:b/>
          <w:bCs/>
        </w:rPr>
      </w:pPr>
    </w:p>
    <w:p w:rsidR="005B6B27" w:rsidRPr="005B6B27" w:rsidRDefault="005B6B27" w:rsidP="005B6B27">
      <w:pPr>
        <w:rPr>
          <w:rFonts w:asciiTheme="minorBidi" w:hAnsiTheme="minorBidi"/>
        </w:rPr>
      </w:pPr>
    </w:p>
    <w:p w:rsidR="002741DA" w:rsidRDefault="002741DA" w:rsidP="005B6B27">
      <w:pPr>
        <w:rPr>
          <w:rFonts w:asciiTheme="minorBidi" w:hAnsiTheme="minorBidi"/>
        </w:rPr>
      </w:pPr>
    </w:p>
    <w:p w:rsidR="002741DA" w:rsidRDefault="002741DA" w:rsidP="002741DA">
      <w:pPr>
        <w:rPr>
          <w:rFonts w:asciiTheme="minorBidi" w:hAnsiTheme="minorBidi"/>
        </w:rPr>
      </w:pPr>
    </w:p>
    <w:p w:rsidR="002741DA" w:rsidRDefault="002741DA" w:rsidP="002741DA">
      <w:pPr>
        <w:rPr>
          <w:rFonts w:asciiTheme="minorBidi" w:hAnsiTheme="minorBidi"/>
        </w:rPr>
      </w:pPr>
    </w:p>
    <w:p w:rsidR="002741DA" w:rsidRPr="001639CC" w:rsidRDefault="002741DA" w:rsidP="001639CC">
      <w:pPr>
        <w:rPr>
          <w:rFonts w:asciiTheme="minorBidi" w:hAnsiTheme="minorBidi"/>
          <w:b/>
          <w:bCs/>
        </w:rPr>
      </w:pPr>
    </w:p>
    <w:p w:rsidR="002741DA" w:rsidRDefault="002741DA" w:rsidP="002741DA">
      <w:pPr>
        <w:rPr>
          <w:rFonts w:asciiTheme="minorBidi" w:hAnsiTheme="minorBidi"/>
        </w:rPr>
      </w:pPr>
      <w:r>
        <w:rPr>
          <w:rFonts w:asciiTheme="minorBidi" w:hAnsiTheme="minorBidi"/>
        </w:rPr>
        <w:t xml:space="preserve">  </w:t>
      </w:r>
    </w:p>
    <w:p w:rsidR="002741DA" w:rsidRDefault="002741DA" w:rsidP="002741DA">
      <w:pPr>
        <w:rPr>
          <w:rFonts w:asciiTheme="minorBidi" w:hAnsiTheme="minorBidi"/>
        </w:rPr>
      </w:pPr>
    </w:p>
    <w:p w:rsidR="002741DA" w:rsidRDefault="002741DA" w:rsidP="002741DA">
      <w:pPr>
        <w:rPr>
          <w:rFonts w:asciiTheme="minorBidi" w:hAnsiTheme="minorBidi"/>
        </w:rPr>
      </w:pPr>
    </w:p>
    <w:p w:rsidR="002741DA" w:rsidRDefault="002741DA" w:rsidP="005B6B27">
      <w:pPr>
        <w:rPr>
          <w:rFonts w:asciiTheme="minorBidi" w:hAnsiTheme="minorBidi"/>
        </w:rPr>
      </w:pPr>
    </w:p>
    <w:p w:rsidR="005B6B27" w:rsidRPr="005B6B27" w:rsidRDefault="005B6B27" w:rsidP="005B6B27">
      <w:pPr>
        <w:rPr>
          <w:rFonts w:asciiTheme="minorBidi" w:hAnsiTheme="minorBidi"/>
        </w:rPr>
      </w:pPr>
    </w:p>
    <w:p w:rsidR="00D009AC" w:rsidRPr="00D009AC" w:rsidRDefault="00D009AC">
      <w:pPr>
        <w:rPr>
          <w:rFonts w:asciiTheme="minorBidi" w:hAnsiTheme="minorBidi"/>
        </w:rPr>
      </w:pPr>
    </w:p>
    <w:p w:rsidR="00CF7631" w:rsidRPr="00CF7631" w:rsidRDefault="00CF7631">
      <w:pPr>
        <w:rPr>
          <w:rFonts w:asciiTheme="minorBidi" w:hAnsiTheme="minorBidi"/>
        </w:rPr>
      </w:pPr>
    </w:p>
    <w:sectPr w:rsidR="00CF7631" w:rsidRPr="00CF7631" w:rsidSect="005B6B27">
      <w:footnotePr>
        <w:numStart w:val="15"/>
      </w:footnotePr>
      <w:type w:val="continuous"/>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5F31" w:rsidRDefault="00C65F31" w:rsidP="00CF7631">
      <w:r>
        <w:separator/>
      </w:r>
    </w:p>
  </w:endnote>
  <w:endnote w:type="continuationSeparator" w:id="0">
    <w:p w:rsidR="00C65F31" w:rsidRDefault="00C65F31" w:rsidP="00CF7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5F31" w:rsidRDefault="00C65F31" w:rsidP="00CF7631">
      <w:r>
        <w:separator/>
      </w:r>
    </w:p>
  </w:footnote>
  <w:footnote w:type="continuationSeparator" w:id="0">
    <w:p w:rsidR="00C65F31" w:rsidRDefault="00C65F31" w:rsidP="00CF7631">
      <w:r>
        <w:continuationSeparator/>
      </w:r>
    </w:p>
  </w:footnote>
  <w:footnote w:id="1">
    <w:p w:rsidR="00152AE8" w:rsidRPr="001639CC" w:rsidRDefault="00152AE8" w:rsidP="00CF7631">
      <w:pPr>
        <w:rPr>
          <w:color w:val="000000" w:themeColor="text1"/>
          <w:sz w:val="20"/>
          <w:szCs w:val="20"/>
        </w:rPr>
      </w:pPr>
      <w:r>
        <w:rPr>
          <w:rStyle w:val="FootnoteReference"/>
          <w:sz w:val="20"/>
          <w:szCs w:val="20"/>
        </w:rPr>
        <w:t>1</w:t>
      </w:r>
      <w:r w:rsidRPr="001639CC">
        <w:rPr>
          <w:sz w:val="20"/>
          <w:szCs w:val="20"/>
        </w:rPr>
        <w:t xml:space="preserve"> Athanasius, </w:t>
      </w:r>
      <w:r w:rsidRPr="001639CC">
        <w:rPr>
          <w:i/>
          <w:iCs/>
          <w:sz w:val="20"/>
          <w:szCs w:val="20"/>
        </w:rPr>
        <w:t>On the Incarnation: De Incarnatione Verbi Dei</w:t>
      </w:r>
      <w:r w:rsidRPr="001639CC">
        <w:rPr>
          <w:sz w:val="20"/>
          <w:szCs w:val="20"/>
        </w:rPr>
        <w:t xml:space="preserve"> (1999), &lt; </w:t>
      </w:r>
      <w:hyperlink r:id="rId1" w:history="1">
        <w:r w:rsidRPr="001639CC">
          <w:rPr>
            <w:rStyle w:val="Hyperlink"/>
            <w:color w:val="000000" w:themeColor="text1"/>
            <w:sz w:val="20"/>
            <w:szCs w:val="20"/>
          </w:rPr>
          <w:t>http://www.copticchurch.net/topics/theology/incarnation_st_athanasius.pdf&gt;[accessed</w:t>
        </w:r>
      </w:hyperlink>
      <w:r w:rsidRPr="001639CC">
        <w:rPr>
          <w:color w:val="000000" w:themeColor="text1"/>
          <w:sz w:val="20"/>
          <w:szCs w:val="20"/>
          <w:u w:val="single"/>
        </w:rPr>
        <w:t xml:space="preserve"> 10 March 2019]</w:t>
      </w:r>
      <w:r w:rsidRPr="001639CC">
        <w:rPr>
          <w:color w:val="000000" w:themeColor="text1"/>
          <w:sz w:val="20"/>
          <w:szCs w:val="20"/>
        </w:rPr>
        <w:t xml:space="preserve"> </w:t>
      </w:r>
    </w:p>
    <w:p w:rsidR="00152AE8" w:rsidRPr="001639CC" w:rsidRDefault="00152AE8">
      <w:pPr>
        <w:pStyle w:val="FootnoteText"/>
      </w:pPr>
    </w:p>
  </w:footnote>
  <w:footnote w:id="2">
    <w:p w:rsidR="00152AE8" w:rsidRDefault="00152AE8">
      <w:pPr>
        <w:pStyle w:val="FootnoteText"/>
      </w:pPr>
      <w:r>
        <w:rPr>
          <w:rStyle w:val="FootnoteReference"/>
        </w:rPr>
        <w:t>2</w:t>
      </w:r>
      <w:r>
        <w:t xml:space="preserve"> Bible (John 1) </w:t>
      </w:r>
    </w:p>
  </w:footnote>
  <w:footnote w:id="3">
    <w:p w:rsidR="00152AE8" w:rsidRPr="001639CC" w:rsidRDefault="00152AE8" w:rsidP="00CF7631">
      <w:pPr>
        <w:rPr>
          <w:rFonts w:cs="Arial"/>
          <w:sz w:val="20"/>
          <w:szCs w:val="20"/>
        </w:rPr>
      </w:pPr>
      <w:r>
        <w:rPr>
          <w:rStyle w:val="FootnoteReference"/>
          <w:sz w:val="20"/>
          <w:szCs w:val="20"/>
        </w:rPr>
        <w:t>3</w:t>
      </w:r>
      <w:r w:rsidRPr="001639CC">
        <w:rPr>
          <w:sz w:val="20"/>
          <w:szCs w:val="20"/>
        </w:rPr>
        <w:t xml:space="preserve"> </w:t>
      </w:r>
      <w:r w:rsidRPr="001639CC">
        <w:rPr>
          <w:rFonts w:cs="Arial"/>
          <w:sz w:val="20"/>
          <w:szCs w:val="20"/>
        </w:rPr>
        <w:t xml:space="preserve">William Babcock (ed.), </w:t>
      </w:r>
      <w:r w:rsidRPr="001639CC">
        <w:rPr>
          <w:rFonts w:cs="Arial"/>
          <w:i/>
          <w:sz w:val="20"/>
          <w:szCs w:val="20"/>
        </w:rPr>
        <w:t xml:space="preserve">The City of God </w:t>
      </w:r>
      <w:r w:rsidRPr="001639CC">
        <w:rPr>
          <w:rFonts w:cs="Arial"/>
          <w:sz w:val="20"/>
          <w:szCs w:val="20"/>
        </w:rPr>
        <w:t>(New York: New City Press,2002), p. 3</w:t>
      </w:r>
    </w:p>
    <w:p w:rsidR="00152AE8" w:rsidRPr="001639CC" w:rsidRDefault="00152AE8" w:rsidP="00CF7631">
      <w:pPr>
        <w:rPr>
          <w:sz w:val="20"/>
          <w:szCs w:val="20"/>
        </w:rPr>
      </w:pPr>
      <w:r>
        <w:rPr>
          <w:rFonts w:cs="Arial"/>
          <w:sz w:val="20"/>
          <w:szCs w:val="20"/>
          <w:vertAlign w:val="superscript"/>
        </w:rPr>
        <w:t>4</w:t>
      </w:r>
      <w:r w:rsidRPr="001639CC">
        <w:rPr>
          <w:sz w:val="20"/>
          <w:szCs w:val="20"/>
        </w:rPr>
        <w:t xml:space="preserve">Irenaeus, </w:t>
      </w:r>
      <w:r w:rsidRPr="001639CC">
        <w:rPr>
          <w:i/>
          <w:iCs/>
          <w:sz w:val="20"/>
          <w:szCs w:val="20"/>
        </w:rPr>
        <w:t>Against Heresies</w:t>
      </w:r>
      <w:r w:rsidRPr="001639CC">
        <w:rPr>
          <w:sz w:val="20"/>
          <w:szCs w:val="20"/>
        </w:rPr>
        <w:t xml:space="preserve"> (n.d.), &lt;</w:t>
      </w:r>
      <w:r w:rsidRPr="001639CC">
        <w:rPr>
          <w:color w:val="000000" w:themeColor="text1"/>
          <w:sz w:val="20"/>
          <w:szCs w:val="20"/>
        </w:rPr>
        <w:t xml:space="preserve"> </w:t>
      </w:r>
      <w:hyperlink r:id="rId2" w:history="1">
        <w:r w:rsidRPr="001639CC">
          <w:rPr>
            <w:rStyle w:val="Hyperlink"/>
            <w:color w:val="000000" w:themeColor="text1"/>
            <w:sz w:val="20"/>
            <w:szCs w:val="20"/>
          </w:rPr>
          <w:t>http://gnosis.org/library/advh4.htm&gt;[accessed</w:t>
        </w:r>
      </w:hyperlink>
      <w:r w:rsidRPr="001639CC">
        <w:rPr>
          <w:color w:val="000000" w:themeColor="text1"/>
          <w:sz w:val="20"/>
          <w:szCs w:val="20"/>
          <w:u w:val="single"/>
        </w:rPr>
        <w:t xml:space="preserve"> </w:t>
      </w:r>
      <w:r w:rsidRPr="001639CC">
        <w:rPr>
          <w:sz w:val="20"/>
          <w:szCs w:val="20"/>
          <w:u w:val="single"/>
        </w:rPr>
        <w:t>12 March 2019]</w:t>
      </w:r>
      <w:r w:rsidRPr="001639CC">
        <w:rPr>
          <w:sz w:val="20"/>
          <w:szCs w:val="20"/>
        </w:rPr>
        <w:t xml:space="preserve">  </w:t>
      </w:r>
    </w:p>
    <w:p w:rsidR="00152AE8" w:rsidRPr="001639CC" w:rsidRDefault="00152AE8" w:rsidP="00CF7631">
      <w:pPr>
        <w:rPr>
          <w:rFonts w:cs="Arial"/>
          <w:sz w:val="20"/>
          <w:szCs w:val="20"/>
        </w:rPr>
      </w:pPr>
      <w:r>
        <w:rPr>
          <w:rFonts w:cs="Arial"/>
          <w:sz w:val="20"/>
          <w:szCs w:val="20"/>
          <w:vertAlign w:val="superscript"/>
        </w:rPr>
        <w:t>5</w:t>
      </w:r>
      <w:r w:rsidRPr="001639CC">
        <w:rPr>
          <w:rFonts w:cs="Arial"/>
          <w:sz w:val="20"/>
          <w:szCs w:val="20"/>
        </w:rPr>
        <w:t xml:space="preserve">Athanasius, 1999 </w:t>
      </w:r>
    </w:p>
    <w:p w:rsidR="00152AE8" w:rsidRPr="001639CC" w:rsidRDefault="00152AE8">
      <w:pPr>
        <w:pStyle w:val="FootnoteText"/>
      </w:pPr>
      <w:r>
        <w:rPr>
          <w:vertAlign w:val="superscript"/>
        </w:rPr>
        <w:t>6</w:t>
      </w:r>
      <w:r w:rsidRPr="001639CC">
        <w:rPr>
          <w:vertAlign w:val="superscript"/>
        </w:rPr>
        <w:t xml:space="preserve"> </w:t>
      </w:r>
      <w:r w:rsidRPr="001639CC">
        <w:t>Irenaeus, N.D</w:t>
      </w:r>
    </w:p>
  </w:footnote>
  <w:footnote w:id="4">
    <w:p w:rsidR="00152AE8" w:rsidRDefault="00152AE8">
      <w:pPr>
        <w:pStyle w:val="FootnoteText"/>
      </w:pPr>
    </w:p>
  </w:footnote>
  <w:footnote w:id="5">
    <w:p w:rsidR="00152AE8" w:rsidRPr="001639CC" w:rsidRDefault="00152AE8">
      <w:pPr>
        <w:pStyle w:val="FootnoteText"/>
      </w:pPr>
    </w:p>
  </w:footnote>
  <w:footnote w:id="6">
    <w:p w:rsidR="00152AE8" w:rsidRDefault="00152AE8">
      <w:pPr>
        <w:pStyle w:val="FootnoteText"/>
      </w:pPr>
      <w:r>
        <w:rPr>
          <w:rStyle w:val="FootnoteReference"/>
        </w:rPr>
        <w:t>7</w:t>
      </w:r>
      <w:r>
        <w:t xml:space="preserve"> </w:t>
      </w:r>
      <w:r w:rsidRPr="001639CC">
        <w:t xml:space="preserve">Gregory of Nyssa, </w:t>
      </w:r>
      <w:r w:rsidRPr="001639CC">
        <w:rPr>
          <w:i/>
          <w:iCs/>
        </w:rPr>
        <w:t xml:space="preserve">On “Not Three Gods”: To Ablabius, </w:t>
      </w:r>
      <w:r w:rsidRPr="001639CC">
        <w:t>trans. by Philip Schaff and Henry Wace, 5 vols (New York: Charles Scribner’s Sons, 1917).</w:t>
      </w:r>
    </w:p>
  </w:footnote>
  <w:footnote w:id="7">
    <w:p w:rsidR="00152AE8" w:rsidRDefault="00152AE8">
      <w:pPr>
        <w:pStyle w:val="FootnoteText"/>
      </w:pPr>
      <w:r>
        <w:rPr>
          <w:rStyle w:val="FootnoteReference"/>
        </w:rPr>
        <w:t>8</w:t>
      </w:r>
      <w:r>
        <w:t xml:space="preserve"> Nyssa, 1917. </w:t>
      </w:r>
    </w:p>
  </w:footnote>
  <w:footnote w:id="8">
    <w:p w:rsidR="00152AE8" w:rsidRPr="005B6B27" w:rsidRDefault="00152AE8" w:rsidP="00152AE8">
      <w:pPr>
        <w:pStyle w:val="FootnoteText"/>
      </w:pPr>
      <w:r>
        <w:rPr>
          <w:rStyle w:val="FootnoteReference"/>
        </w:rPr>
        <w:t>9</w:t>
      </w:r>
      <w:r>
        <w:t xml:space="preserve"> Tanner, 2012, p. 297.</w:t>
      </w:r>
    </w:p>
  </w:footnote>
  <w:footnote w:id="9">
    <w:p w:rsidR="00152AE8" w:rsidRDefault="00152AE8">
      <w:pPr>
        <w:pStyle w:val="FootnoteText"/>
      </w:pPr>
      <w:r>
        <w:rPr>
          <w:rStyle w:val="FootnoteReference"/>
        </w:rPr>
        <w:t>10</w:t>
      </w:r>
      <w:r>
        <w:t xml:space="preserve"> </w:t>
      </w:r>
      <w:r w:rsidR="00B62A6B">
        <w:t xml:space="preserve"> Torah </w:t>
      </w:r>
      <w:r w:rsidR="00B62A6B" w:rsidRPr="001639CC">
        <w:t>(</w:t>
      </w:r>
      <w:r w:rsidR="00B62A6B" w:rsidRPr="001639CC">
        <w:rPr>
          <w:rFonts w:cs="Arial"/>
        </w:rPr>
        <w:t xml:space="preserve">Deuteronomy </w:t>
      </w:r>
      <w:r w:rsidR="00B62A6B">
        <w:rPr>
          <w:rFonts w:cs="Arial"/>
        </w:rPr>
        <w:t>6</w:t>
      </w:r>
      <w:r w:rsidR="00B62A6B" w:rsidRPr="001639CC">
        <w:rPr>
          <w:rFonts w:cs="Arial"/>
        </w:rPr>
        <w:t xml:space="preserve">: </w:t>
      </w:r>
      <w:r w:rsidR="00B62A6B">
        <w:rPr>
          <w:rFonts w:cs="Arial"/>
        </w:rPr>
        <w:t>4-5)</w:t>
      </w:r>
    </w:p>
  </w:footnote>
  <w:footnote w:id="10">
    <w:p w:rsidR="00B62A6B" w:rsidRDefault="00B62A6B">
      <w:pPr>
        <w:pStyle w:val="FootnoteText"/>
      </w:pPr>
      <w:r>
        <w:rPr>
          <w:rStyle w:val="FootnoteReference"/>
        </w:rPr>
        <w:t>11</w:t>
      </w:r>
      <w:r>
        <w:t xml:space="preserve"> Torah (Genesis 17: 9-23) </w:t>
      </w:r>
    </w:p>
  </w:footnote>
  <w:footnote w:id="11">
    <w:p w:rsidR="00B62A6B" w:rsidRPr="001639CC" w:rsidRDefault="00B62A6B" w:rsidP="00B62A6B">
      <w:pPr>
        <w:pStyle w:val="FootnoteText"/>
        <w:rPr>
          <w:rFonts w:cs="Arial"/>
        </w:rPr>
      </w:pPr>
      <w:r>
        <w:rPr>
          <w:rStyle w:val="FootnoteReference"/>
        </w:rPr>
        <w:t>12</w:t>
      </w:r>
      <w:r>
        <w:t xml:space="preserve"> </w:t>
      </w:r>
      <w:r>
        <w:rPr>
          <w:rStyle w:val="FootnoteReference"/>
        </w:rPr>
        <w:t xml:space="preserve"> </w:t>
      </w:r>
      <w:r>
        <w:t xml:space="preserve">Torah (Genesis 6-8 </w:t>
      </w:r>
    </w:p>
    <w:p w:rsidR="00B62A6B" w:rsidRDefault="00B62A6B" w:rsidP="00B62A6B">
      <w:pPr>
        <w:rPr>
          <w:rFonts w:cs="Arial"/>
          <w:sz w:val="20"/>
          <w:szCs w:val="20"/>
        </w:rPr>
      </w:pPr>
      <w:r>
        <w:rPr>
          <w:rStyle w:val="FootnoteReference"/>
        </w:rPr>
        <w:t>13</w:t>
      </w:r>
      <w:r>
        <w:t xml:space="preserve"> </w:t>
      </w:r>
      <w:r w:rsidRPr="001639CC">
        <w:rPr>
          <w:sz w:val="20"/>
          <w:szCs w:val="20"/>
        </w:rPr>
        <w:t>Torah (</w:t>
      </w:r>
      <w:r w:rsidRPr="001639CC">
        <w:rPr>
          <w:rFonts w:cs="Arial"/>
          <w:sz w:val="20"/>
          <w:szCs w:val="20"/>
        </w:rPr>
        <w:t>Deuteronomy 26: 17-19</w:t>
      </w:r>
    </w:p>
    <w:p w:rsidR="00B62A6B" w:rsidRPr="001639CC" w:rsidRDefault="00B62A6B" w:rsidP="00B62A6B">
      <w:pPr>
        <w:rPr>
          <w:sz w:val="20"/>
          <w:szCs w:val="20"/>
        </w:rPr>
      </w:pPr>
      <w:r>
        <w:rPr>
          <w:rStyle w:val="FootnoteReference"/>
        </w:rPr>
        <w:t>14</w:t>
      </w:r>
      <w:r>
        <w:t xml:space="preserve"> </w:t>
      </w:r>
      <w:r w:rsidRPr="001639CC">
        <w:rPr>
          <w:sz w:val="20"/>
          <w:szCs w:val="20"/>
        </w:rPr>
        <w:t xml:space="preserve">John Calvin, Institutes of the Christian Religion, ed. by John. T, Mcnell, 2 vols (Louisville: Westminster John Know Press, 2006), p. 451. </w:t>
      </w:r>
    </w:p>
    <w:p w:rsidR="00B62A6B" w:rsidRPr="00B62A6B" w:rsidRDefault="00B62A6B" w:rsidP="00B62A6B"/>
  </w:footnote>
  <w:footnote w:id="12">
    <w:p w:rsidR="00B62A6B" w:rsidRDefault="00B62A6B">
      <w:pPr>
        <w:pStyle w:val="FootnoteText"/>
      </w:pPr>
    </w:p>
  </w:footnote>
  <w:footnote w:id="13">
    <w:p w:rsidR="00B62A6B" w:rsidRDefault="00B62A6B">
      <w:pPr>
        <w:pStyle w:val="FootnoteText"/>
      </w:pPr>
    </w:p>
  </w:footnote>
  <w:footnote w:id="14">
    <w:p w:rsidR="00656C58" w:rsidRDefault="00656C58">
      <w:pPr>
        <w:pStyle w:val="FootnoteText"/>
      </w:pPr>
      <w:r>
        <w:rPr>
          <w:rStyle w:val="FootnoteReference"/>
        </w:rPr>
        <w:t>21</w:t>
      </w:r>
      <w:r>
        <w:t xml:space="preserve"> Bible (Romans 2: 23).  </w:t>
      </w:r>
    </w:p>
  </w:footnote>
  <w:footnote w:id="15">
    <w:p w:rsidR="00656C58" w:rsidRDefault="00656C58">
      <w:pPr>
        <w:pStyle w:val="FootnoteText"/>
      </w:pPr>
      <w:r>
        <w:rPr>
          <w:rStyle w:val="FootnoteReference"/>
        </w:rPr>
        <w:t>22</w:t>
      </w:r>
      <w:r>
        <w:t xml:space="preserve"> Bible (Romans 3: 19). </w:t>
      </w:r>
    </w:p>
  </w:footnote>
  <w:footnote w:id="16">
    <w:p w:rsidR="00656C58" w:rsidRPr="001639CC" w:rsidRDefault="00656C58">
      <w:pPr>
        <w:pStyle w:val="FootnoteText"/>
      </w:pPr>
      <w:r w:rsidRPr="001639CC">
        <w:rPr>
          <w:rStyle w:val="FootnoteReference"/>
        </w:rPr>
        <w:t>23</w:t>
      </w:r>
      <w:r w:rsidRPr="001639CC">
        <w:t xml:space="preserve"> John Calvin, 2006, pp. 430-50. </w:t>
      </w:r>
    </w:p>
  </w:footnote>
  <w:footnote w:id="17">
    <w:p w:rsidR="00656C58" w:rsidRPr="001639CC" w:rsidRDefault="00656C58" w:rsidP="00656C58">
      <w:pPr>
        <w:rPr>
          <w:rFonts w:asciiTheme="minorBidi" w:hAnsiTheme="minorBidi"/>
          <w:sz w:val="20"/>
          <w:szCs w:val="20"/>
        </w:rPr>
      </w:pPr>
      <w:r w:rsidRPr="001639CC">
        <w:rPr>
          <w:rStyle w:val="FootnoteReference"/>
          <w:sz w:val="20"/>
          <w:szCs w:val="20"/>
        </w:rPr>
        <w:t>24</w:t>
      </w:r>
      <w:r w:rsidRPr="001639CC">
        <w:rPr>
          <w:sz w:val="20"/>
          <w:szCs w:val="20"/>
        </w:rPr>
        <w:t xml:space="preserve"> Thomas Aquinas, </w:t>
      </w:r>
      <w:r w:rsidRPr="001639CC">
        <w:rPr>
          <w:i/>
          <w:iCs/>
          <w:sz w:val="20"/>
          <w:szCs w:val="20"/>
        </w:rPr>
        <w:t xml:space="preserve">Commentary on Saint Paul’s Epistle to the Galatians, </w:t>
      </w:r>
      <w:r w:rsidRPr="001639CC">
        <w:rPr>
          <w:sz w:val="20"/>
          <w:szCs w:val="20"/>
        </w:rPr>
        <w:t>trans. By Fabian Larcher (Albany: Magi Books, 1966), p. 152.</w:t>
      </w:r>
      <w:r w:rsidRPr="001639CC">
        <w:rPr>
          <w:rFonts w:asciiTheme="minorBidi" w:hAnsiTheme="minorBidi"/>
          <w:sz w:val="20"/>
          <w:szCs w:val="20"/>
        </w:rPr>
        <w:t xml:space="preserve"> </w:t>
      </w:r>
    </w:p>
    <w:p w:rsidR="00656C58" w:rsidRPr="001639CC" w:rsidRDefault="001639CC">
      <w:pPr>
        <w:pStyle w:val="FootnoteText"/>
      </w:pPr>
      <w:r w:rsidRPr="001639CC">
        <w:rPr>
          <w:rStyle w:val="FootnoteReference"/>
        </w:rPr>
        <w:t>25</w:t>
      </w:r>
      <w:r w:rsidRPr="001639CC">
        <w:t xml:space="preserve"> Bible (Genesis 3: 1-24).</w:t>
      </w:r>
    </w:p>
  </w:footnote>
  <w:footnote w:id="18">
    <w:p w:rsidR="0007252B" w:rsidRPr="001639CC" w:rsidRDefault="0007252B" w:rsidP="0007252B">
      <w:pPr>
        <w:rPr>
          <w:sz w:val="20"/>
          <w:szCs w:val="20"/>
        </w:rPr>
      </w:pPr>
      <w:r w:rsidRPr="001639CC">
        <w:rPr>
          <w:rStyle w:val="FootnoteReference"/>
          <w:sz w:val="20"/>
          <w:szCs w:val="20"/>
        </w:rPr>
        <w:t>26</w:t>
      </w:r>
      <w:r w:rsidRPr="001639CC">
        <w:rPr>
          <w:sz w:val="20"/>
          <w:szCs w:val="20"/>
        </w:rPr>
        <w:t xml:space="preserve"> Alan F. Segal, ‘Paul’s Jewish Presupposition’, in </w:t>
      </w:r>
      <w:r w:rsidRPr="001639CC">
        <w:rPr>
          <w:i/>
          <w:iCs/>
          <w:sz w:val="20"/>
          <w:szCs w:val="20"/>
        </w:rPr>
        <w:t>The Cambridge companion to ST Paul</w:t>
      </w:r>
      <w:r w:rsidRPr="001639CC">
        <w:rPr>
          <w:sz w:val="20"/>
          <w:szCs w:val="20"/>
        </w:rPr>
        <w:t xml:space="preserve">, ed. by J. D. G. Dunn (Cambridge: Cambridge University Press, Dunn,2003), pp.166-67. </w:t>
      </w:r>
    </w:p>
    <w:p w:rsidR="001639CC" w:rsidRDefault="001639CC">
      <w:pPr>
        <w:pStyle w:val="FootnoteText"/>
      </w:pPr>
    </w:p>
  </w:footnote>
  <w:footnote w:id="19">
    <w:p w:rsidR="001639CC" w:rsidRPr="001639CC" w:rsidRDefault="001639CC" w:rsidP="001639CC">
      <w:pPr>
        <w:rPr>
          <w:sz w:val="20"/>
          <w:szCs w:val="20"/>
        </w:rPr>
      </w:pPr>
    </w:p>
    <w:p w:rsidR="001639CC" w:rsidRDefault="001639CC">
      <w:pPr>
        <w:pStyle w:val="FootnoteText"/>
      </w:pPr>
    </w:p>
  </w:footnote>
  <w:footnote w:id="20">
    <w:p w:rsidR="001639CC" w:rsidRDefault="001639CC">
      <w:pPr>
        <w:pStyle w:val="FootnoteText"/>
      </w:pPr>
    </w:p>
    <w:p w:rsidR="0007252B" w:rsidRPr="001639CC" w:rsidRDefault="0007252B" w:rsidP="0007252B">
      <w:pPr>
        <w:pStyle w:val="FootnoteText"/>
      </w:pPr>
      <w:r w:rsidRPr="001639CC">
        <w:rPr>
          <w:rStyle w:val="FootnoteReference"/>
        </w:rPr>
        <w:t>27</w:t>
      </w:r>
      <w:r w:rsidRPr="001639CC">
        <w:t xml:space="preserve">  Athanasius, 1999.</w:t>
      </w:r>
    </w:p>
    <w:p w:rsidR="0007252B" w:rsidRPr="001639CC" w:rsidRDefault="0007252B" w:rsidP="0007252B">
      <w:pPr>
        <w:rPr>
          <w:sz w:val="20"/>
          <w:szCs w:val="20"/>
        </w:rPr>
      </w:pPr>
      <w:r w:rsidRPr="001639CC">
        <w:rPr>
          <w:rStyle w:val="FootnoteReference"/>
          <w:sz w:val="20"/>
          <w:szCs w:val="20"/>
        </w:rPr>
        <w:t>28</w:t>
      </w:r>
      <w:r w:rsidRPr="001639CC">
        <w:rPr>
          <w:sz w:val="20"/>
          <w:szCs w:val="20"/>
        </w:rPr>
        <w:t xml:space="preserve"> Webster, 2015. </w:t>
      </w:r>
    </w:p>
    <w:p w:rsidR="0007252B" w:rsidRPr="001639CC" w:rsidRDefault="0007252B" w:rsidP="0007252B">
      <w:pPr>
        <w:rPr>
          <w:i/>
          <w:iCs/>
          <w:sz w:val="20"/>
          <w:szCs w:val="20"/>
        </w:rPr>
      </w:pPr>
      <w:r w:rsidRPr="001639CC">
        <w:rPr>
          <w:rStyle w:val="FootnoteReference"/>
          <w:sz w:val="20"/>
          <w:szCs w:val="20"/>
        </w:rPr>
        <w:t>29</w:t>
      </w:r>
      <w:r w:rsidRPr="001639CC">
        <w:rPr>
          <w:sz w:val="20"/>
          <w:szCs w:val="20"/>
        </w:rPr>
        <w:t xml:space="preserve"> Gregory of Nyssa, 1917, p.321.</w:t>
      </w:r>
    </w:p>
    <w:p w:rsidR="0007252B" w:rsidRDefault="0007252B">
      <w:pPr>
        <w:pStyle w:val="FootnoteText"/>
      </w:pPr>
    </w:p>
  </w:footnote>
  <w:footnote w:id="21">
    <w:p w:rsidR="001639CC" w:rsidRDefault="001639CC">
      <w:pPr>
        <w:pStyle w:val="FootnoteText"/>
      </w:pPr>
    </w:p>
  </w:footnote>
  <w:footnote w:id="22">
    <w:p w:rsidR="001639CC" w:rsidRDefault="001639CC">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defaultTabStop w:val="720"/>
  <w:characterSpacingControl w:val="doNotCompress"/>
  <w:footnotePr>
    <w:numStart w:val="15"/>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E83"/>
    <w:rsid w:val="00006024"/>
    <w:rsid w:val="0007252B"/>
    <w:rsid w:val="00086E56"/>
    <w:rsid w:val="000A19C7"/>
    <w:rsid w:val="000C1214"/>
    <w:rsid w:val="00111F54"/>
    <w:rsid w:val="001302EA"/>
    <w:rsid w:val="00140470"/>
    <w:rsid w:val="001463F8"/>
    <w:rsid w:val="00152AE8"/>
    <w:rsid w:val="001639CC"/>
    <w:rsid w:val="0020738F"/>
    <w:rsid w:val="002206E3"/>
    <w:rsid w:val="0022070E"/>
    <w:rsid w:val="00234294"/>
    <w:rsid w:val="00240F3D"/>
    <w:rsid w:val="002741DA"/>
    <w:rsid w:val="0037323E"/>
    <w:rsid w:val="00436506"/>
    <w:rsid w:val="00475E28"/>
    <w:rsid w:val="00495198"/>
    <w:rsid w:val="004C4F83"/>
    <w:rsid w:val="004F04F0"/>
    <w:rsid w:val="00533DBD"/>
    <w:rsid w:val="005449EB"/>
    <w:rsid w:val="0056135C"/>
    <w:rsid w:val="00562679"/>
    <w:rsid w:val="005B6B27"/>
    <w:rsid w:val="00615491"/>
    <w:rsid w:val="00656C58"/>
    <w:rsid w:val="006C2690"/>
    <w:rsid w:val="00715F2C"/>
    <w:rsid w:val="0074688C"/>
    <w:rsid w:val="0075119E"/>
    <w:rsid w:val="00787BF2"/>
    <w:rsid w:val="007C0642"/>
    <w:rsid w:val="007E1793"/>
    <w:rsid w:val="007F4F71"/>
    <w:rsid w:val="0082323D"/>
    <w:rsid w:val="00862638"/>
    <w:rsid w:val="0087183A"/>
    <w:rsid w:val="008811CE"/>
    <w:rsid w:val="008827C9"/>
    <w:rsid w:val="008B3F51"/>
    <w:rsid w:val="009329D0"/>
    <w:rsid w:val="009A2EED"/>
    <w:rsid w:val="009E7AF3"/>
    <w:rsid w:val="00AE72A9"/>
    <w:rsid w:val="00B220C1"/>
    <w:rsid w:val="00B62A6B"/>
    <w:rsid w:val="00BA08C6"/>
    <w:rsid w:val="00BD3927"/>
    <w:rsid w:val="00BD3C54"/>
    <w:rsid w:val="00C56044"/>
    <w:rsid w:val="00C65F31"/>
    <w:rsid w:val="00CC1E83"/>
    <w:rsid w:val="00CF7631"/>
    <w:rsid w:val="00D0018C"/>
    <w:rsid w:val="00D009AC"/>
    <w:rsid w:val="00D276B6"/>
    <w:rsid w:val="00D42D8F"/>
    <w:rsid w:val="00D65EBF"/>
    <w:rsid w:val="00D96C3E"/>
    <w:rsid w:val="00DE2DD1"/>
    <w:rsid w:val="00E11581"/>
    <w:rsid w:val="00E1300D"/>
    <w:rsid w:val="00E728C4"/>
    <w:rsid w:val="00E7595B"/>
    <w:rsid w:val="00E8341B"/>
    <w:rsid w:val="00EA0E17"/>
    <w:rsid w:val="00EE69E7"/>
    <w:rsid w:val="00F04900"/>
    <w:rsid w:val="00F536FD"/>
    <w:rsid w:val="00FC3A20"/>
    <w:rsid w:val="00FF3C0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D46EF"/>
  <w14:defaultImageDpi w14:val="32767"/>
  <w15:chartTrackingRefBased/>
  <w15:docId w15:val="{772260A8-B182-C349-ABD7-17630BBD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40F3D"/>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F3D"/>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CF7631"/>
    <w:rPr>
      <w:color w:val="0563C1" w:themeColor="hyperlink"/>
      <w:u w:val="single"/>
    </w:rPr>
  </w:style>
  <w:style w:type="character" w:styleId="UnresolvedMention">
    <w:name w:val="Unresolved Mention"/>
    <w:basedOn w:val="DefaultParagraphFont"/>
    <w:uiPriority w:val="99"/>
    <w:rsid w:val="00CF7631"/>
    <w:rPr>
      <w:color w:val="605E5C"/>
      <w:shd w:val="clear" w:color="auto" w:fill="E1DFDD"/>
    </w:rPr>
  </w:style>
  <w:style w:type="paragraph" w:styleId="FootnoteText">
    <w:name w:val="footnote text"/>
    <w:basedOn w:val="Normal"/>
    <w:link w:val="FootnoteTextChar"/>
    <w:uiPriority w:val="99"/>
    <w:semiHidden/>
    <w:unhideWhenUsed/>
    <w:rsid w:val="00CF7631"/>
    <w:rPr>
      <w:sz w:val="20"/>
      <w:szCs w:val="20"/>
    </w:rPr>
  </w:style>
  <w:style w:type="character" w:customStyle="1" w:styleId="FootnoteTextChar">
    <w:name w:val="Footnote Text Char"/>
    <w:basedOn w:val="DefaultParagraphFont"/>
    <w:link w:val="FootnoteText"/>
    <w:uiPriority w:val="99"/>
    <w:semiHidden/>
    <w:rsid w:val="00CF7631"/>
    <w:rPr>
      <w:sz w:val="20"/>
      <w:szCs w:val="20"/>
    </w:rPr>
  </w:style>
  <w:style w:type="character" w:styleId="FootnoteReference">
    <w:name w:val="footnote reference"/>
    <w:basedOn w:val="DefaultParagraphFont"/>
    <w:uiPriority w:val="99"/>
    <w:semiHidden/>
    <w:unhideWhenUsed/>
    <w:rsid w:val="00CF7631"/>
    <w:rPr>
      <w:vertAlign w:val="superscript"/>
    </w:rPr>
  </w:style>
  <w:style w:type="character" w:styleId="Emphasis">
    <w:name w:val="Emphasis"/>
    <w:basedOn w:val="DefaultParagraphFont"/>
    <w:uiPriority w:val="20"/>
    <w:qFormat/>
    <w:rsid w:val="00D009AC"/>
    <w:rPr>
      <w:i/>
      <w:iCs/>
    </w:rPr>
  </w:style>
  <w:style w:type="paragraph" w:styleId="Header">
    <w:name w:val="header"/>
    <w:basedOn w:val="Normal"/>
    <w:link w:val="HeaderChar"/>
    <w:uiPriority w:val="99"/>
    <w:unhideWhenUsed/>
    <w:rsid w:val="005B6B27"/>
    <w:pPr>
      <w:tabs>
        <w:tab w:val="center" w:pos="4680"/>
        <w:tab w:val="right" w:pos="9360"/>
      </w:tabs>
    </w:pPr>
  </w:style>
  <w:style w:type="character" w:customStyle="1" w:styleId="HeaderChar">
    <w:name w:val="Header Char"/>
    <w:basedOn w:val="DefaultParagraphFont"/>
    <w:link w:val="Header"/>
    <w:uiPriority w:val="99"/>
    <w:rsid w:val="005B6B27"/>
  </w:style>
  <w:style w:type="paragraph" w:styleId="Footer">
    <w:name w:val="footer"/>
    <w:basedOn w:val="Normal"/>
    <w:link w:val="FooterChar"/>
    <w:uiPriority w:val="99"/>
    <w:unhideWhenUsed/>
    <w:rsid w:val="005B6B27"/>
    <w:pPr>
      <w:tabs>
        <w:tab w:val="center" w:pos="4680"/>
        <w:tab w:val="right" w:pos="9360"/>
      </w:tabs>
    </w:pPr>
  </w:style>
  <w:style w:type="character" w:customStyle="1" w:styleId="FooterChar">
    <w:name w:val="Footer Char"/>
    <w:basedOn w:val="DefaultParagraphFont"/>
    <w:link w:val="Footer"/>
    <w:uiPriority w:val="99"/>
    <w:rsid w:val="005B6B27"/>
  </w:style>
  <w:style w:type="paragraph" w:styleId="EndnoteText">
    <w:name w:val="endnote text"/>
    <w:basedOn w:val="Normal"/>
    <w:link w:val="EndnoteTextChar"/>
    <w:uiPriority w:val="99"/>
    <w:semiHidden/>
    <w:unhideWhenUsed/>
    <w:rsid w:val="00656C58"/>
    <w:rPr>
      <w:sz w:val="20"/>
      <w:szCs w:val="20"/>
    </w:rPr>
  </w:style>
  <w:style w:type="character" w:customStyle="1" w:styleId="EndnoteTextChar">
    <w:name w:val="Endnote Text Char"/>
    <w:basedOn w:val="DefaultParagraphFont"/>
    <w:link w:val="EndnoteText"/>
    <w:uiPriority w:val="99"/>
    <w:semiHidden/>
    <w:rsid w:val="00656C58"/>
    <w:rPr>
      <w:sz w:val="20"/>
      <w:szCs w:val="20"/>
    </w:rPr>
  </w:style>
  <w:style w:type="character" w:styleId="EndnoteReference">
    <w:name w:val="endnote reference"/>
    <w:basedOn w:val="DefaultParagraphFont"/>
    <w:uiPriority w:val="99"/>
    <w:semiHidden/>
    <w:unhideWhenUsed/>
    <w:rsid w:val="00656C5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766962">
      <w:bodyDiv w:val="1"/>
      <w:marLeft w:val="0"/>
      <w:marRight w:val="0"/>
      <w:marTop w:val="0"/>
      <w:marBottom w:val="0"/>
      <w:divBdr>
        <w:top w:val="none" w:sz="0" w:space="0" w:color="auto"/>
        <w:left w:val="none" w:sz="0" w:space="0" w:color="auto"/>
        <w:bottom w:val="none" w:sz="0" w:space="0" w:color="auto"/>
        <w:right w:val="none" w:sz="0" w:space="0" w:color="auto"/>
      </w:divBdr>
    </w:div>
    <w:div w:id="112596737">
      <w:bodyDiv w:val="1"/>
      <w:marLeft w:val="0"/>
      <w:marRight w:val="0"/>
      <w:marTop w:val="0"/>
      <w:marBottom w:val="0"/>
      <w:divBdr>
        <w:top w:val="none" w:sz="0" w:space="0" w:color="auto"/>
        <w:left w:val="none" w:sz="0" w:space="0" w:color="auto"/>
        <w:bottom w:val="none" w:sz="0" w:space="0" w:color="auto"/>
        <w:right w:val="none" w:sz="0" w:space="0" w:color="auto"/>
      </w:divBdr>
    </w:div>
    <w:div w:id="376470170">
      <w:bodyDiv w:val="1"/>
      <w:marLeft w:val="0"/>
      <w:marRight w:val="0"/>
      <w:marTop w:val="0"/>
      <w:marBottom w:val="0"/>
      <w:divBdr>
        <w:top w:val="none" w:sz="0" w:space="0" w:color="auto"/>
        <w:left w:val="none" w:sz="0" w:space="0" w:color="auto"/>
        <w:bottom w:val="none" w:sz="0" w:space="0" w:color="auto"/>
        <w:right w:val="none" w:sz="0" w:space="0" w:color="auto"/>
      </w:divBdr>
    </w:div>
    <w:div w:id="412970783">
      <w:bodyDiv w:val="1"/>
      <w:marLeft w:val="0"/>
      <w:marRight w:val="0"/>
      <w:marTop w:val="0"/>
      <w:marBottom w:val="0"/>
      <w:divBdr>
        <w:top w:val="none" w:sz="0" w:space="0" w:color="auto"/>
        <w:left w:val="none" w:sz="0" w:space="0" w:color="auto"/>
        <w:bottom w:val="none" w:sz="0" w:space="0" w:color="auto"/>
        <w:right w:val="none" w:sz="0" w:space="0" w:color="auto"/>
      </w:divBdr>
    </w:div>
    <w:div w:id="1197043588">
      <w:bodyDiv w:val="1"/>
      <w:marLeft w:val="0"/>
      <w:marRight w:val="0"/>
      <w:marTop w:val="0"/>
      <w:marBottom w:val="0"/>
      <w:divBdr>
        <w:top w:val="none" w:sz="0" w:space="0" w:color="auto"/>
        <w:left w:val="none" w:sz="0" w:space="0" w:color="auto"/>
        <w:bottom w:val="none" w:sz="0" w:space="0" w:color="auto"/>
        <w:right w:val="none" w:sz="0" w:space="0" w:color="auto"/>
      </w:divBdr>
    </w:div>
    <w:div w:id="1527794873">
      <w:bodyDiv w:val="1"/>
      <w:marLeft w:val="0"/>
      <w:marRight w:val="0"/>
      <w:marTop w:val="0"/>
      <w:marBottom w:val="0"/>
      <w:divBdr>
        <w:top w:val="none" w:sz="0" w:space="0" w:color="auto"/>
        <w:left w:val="none" w:sz="0" w:space="0" w:color="auto"/>
        <w:bottom w:val="none" w:sz="0" w:space="0" w:color="auto"/>
        <w:right w:val="none" w:sz="0" w:space="0" w:color="auto"/>
      </w:divBdr>
    </w:div>
    <w:div w:id="2055277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nosis.org/library/advh4.htm%3e%5baccessed" TargetMode="External"/><Relationship Id="rId3" Type="http://schemas.openxmlformats.org/officeDocument/2006/relationships/settings" Target="settings.xml"/><Relationship Id="rId7" Type="http://schemas.openxmlformats.org/officeDocument/2006/relationships/hyperlink" Target="http://www.copticchurch.net/topics/theology/incarnation_st_athanasius.pdf%3e%5baccesse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reformation21.org/featured/the-fruit-of-the-spirit-walk-by-the-spirit-part-1.php%3e%5baccessed" TargetMode="External"/><Relationship Id="rId4" Type="http://schemas.openxmlformats.org/officeDocument/2006/relationships/webSettings" Target="webSettings.xml"/><Relationship Id="rId9" Type="http://schemas.openxmlformats.org/officeDocument/2006/relationships/hyperlink" Target="https://www.dropbox.com/s/zx5pj82fx2vs3h0/Gregory%20of%20Nazianzus%2C%20Third%20Oration.pdf?dl=0"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gnosis.org/library/advh4.htm%3e%5baccessed" TargetMode="External"/><Relationship Id="rId1" Type="http://schemas.openxmlformats.org/officeDocument/2006/relationships/hyperlink" Target="http://www.copticchurch.net/topics/theology/incarnation_st_athanasius.pdf%3e%5b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241A011-F84B-B349-9702-24553B8D115A}">
  <we:reference id="wa104380122" version="1.0.0.1" store="en-US" storeType="OMEX"/>
  <we:alternateReferences>
    <we:reference id="wa104380122" version="1.0.0.1" store="wa104380122" storeType="OMEX"/>
  </we:alternateReferences>
  <we:properties>
    <we:property name="RCMSubscriberId" value="&quot;0&quot;"/>
    <we:property name="RCMUserId" value="&quot;user:5c72e39ae4b053a1d9334a5c&quot;"/>
    <we:property name="citationStyle" value="&quot;{\&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hashKey\&quot;:\&quot;object:385\&quot;}&quot;"/>
    <we:property name="contentControlsValues" value="&quot;{}&quot;"/>
    <we:property name="documentProjectId" value="&quot;\&quot;ap:5c72e39ae4b053a1d9334a5d\&quo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AEDCABF-DA11-2B4F-8DC1-F9AEC8F9B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3632</TotalTime>
  <Pages>14</Pages>
  <Words>4270</Words>
  <Characters>24345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Bhamji</dc:creator>
  <cp:keywords/>
  <dc:description/>
  <cp:lastModifiedBy>Talha Bhamji</cp:lastModifiedBy>
  <cp:revision>52</cp:revision>
  <dcterms:created xsi:type="dcterms:W3CDTF">2019-03-05T00:39:00Z</dcterms:created>
  <dcterms:modified xsi:type="dcterms:W3CDTF">2019-04-10T01:34:00Z</dcterms:modified>
</cp:coreProperties>
</file>