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B2284C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t>TITLE: INTERNATIONAL MEETINGS MANAGEMENT FOR THE HOTEL INDUSTRY</w:t>
      </w:r>
    </w:p>
    <w:p w14:paraId="50C0E03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1265D048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Slide 1</w:t>
      </w:r>
    </w:p>
    <w:p w14:paraId="66F4262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3F67C73C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6084" w:dyaOrig="3132" w14:anchorId="3FFBF23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04.2pt;height:156.6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2114360" r:id="rId5"/>
        </w:object>
      </w:r>
    </w:p>
    <w:p w14:paraId="0B531D52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  <w:b/>
          <w:bCs/>
          <w:sz w:val="16"/>
          <w:szCs w:val="16"/>
        </w:rPr>
      </w:pPr>
      <w:r>
        <w:rPr>
          <w:rFonts w:ascii="Times New Roman" w:hAnsi="Times New Roman" w:cs="Times New Roman"/>
          <w:b/>
          <w:bCs/>
          <w:sz w:val="16"/>
          <w:szCs w:val="16"/>
        </w:rPr>
        <w:t>STUDENT NAME: TATIANA RAILEANU</w:t>
      </w:r>
    </w:p>
    <w:p w14:paraId="0E988212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  <w:b/>
          <w:bCs/>
          <w:sz w:val="16"/>
          <w:szCs w:val="16"/>
        </w:rPr>
      </w:pPr>
      <w:r>
        <w:rPr>
          <w:rFonts w:ascii="Times New Roman" w:hAnsi="Times New Roman" w:cs="Times New Roman"/>
          <w:b/>
          <w:bCs/>
          <w:sz w:val="16"/>
          <w:szCs w:val="16"/>
        </w:rPr>
        <w:t>STUDENT NUMBER: 2211942</w:t>
      </w:r>
    </w:p>
    <w:p w14:paraId="0BC2B79F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480B0263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69676F9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2</w:t>
      </w:r>
    </w:p>
    <w:p w14:paraId="40302B8D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13038F33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9024" w:dyaOrig="6240" w14:anchorId="3F875CC1">
          <v:shape id="_x0000_i1026" type="#_x0000_t75" style="width:451.2pt;height:312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2114361" r:id="rId7"/>
        </w:object>
      </w:r>
    </w:p>
    <w:p w14:paraId="0A995C3D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3874594A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62925082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2227894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3</w:t>
      </w:r>
    </w:p>
    <w:p w14:paraId="61C9706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07E93D6A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8964" w:dyaOrig="5040" w14:anchorId="46FE23DE">
          <v:shape id="_x0000_i1027" type="#_x0000_t75" style="width:448.2pt;height:252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2114362" r:id="rId9"/>
        </w:object>
      </w:r>
    </w:p>
    <w:p w14:paraId="19E5CEDF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203DFFCE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058B3D8F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49C5418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4</w:t>
      </w:r>
    </w:p>
    <w:p w14:paraId="2F6EF8A9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4F463C77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9072" w:dyaOrig="5112" w14:anchorId="1EB2C7A1">
          <v:shape id="_x0000_i1028" type="#_x0000_t75" style="width:453.6pt;height:255.6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2114363" r:id="rId11"/>
        </w:object>
      </w:r>
    </w:p>
    <w:p w14:paraId="548A8F99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62B3CFC6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2736CE0D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7C8B8A8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5</w:t>
      </w:r>
    </w:p>
    <w:p w14:paraId="104D8980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09A0B91D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8736" w:dyaOrig="4908" w14:anchorId="4BA12602">
          <v:shape id="_x0000_i1029" type="#_x0000_t75" style="width:436.8pt;height:245.4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2114364" r:id="rId13"/>
        </w:object>
      </w:r>
    </w:p>
    <w:p w14:paraId="75EA3731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355452B4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EF59FA0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2FF9ADF8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6</w:t>
      </w:r>
    </w:p>
    <w:p w14:paraId="1893CBDA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9002BFB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8772" w:dyaOrig="4932" w14:anchorId="003BEF40">
          <v:shape id="_x0000_i1030" type="#_x0000_t75" style="width:438.6pt;height:246.6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2114365" r:id="rId15"/>
        </w:object>
      </w:r>
    </w:p>
    <w:p w14:paraId="16A42875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32B0D61D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4512E68F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0123D57E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7</w:t>
      </w:r>
    </w:p>
    <w:p w14:paraId="56C1F89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6A69E2E9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9588" w:dyaOrig="5388" w14:anchorId="16561988">
          <v:shape id="_x0000_i1031" type="#_x0000_t75" style="width:479.4pt;height:269.4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2114366" r:id="rId17"/>
        </w:object>
      </w:r>
    </w:p>
    <w:p w14:paraId="7B330332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6F0E8D59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1C5176A9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7C41F773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8</w:t>
      </w:r>
    </w:p>
    <w:p w14:paraId="09BEF09D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D2177FF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8460" w:dyaOrig="4752" w14:anchorId="001E417D">
          <v:shape id="_x0000_i1032" type="#_x0000_t75" style="width:423pt;height:237.6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2114367" r:id="rId19"/>
        </w:object>
      </w:r>
    </w:p>
    <w:p w14:paraId="08055DFD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50F35933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22B1CC66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19FB3ADA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9</w:t>
      </w:r>
    </w:p>
    <w:p w14:paraId="560D6FD9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5C88A994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10152" w:dyaOrig="5712" w14:anchorId="23C31A68">
          <v:shape id="_x0000_i1033" type="#_x0000_t75" style="width:507.6pt;height:285.6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2114368" r:id="rId21"/>
        </w:object>
      </w:r>
    </w:p>
    <w:p w14:paraId="01DE7321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4DF35CBB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0C393E11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0B0ECB46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10</w:t>
      </w:r>
    </w:p>
    <w:p w14:paraId="5198FFA4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5940DCB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9468" w:dyaOrig="5328" w14:anchorId="0ED8C416">
          <v:shape id="_x0000_i1034" type="#_x0000_t75" style="width:473.4pt;height:266.4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2114369" r:id="rId23"/>
        </w:object>
      </w:r>
    </w:p>
    <w:p w14:paraId="4BE20F12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3A68F5CA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67AA0E76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01F9BB09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11</w:t>
      </w:r>
    </w:p>
    <w:p w14:paraId="6488E68A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30124A8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8388" w:dyaOrig="4716" w14:anchorId="2CE72BCA">
          <v:shape id="_x0000_i1035" type="#_x0000_t75" style="width:419.4pt;height:235.8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802114370" r:id="rId25"/>
        </w:object>
      </w:r>
    </w:p>
    <w:p w14:paraId="0DE840CA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220A2D52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7B797582" w14:textId="77777777" w:rsidR="0037384B" w:rsidRDefault="0037384B" w:rsidP="003738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7D9DEA71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Slide 12</w:t>
      </w:r>
    </w:p>
    <w:p w14:paraId="2E37F8BF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344E8F6E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object w:dxaOrig="10380" w:dyaOrig="5844" w14:anchorId="3B87B186">
          <v:shape id="_x0000_i1036" type="#_x0000_t75" style="width:519pt;height:292.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802114371" r:id="rId27"/>
        </w:object>
      </w:r>
    </w:p>
    <w:p w14:paraId="44E132D9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0E68780A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58D1DCDE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06130433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2294B9F3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3EAE5334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40BAC702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58717EC0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15188297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6856917A" w14:textId="77777777" w:rsidR="0037384B" w:rsidRDefault="0037384B" w:rsidP="0037384B">
      <w:pPr>
        <w:spacing w:line="360" w:lineRule="auto"/>
        <w:jc w:val="center"/>
        <w:rPr>
          <w:rFonts w:ascii="Times New Roman" w:hAnsi="Times New Roman" w:cs="Times New Roman"/>
        </w:rPr>
      </w:pPr>
    </w:p>
    <w:p w14:paraId="5C17DF1E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1AD76E06" w14:textId="77777777" w:rsidR="0037384B" w:rsidRDefault="0037384B" w:rsidP="0037384B">
      <w:pPr>
        <w:pStyle w:val="Heading1"/>
        <w:spacing w:line="360" w:lineRule="auto"/>
        <w:rPr>
          <w:b/>
          <w:sz w:val="24"/>
          <w:szCs w:val="24"/>
        </w:rPr>
      </w:pPr>
      <w:bookmarkStart w:id="0" w:name="_Toc179167841"/>
      <w:r>
        <w:rPr>
          <w:sz w:val="24"/>
          <w:szCs w:val="24"/>
        </w:rPr>
        <w:lastRenderedPageBreak/>
        <w:t>Slide 11: References</w:t>
      </w:r>
      <w:bookmarkEnd w:id="0"/>
    </w:p>
    <w:p w14:paraId="55A493C7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Allen, J., Harris, R. and Jago, L., 2022. </w:t>
      </w:r>
      <w:r>
        <w:rPr>
          <w:rFonts w:eastAsia="Arial"/>
          <w:i/>
          <w:color w:val="222222"/>
          <w:highlight w:val="white"/>
        </w:rPr>
        <w:t>Festival &amp; special event management</w:t>
      </w:r>
      <w:r>
        <w:rPr>
          <w:rFonts w:eastAsia="Arial"/>
          <w:color w:val="222222"/>
          <w:highlight w:val="white"/>
        </w:rPr>
        <w:t>. John Wiley &amp; Sons.</w:t>
      </w:r>
    </w:p>
    <w:p w14:paraId="25C60A98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Bladen, C., Kennell, J., Abson, E. and Wilde, N., 2022. </w:t>
      </w:r>
      <w:r>
        <w:rPr>
          <w:rFonts w:eastAsia="Arial"/>
          <w:i/>
          <w:color w:val="222222"/>
          <w:highlight w:val="white"/>
        </w:rPr>
        <w:t>Events management: An introduction</w:t>
      </w:r>
      <w:r>
        <w:rPr>
          <w:rFonts w:eastAsia="Arial"/>
          <w:color w:val="222222"/>
          <w:highlight w:val="white"/>
        </w:rPr>
        <w:t>. Routledge.</w:t>
      </w:r>
    </w:p>
    <w:p w14:paraId="39911FC4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>Chinta, U., Goel, O. and Jain, S., 2023, September. Enhancing platform health: Techniques for maintaining optimizer, event, security, and system stability in Salesforce. In </w:t>
      </w:r>
      <w:r>
        <w:rPr>
          <w:rFonts w:eastAsia="Arial"/>
          <w:i/>
          <w:iCs/>
          <w:color w:val="222222"/>
          <w:highlight w:val="white"/>
        </w:rPr>
        <w:t>International Journal for Research Publication and Seminar</w:t>
      </w:r>
      <w:r>
        <w:rPr>
          <w:rFonts w:eastAsia="Arial"/>
          <w:color w:val="222222"/>
          <w:highlight w:val="white"/>
        </w:rPr>
        <w:t> (Vol. 14, No. 4, pp. 212-228).</w:t>
      </w:r>
    </w:p>
    <w:p w14:paraId="0F7C8509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>Dahana, M.A., 2020. Analysis of the budget planning process and budget execution process. </w:t>
      </w:r>
      <w:r>
        <w:rPr>
          <w:rFonts w:eastAsia="Arial"/>
          <w:i/>
          <w:iCs/>
          <w:color w:val="222222"/>
          <w:highlight w:val="white"/>
        </w:rPr>
        <w:t>European Journal of Business and Management Research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5</w:t>
      </w:r>
      <w:r>
        <w:rPr>
          <w:rFonts w:eastAsia="Arial"/>
          <w:color w:val="222222"/>
          <w:highlight w:val="white"/>
        </w:rPr>
        <w:t>(4).</w:t>
      </w:r>
    </w:p>
    <w:p w14:paraId="3708742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>
        <w:rPr>
          <w:rFonts w:eastAsia="Arial"/>
          <w:color w:val="222222"/>
          <w:highlight w:val="white"/>
        </w:rPr>
        <w:t>Găitan</w:t>
      </w:r>
      <w:proofErr w:type="spellEnd"/>
      <w:r>
        <w:rPr>
          <w:rFonts w:eastAsia="Arial"/>
          <w:color w:val="222222"/>
          <w:highlight w:val="white"/>
        </w:rPr>
        <w:t>, I.D., 2020. Comparative Analysis of Post-event Funding Sources. </w:t>
      </w:r>
      <w:r>
        <w:rPr>
          <w:rFonts w:eastAsia="Arial"/>
          <w:i/>
          <w:iCs/>
          <w:color w:val="222222"/>
          <w:highlight w:val="white"/>
        </w:rPr>
        <w:t>ANNALS ECONOMIC SCIENCES SERIES Volume XX Issue 2</w:t>
      </w:r>
      <w:r>
        <w:rPr>
          <w:rFonts w:eastAsia="Arial"/>
          <w:color w:val="222222"/>
          <w:highlight w:val="white"/>
        </w:rPr>
        <w:t>, p.333.</w:t>
      </w:r>
    </w:p>
    <w:p w14:paraId="5A5CB364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Giudici, M. and </w:t>
      </w:r>
      <w:proofErr w:type="spellStart"/>
      <w:r>
        <w:rPr>
          <w:rFonts w:eastAsia="Arial"/>
          <w:color w:val="222222"/>
          <w:highlight w:val="white"/>
        </w:rPr>
        <w:t>Filimonau</w:t>
      </w:r>
      <w:proofErr w:type="spellEnd"/>
      <w:r>
        <w:rPr>
          <w:rFonts w:eastAsia="Arial"/>
          <w:color w:val="222222"/>
          <w:highlight w:val="white"/>
        </w:rPr>
        <w:t>, V., 2019. Exploring the linkages between managerial leadership, communication and teamwork in successful event delivery. </w:t>
      </w:r>
      <w:r>
        <w:rPr>
          <w:rFonts w:eastAsia="Arial"/>
          <w:i/>
          <w:iCs/>
          <w:color w:val="222222"/>
          <w:highlight w:val="white"/>
        </w:rPr>
        <w:t>Tourism Management Perspectives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32</w:t>
      </w:r>
      <w:r>
        <w:rPr>
          <w:rFonts w:eastAsia="Arial"/>
          <w:color w:val="222222"/>
          <w:highlight w:val="white"/>
        </w:rPr>
        <w:t>, p.100558.</w:t>
      </w:r>
    </w:p>
    <w:p w14:paraId="315AD826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Greenwell, T.C., Danzey-Bussell, L.A. and Shonk, D.J., 2024. </w:t>
      </w:r>
      <w:r>
        <w:rPr>
          <w:rFonts w:eastAsia="Arial"/>
          <w:i/>
          <w:color w:val="222222"/>
          <w:highlight w:val="white"/>
        </w:rPr>
        <w:t>Managing sport events</w:t>
      </w:r>
      <w:r>
        <w:rPr>
          <w:rFonts w:eastAsia="Arial"/>
          <w:color w:val="222222"/>
          <w:highlight w:val="white"/>
        </w:rPr>
        <w:t>. Human Kinetics.</w:t>
      </w:r>
    </w:p>
    <w:p w14:paraId="0522F4F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Hanlon, H.M., Bernie, D., </w:t>
      </w:r>
      <w:proofErr w:type="spellStart"/>
      <w:r>
        <w:rPr>
          <w:rFonts w:eastAsia="Arial"/>
          <w:color w:val="222222"/>
          <w:highlight w:val="white"/>
        </w:rPr>
        <w:t>Carigi</w:t>
      </w:r>
      <w:proofErr w:type="spellEnd"/>
      <w:r>
        <w:rPr>
          <w:rFonts w:eastAsia="Arial"/>
          <w:color w:val="222222"/>
          <w:highlight w:val="white"/>
        </w:rPr>
        <w:t>, G. and Lowe, J.A., 2021. Future changes to high impact weather in the UK. </w:t>
      </w:r>
      <w:r>
        <w:rPr>
          <w:rFonts w:eastAsia="Arial"/>
          <w:i/>
          <w:iCs/>
          <w:color w:val="222222"/>
          <w:highlight w:val="white"/>
        </w:rPr>
        <w:t>Climatic Change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166</w:t>
      </w:r>
      <w:r>
        <w:rPr>
          <w:rFonts w:eastAsia="Arial"/>
          <w:color w:val="222222"/>
          <w:highlight w:val="white"/>
        </w:rPr>
        <w:t>(3), p.50.</w:t>
      </w:r>
    </w:p>
    <w:p w14:paraId="291C3BF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McCann, L., Hutchison, N. and Adair, A., 2019. External funding of major capital projects in the UK Higher Education sector: issues of demand, supply and market </w:t>
      </w:r>
      <w:proofErr w:type="gramStart"/>
      <w:r>
        <w:rPr>
          <w:rFonts w:eastAsia="Arial"/>
          <w:color w:val="222222"/>
          <w:highlight w:val="white"/>
        </w:rPr>
        <w:t>timing?.</w:t>
      </w:r>
      <w:proofErr w:type="gramEnd"/>
      <w:r>
        <w:rPr>
          <w:rFonts w:eastAsia="Arial"/>
          <w:color w:val="222222"/>
          <w:highlight w:val="white"/>
        </w:rPr>
        <w:t> </w:t>
      </w:r>
      <w:r>
        <w:rPr>
          <w:rFonts w:eastAsia="Arial"/>
          <w:i/>
          <w:iCs/>
          <w:color w:val="222222"/>
          <w:highlight w:val="white"/>
        </w:rPr>
        <w:t>Journal of Property Research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36</w:t>
      </w:r>
      <w:r>
        <w:rPr>
          <w:rFonts w:eastAsia="Arial"/>
          <w:color w:val="222222"/>
          <w:highlight w:val="white"/>
        </w:rPr>
        <w:t>(1), pp.97-130.</w:t>
      </w:r>
    </w:p>
    <w:p w14:paraId="3B3527DB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Mohamed, R. and Saber, S., 2022. Technological Innovation in Tourism and Events industry: A hybrid future of Events. </w:t>
      </w:r>
      <w:r>
        <w:rPr>
          <w:rFonts w:eastAsia="Arial"/>
          <w:i/>
          <w:color w:val="222222"/>
          <w:highlight w:val="white"/>
        </w:rPr>
        <w:t>International Journal of Tourism, Archaeology and Hospitality</w:t>
      </w:r>
      <w:r>
        <w:rPr>
          <w:rFonts w:eastAsia="Arial"/>
          <w:color w:val="222222"/>
          <w:highlight w:val="white"/>
        </w:rPr>
        <w:t xml:space="preserve">, </w:t>
      </w:r>
      <w:r>
        <w:rPr>
          <w:rFonts w:eastAsia="Arial"/>
          <w:i/>
          <w:color w:val="222222"/>
          <w:highlight w:val="white"/>
        </w:rPr>
        <w:t>2</w:t>
      </w:r>
      <w:r>
        <w:rPr>
          <w:rFonts w:eastAsia="Arial"/>
          <w:color w:val="222222"/>
          <w:highlight w:val="white"/>
        </w:rPr>
        <w:t>(3), pp.271-286.</w:t>
      </w:r>
    </w:p>
    <w:p w14:paraId="0146CE1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>Ormerod, N. and Wood, E.H., 2021. Regional event tourism funding policies: A strategic-relational critique of current practice. </w:t>
      </w:r>
      <w:r>
        <w:rPr>
          <w:rFonts w:eastAsia="Arial"/>
          <w:i/>
          <w:iCs/>
          <w:color w:val="222222"/>
          <w:highlight w:val="white"/>
        </w:rPr>
        <w:t>Journal of Travel Research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60</w:t>
      </w:r>
      <w:r>
        <w:rPr>
          <w:rFonts w:eastAsia="Arial"/>
          <w:color w:val="222222"/>
          <w:highlight w:val="white"/>
        </w:rPr>
        <w:t>(4), pp.860-877.</w:t>
      </w:r>
    </w:p>
    <w:p w14:paraId="145CC71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lastRenderedPageBreak/>
        <w:t>Quinn, B., Fernandes, A.M.V. and Ryan, T., 2024. Event tourism, public policy and socio-cultural development in Dublin (Ireland). </w:t>
      </w:r>
      <w:r>
        <w:rPr>
          <w:rFonts w:eastAsia="Arial"/>
          <w:i/>
          <w:iCs/>
          <w:color w:val="222222"/>
          <w:highlight w:val="white"/>
        </w:rPr>
        <w:t>REVISTA INTERNACIONAL DE TURISMO, EMPRESA Y TERRITORIO</w:t>
      </w:r>
      <w:r>
        <w:rPr>
          <w:rFonts w:eastAsia="Arial"/>
          <w:color w:val="222222"/>
          <w:highlight w:val="white"/>
        </w:rPr>
        <w:t>, </w:t>
      </w:r>
      <w:r>
        <w:rPr>
          <w:rFonts w:eastAsia="Arial"/>
          <w:i/>
          <w:iCs/>
          <w:color w:val="222222"/>
          <w:highlight w:val="white"/>
        </w:rPr>
        <w:t>8</w:t>
      </w:r>
      <w:r>
        <w:rPr>
          <w:rFonts w:eastAsia="Arial"/>
          <w:color w:val="222222"/>
          <w:highlight w:val="white"/>
        </w:rPr>
        <w:t>(1), pp.203-224.</w:t>
      </w:r>
    </w:p>
    <w:p w14:paraId="464E4719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Rogers, T. and Wynn-Moylan, P., 2022. </w:t>
      </w:r>
      <w:r>
        <w:rPr>
          <w:rFonts w:eastAsia="Arial"/>
          <w:i/>
          <w:color w:val="222222"/>
          <w:highlight w:val="white"/>
        </w:rPr>
        <w:t>Conferences and conventions: A global industry</w:t>
      </w:r>
      <w:r>
        <w:rPr>
          <w:rFonts w:eastAsia="Arial"/>
          <w:color w:val="222222"/>
          <w:highlight w:val="white"/>
        </w:rPr>
        <w:t>. Routledge.</w:t>
      </w:r>
    </w:p>
    <w:p w14:paraId="440A6096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>Shone, A. and Parry, B., 2019. </w:t>
      </w:r>
      <w:r>
        <w:rPr>
          <w:rFonts w:eastAsia="Arial"/>
          <w:i/>
          <w:iCs/>
          <w:color w:val="222222"/>
          <w:highlight w:val="white"/>
        </w:rPr>
        <w:t>Successful event management: a practical handbook</w:t>
      </w:r>
      <w:r>
        <w:rPr>
          <w:rFonts w:eastAsia="Arial"/>
          <w:color w:val="222222"/>
          <w:highlight w:val="white"/>
        </w:rPr>
        <w:t>. Cengage learning.</w:t>
      </w:r>
    </w:p>
    <w:p w14:paraId="5D283C32" w14:textId="77777777" w:rsidR="0037384B" w:rsidRDefault="0037384B" w:rsidP="0037384B">
      <w:pPr>
        <w:spacing w:before="240" w:line="360" w:lineRule="auto"/>
        <w:rPr>
          <w:rFonts w:eastAsia="Arial"/>
          <w:color w:val="222222"/>
          <w:highlight w:val="white"/>
          <w:lang w:val="en-IN"/>
        </w:rPr>
      </w:pPr>
      <w:r>
        <w:rPr>
          <w:rFonts w:eastAsia="Arial"/>
          <w:color w:val="222222"/>
          <w:highlight w:val="white"/>
          <w:lang w:val="en-IN"/>
        </w:rPr>
        <w:t xml:space="preserve">The Drinks Business, 2023. </w:t>
      </w:r>
      <w:r>
        <w:rPr>
          <w:rFonts w:eastAsia="Arial"/>
          <w:i/>
          <w:iCs/>
          <w:color w:val="222222"/>
          <w:highlight w:val="white"/>
          <w:lang w:val="en-IN"/>
        </w:rPr>
        <w:t xml:space="preserve">This winter is </w:t>
      </w:r>
      <w:proofErr w:type="gramStart"/>
      <w:r>
        <w:rPr>
          <w:rFonts w:eastAsia="Arial"/>
          <w:i/>
          <w:iCs/>
          <w:color w:val="222222"/>
          <w:highlight w:val="white"/>
          <w:lang w:val="en-IN"/>
        </w:rPr>
        <w:t>crunch</w:t>
      </w:r>
      <w:proofErr w:type="gramEnd"/>
      <w:r>
        <w:rPr>
          <w:rFonts w:eastAsia="Arial"/>
          <w:i/>
          <w:iCs/>
          <w:color w:val="222222"/>
          <w:highlight w:val="white"/>
          <w:lang w:val="en-IN"/>
        </w:rPr>
        <w:t xml:space="preserve"> time for the hospitality sector</w:t>
      </w:r>
      <w:r>
        <w:rPr>
          <w:rFonts w:eastAsia="Arial"/>
          <w:color w:val="222222"/>
          <w:highlight w:val="white"/>
          <w:lang w:val="en-IN"/>
        </w:rPr>
        <w:t>. Available at: https://www.thedrinksbusiness.com/2023/11/this-winter-is-crunch-time-for-the-hospitality-sector/ [Accessed on: 7 October 2024].</w:t>
      </w:r>
    </w:p>
    <w:p w14:paraId="6B9A44F8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The Times, 2023. </w:t>
      </w:r>
      <w:r>
        <w:rPr>
          <w:rFonts w:eastAsia="Arial"/>
          <w:i/>
          <w:color w:val="222222"/>
          <w:highlight w:val="white"/>
        </w:rPr>
        <w:t>Winter holiday destinations in the UK</w:t>
      </w:r>
      <w:r>
        <w:rPr>
          <w:rFonts w:eastAsia="Arial"/>
          <w:color w:val="222222"/>
          <w:highlight w:val="white"/>
        </w:rPr>
        <w:t>. Available at: https://www.thetimes.com/travel/destinations/uk-travel/best-places-for-a-british-winter-break-kh08v350n [Accessed on: 6 October 2024].</w:t>
      </w:r>
    </w:p>
    <w:p w14:paraId="1854D322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>
        <w:rPr>
          <w:rFonts w:eastAsia="Arial"/>
          <w:color w:val="222222"/>
          <w:highlight w:val="white"/>
        </w:rPr>
        <w:t>Unnam</w:t>
      </w:r>
      <w:proofErr w:type="spellEnd"/>
      <w:r>
        <w:rPr>
          <w:rFonts w:eastAsia="Arial"/>
          <w:color w:val="222222"/>
          <w:highlight w:val="white"/>
        </w:rPr>
        <w:t>, D., 2020. Student Government will consider an update to budget policy. </w:t>
      </w:r>
      <w:r>
        <w:rPr>
          <w:rFonts w:eastAsia="Arial"/>
          <w:i/>
          <w:iCs/>
          <w:color w:val="222222"/>
          <w:highlight w:val="white"/>
        </w:rPr>
        <w:t>UWIRE Text</w:t>
      </w:r>
      <w:r>
        <w:rPr>
          <w:rFonts w:eastAsia="Arial"/>
          <w:color w:val="222222"/>
          <w:highlight w:val="white"/>
        </w:rPr>
        <w:t>, pp.1-1.</w:t>
      </w:r>
    </w:p>
    <w:p w14:paraId="09348EB4" w14:textId="77777777" w:rsidR="0037384B" w:rsidRDefault="0037384B" w:rsidP="0037384B">
      <w:pPr>
        <w:spacing w:before="240" w:after="240" w:line="360" w:lineRule="auto"/>
        <w:rPr>
          <w:rFonts w:eastAsia="Arial"/>
          <w:color w:val="222222"/>
          <w:highlight w:val="white"/>
        </w:rPr>
      </w:pPr>
      <w:r>
        <w:rPr>
          <w:rFonts w:eastAsia="Arial"/>
          <w:color w:val="222222"/>
          <w:highlight w:val="white"/>
        </w:rPr>
        <w:t xml:space="preserve">UNWTO, 2024. </w:t>
      </w:r>
      <w:r>
        <w:rPr>
          <w:rFonts w:eastAsia="Arial"/>
          <w:i/>
          <w:color w:val="222222"/>
          <w:highlight w:val="white"/>
        </w:rPr>
        <w:t>International Tourist Arrivals hit 96% of pre-pandemic levels through July 2024</w:t>
      </w:r>
      <w:r>
        <w:rPr>
          <w:rFonts w:eastAsia="Arial"/>
          <w:color w:val="222222"/>
          <w:highlight w:val="white"/>
        </w:rPr>
        <w:t>. Available at: http://www.unwto.org/news/international-tourist-arrivals-hit-96-of-pre-pandemic-levels-through-july-2024 [Accessed on: 6 October 2024]</w:t>
      </w:r>
      <w:bookmarkStart w:id="1" w:name="_5n79hs9p5tev"/>
      <w:bookmarkEnd w:id="1"/>
      <w:r>
        <w:rPr>
          <w:rFonts w:eastAsia="Arial"/>
          <w:color w:val="222222"/>
          <w:highlight w:val="white"/>
        </w:rPr>
        <w:t>.</w:t>
      </w:r>
    </w:p>
    <w:p w14:paraId="40535094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574718A7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5D89A52B" w14:textId="77777777" w:rsidR="0037384B" w:rsidRDefault="0037384B" w:rsidP="0037384B">
      <w:pPr>
        <w:spacing w:line="360" w:lineRule="auto"/>
        <w:rPr>
          <w:rFonts w:ascii="Times New Roman" w:hAnsi="Times New Roman" w:cs="Times New Roman"/>
        </w:rPr>
      </w:pPr>
    </w:p>
    <w:p w14:paraId="281CDFAF" w14:textId="77777777" w:rsidR="0037384B" w:rsidRDefault="0037384B"/>
    <w:sectPr w:rsidR="003738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84B"/>
    <w:rsid w:val="0037384B"/>
    <w:rsid w:val="007B2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AC7CD"/>
  <w15:chartTrackingRefBased/>
  <w15:docId w15:val="{8C02901A-F258-41CE-973D-8EAA17A0C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384B"/>
    <w:pPr>
      <w:spacing w:line="25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84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384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384B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84B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384B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384B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384B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384B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384B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8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38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38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8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38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38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38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38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38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38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38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84B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38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384B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738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384B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3738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8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8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384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75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542</Words>
  <Characters>3093</Characters>
  <Application>Microsoft Office Word</Application>
  <DocSecurity>0</DocSecurity>
  <Lines>25</Lines>
  <Paragraphs>7</Paragraphs>
  <ScaleCrop>false</ScaleCrop>
  <Company/>
  <LinksUpToDate>false</LinksUpToDate>
  <CharactersWithSpaces>3628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Tatiana Raileanu (2211942)</dc:creator>
  <cp:keywords/>
  <dc:description/>
  <cp:lastModifiedBy>Tatiana Raileanu (2211942)</cp:lastModifiedBy>
  <cp:revision>1</cp:revision>
  <dcterms:created xsi:type="dcterms:W3CDTF">2025-02-26T22:31:00Z</dcterms:created>
  <dcterms:modified xsi:type="dcterms:W3CDTF">2025-02-26T22:33:00Z</dcterms:modified>
</cp:coreProperties>
</file>