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180" w:right="-340" w:firstLine="0"/>
        <w:rPr>
          <w:rFonts w:ascii="Georgia" w:cs="Georgia" w:eastAsia="Georgia" w:hAnsi="Georgia"/>
          <w:sz w:val="21"/>
          <w:szCs w:val="21"/>
        </w:rPr>
      </w:pPr>
      <w:r w:rsidDel="00000000" w:rsidR="00000000" w:rsidRPr="00000000">
        <w:rPr>
          <w:rFonts w:ascii="Georgia" w:cs="Georgia" w:eastAsia="Georgia" w:hAnsi="Georgia"/>
          <w:sz w:val="21"/>
          <w:szCs w:val="21"/>
          <w:rtl w:val="0"/>
        </w:rPr>
        <w:t xml:space="preserve"> </w:t>
      </w:r>
    </w:p>
    <w:p w:rsidR="00000000" w:rsidDel="00000000" w:rsidP="00000000" w:rsidRDefault="00000000" w:rsidRPr="00000000" w14:paraId="00000002">
      <w:pPr>
        <w:ind w:left="-180" w:right="-340" w:firstLine="0"/>
        <w:jc w:val="center"/>
        <w:rPr>
          <w:b w:val="1"/>
          <w:sz w:val="28"/>
          <w:szCs w:val="28"/>
        </w:rPr>
      </w:pPr>
      <w:r w:rsidDel="00000000" w:rsidR="00000000" w:rsidRPr="00000000">
        <w:rPr>
          <w:b w:val="1"/>
          <w:sz w:val="28"/>
          <w:szCs w:val="28"/>
          <w:rtl w:val="0"/>
        </w:rPr>
        <w:t xml:space="preserve">Postgraduate/Distance Learning </w:t>
      </w:r>
    </w:p>
    <w:p w:rsidR="00000000" w:rsidDel="00000000" w:rsidP="00000000" w:rsidRDefault="00000000" w:rsidRPr="00000000" w14:paraId="00000003">
      <w:pPr>
        <w:ind w:left="-180" w:right="-340" w:firstLine="0"/>
        <w:jc w:val="center"/>
        <w:rPr>
          <w:b w:val="1"/>
          <w:sz w:val="28"/>
          <w:szCs w:val="28"/>
        </w:rPr>
      </w:pPr>
      <w:r w:rsidDel="00000000" w:rsidR="00000000" w:rsidRPr="00000000">
        <w:rPr>
          <w:b w:val="1"/>
          <w:sz w:val="28"/>
          <w:szCs w:val="28"/>
          <w:rtl w:val="0"/>
        </w:rPr>
        <w:t xml:space="preserve">Assignment coversheet &amp; feedback form</w:t>
      </w:r>
    </w:p>
    <w:p w:rsidR="00000000" w:rsidDel="00000000" w:rsidP="00000000" w:rsidRDefault="00000000" w:rsidRPr="00000000" w14:paraId="00000004">
      <w:pPr>
        <w:rPr>
          <w:sz w:val="28"/>
          <w:szCs w:val="28"/>
        </w:rPr>
      </w:pPr>
      <w:r w:rsidDel="00000000" w:rsidR="00000000" w:rsidRPr="00000000">
        <w:rPr>
          <w:sz w:val="28"/>
          <w:szCs w:val="28"/>
          <w:rtl w:val="0"/>
        </w:rPr>
        <w:t xml:space="preserve"> </w:t>
      </w:r>
    </w:p>
    <w:p w:rsidR="00000000" w:rsidDel="00000000" w:rsidP="00000000" w:rsidRDefault="00000000" w:rsidRPr="00000000" w14:paraId="00000005">
      <w:pPr>
        <w:pStyle w:val="Heading3"/>
        <w:keepNext w:val="0"/>
        <w:keepLines w:val="0"/>
        <w:spacing w:after="0" w:before="0" w:lineRule="auto"/>
        <w:ind w:left="720" w:firstLine="0"/>
        <w:jc w:val="center"/>
        <w:rPr>
          <w:b w:val="1"/>
          <w:color w:val="000000"/>
          <w:sz w:val="20"/>
          <w:szCs w:val="20"/>
        </w:rPr>
      </w:pPr>
      <w:bookmarkStart w:colFirst="0" w:colLast="0" w:name="_dzrt6qc9pen" w:id="0"/>
      <w:bookmarkEnd w:id="0"/>
      <w:r w:rsidDel="00000000" w:rsidR="00000000" w:rsidRPr="00000000">
        <w:rPr>
          <w:b w:val="1"/>
          <w:color w:val="000000"/>
          <w:sz w:val="20"/>
          <w:szCs w:val="20"/>
          <w:rtl w:val="0"/>
        </w:rPr>
        <w:t xml:space="preserve">THIS SHEET MUST BE THE FIRST PAGE OF THE ASSIGNMENT YOU ARE SUBMITTING  (DO NOT SEND AS A SEPARATE FILE)</w:t>
      </w:r>
    </w:p>
    <w:p w:rsidR="00000000" w:rsidDel="00000000" w:rsidP="00000000" w:rsidRDefault="00000000" w:rsidRPr="00000000" w14:paraId="00000006">
      <w:pPr>
        <w:pStyle w:val="Heading3"/>
        <w:keepNext w:val="0"/>
        <w:keepLines w:val="0"/>
        <w:spacing w:after="0" w:before="0" w:lineRule="auto"/>
        <w:ind w:left="720" w:firstLine="0"/>
        <w:jc w:val="center"/>
        <w:rPr>
          <w:rFonts w:ascii="Trebuchet MS" w:cs="Trebuchet MS" w:eastAsia="Trebuchet MS" w:hAnsi="Trebuchet MS"/>
          <w:b w:val="1"/>
          <w:color w:val="000000"/>
          <w:sz w:val="20"/>
          <w:szCs w:val="20"/>
        </w:rPr>
      </w:pPr>
      <w:bookmarkStart w:colFirst="0" w:colLast="0" w:name="_f9qyxu1o9ukc" w:id="1"/>
      <w:bookmarkEnd w:id="1"/>
      <w:r w:rsidDel="00000000" w:rsidR="00000000" w:rsidRPr="00000000">
        <w:rPr>
          <w:rFonts w:ascii="Trebuchet MS" w:cs="Trebuchet MS" w:eastAsia="Trebuchet MS" w:hAnsi="Trebuchet MS"/>
          <w:b w:val="1"/>
          <w:color w:val="000000"/>
          <w:sz w:val="20"/>
          <w:szCs w:val="20"/>
          <w:rtl w:val="0"/>
        </w:rPr>
        <w:t xml:space="preserve"> </w:t>
      </w:r>
    </w:p>
    <w:tbl>
      <w:tblPr>
        <w:tblStyle w:val="Table1"/>
        <w:tblW w:w="9025.511811023624"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540.078342881207"/>
        <w:gridCol w:w="551.0024869494745"/>
        <w:gridCol w:w="1534.61023224771"/>
        <w:gridCol w:w="428.05151878719505"/>
        <w:gridCol w:w="1971.7692301580369"/>
        <w:tblGridChange w:id="0">
          <w:tblGrid>
            <w:gridCol w:w="4540.078342881207"/>
            <w:gridCol w:w="551.0024869494745"/>
            <w:gridCol w:w="1534.61023224771"/>
            <w:gridCol w:w="428.05151878719505"/>
            <w:gridCol w:w="1971.7692301580369"/>
          </w:tblGrid>
        </w:tblGridChange>
      </w:tblGrid>
      <w:tr>
        <w:trPr>
          <w:cantSplit w:val="0"/>
          <w:trHeight w:val="615" w:hRule="atLeast"/>
          <w:tblHeader w:val="0"/>
        </w:trPr>
        <w:tc>
          <w:tcPr>
            <w:gridSpan w:val="5"/>
            <w:tcBorders>
              <w:top w:color="000000" w:space="0" w:sz="8" w:val="single"/>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007">
            <w:pPr>
              <w:ind w:right="40"/>
              <w:rPr/>
            </w:pPr>
            <w:r w:rsidDel="00000000" w:rsidR="00000000" w:rsidRPr="00000000">
              <w:rPr>
                <w:b w:val="1"/>
                <w:rtl w:val="0"/>
              </w:rPr>
              <w:t xml:space="preserve">For completion by the student</w:t>
            </w:r>
            <w:r w:rsidDel="00000000" w:rsidR="00000000" w:rsidRPr="00000000">
              <w:rPr>
                <w:rtl w:val="0"/>
              </w:rPr>
              <w:t xml:space="preserve">:</w:t>
            </w:r>
          </w:p>
        </w:tc>
      </w:tr>
      <w:tr>
        <w:trPr>
          <w:cantSplit w:val="0"/>
          <w:trHeight w:val="765" w:hRule="atLeast"/>
          <w:tblHeader w:val="0"/>
        </w:trPr>
        <w:tc>
          <w:tcPr>
            <w:gridSpan w:val="5"/>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0C">
            <w:pPr>
              <w:ind w:right="40"/>
              <w:rPr/>
            </w:pPr>
            <w:r w:rsidDel="00000000" w:rsidR="00000000" w:rsidRPr="00000000">
              <w:rPr>
                <w:rtl w:val="0"/>
              </w:rPr>
              <w:t xml:space="preserve">Student Name: Clarissa Jane Fowler</w:t>
            </w:r>
          </w:p>
          <w:p w:rsidR="00000000" w:rsidDel="00000000" w:rsidP="00000000" w:rsidRDefault="00000000" w:rsidRPr="00000000" w14:paraId="0000000D">
            <w:pPr>
              <w:ind w:right="40"/>
              <w:rPr/>
            </w:pPr>
            <w:r w:rsidDel="00000000" w:rsidR="00000000" w:rsidRPr="00000000">
              <w:rPr>
                <w:rtl w:val="0"/>
              </w:rPr>
              <w:t xml:space="preserve"> </w:t>
            </w:r>
          </w:p>
          <w:p w:rsidR="00000000" w:rsidDel="00000000" w:rsidP="00000000" w:rsidRDefault="00000000" w:rsidRPr="00000000" w14:paraId="0000000E">
            <w:pPr>
              <w:ind w:right="40"/>
              <w:rPr/>
            </w:pPr>
            <w:r w:rsidDel="00000000" w:rsidR="00000000" w:rsidRPr="00000000">
              <w:rPr>
                <w:rtl w:val="0"/>
              </w:rPr>
              <w:t xml:space="preserve">Student </w:t>
            </w:r>
            <w:r w:rsidDel="00000000" w:rsidR="00000000" w:rsidRPr="00000000">
              <w:rPr>
                <w:b w:val="1"/>
                <w:u w:val="single"/>
                <w:rtl w:val="0"/>
              </w:rPr>
              <w:t xml:space="preserve">University</w:t>
            </w:r>
            <w:r w:rsidDel="00000000" w:rsidR="00000000" w:rsidRPr="00000000">
              <w:rPr>
                <w:u w:val="single"/>
                <w:rtl w:val="0"/>
              </w:rPr>
              <w:t xml:space="preserve"> </w:t>
            </w:r>
            <w:r w:rsidDel="00000000" w:rsidR="00000000" w:rsidRPr="00000000">
              <w:rPr>
                <w:rtl w:val="0"/>
              </w:rPr>
              <w:t xml:space="preserve">Email: 2310967@student.uwtsd.ac.uk</w:t>
            </w:r>
          </w:p>
        </w:tc>
      </w:tr>
      <w:tr>
        <w:trPr>
          <w:cantSplit w:val="0"/>
          <w:trHeight w:val="1260" w:hRule="atLeast"/>
          <w:tblHeader w:val="0"/>
        </w:trPr>
        <w:tc>
          <w:tcPr>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13">
            <w:pPr>
              <w:ind w:right="40"/>
              <w:rPr/>
            </w:pPr>
            <w:r w:rsidDel="00000000" w:rsidR="00000000" w:rsidRPr="00000000">
              <w:rPr>
                <w:rtl w:val="0"/>
              </w:rPr>
              <w:t xml:space="preserve">Module code: HPCA7015</w:t>
            </w:r>
          </w:p>
          <w:p w:rsidR="00000000" w:rsidDel="00000000" w:rsidP="00000000" w:rsidRDefault="00000000" w:rsidRPr="00000000" w14:paraId="00000014">
            <w:pPr>
              <w:ind w:right="40"/>
              <w:rPr/>
            </w:pPr>
            <w:r w:rsidDel="00000000" w:rsidR="00000000" w:rsidRPr="00000000">
              <w:rPr>
                <w:rtl w:val="0"/>
              </w:rPr>
              <w:t xml:space="preserve"> </w:t>
            </w:r>
          </w:p>
          <w:p w:rsidR="00000000" w:rsidDel="00000000" w:rsidP="00000000" w:rsidRDefault="00000000" w:rsidRPr="00000000" w14:paraId="00000015">
            <w:pPr>
              <w:ind w:right="40"/>
              <w:rPr/>
            </w:pPr>
            <w:r w:rsidDel="00000000" w:rsidR="00000000" w:rsidRPr="00000000">
              <w:rPr>
                <w:rtl w:val="0"/>
              </w:rPr>
              <w:t xml:space="preserve">Module title: Foundations in Cultural Astronomy and Astrology </w:t>
            </w:r>
          </w:p>
          <w:p w:rsidR="00000000" w:rsidDel="00000000" w:rsidP="00000000" w:rsidRDefault="00000000" w:rsidRPr="00000000" w14:paraId="00000016">
            <w:pPr>
              <w:ind w:right="40"/>
              <w:rPr/>
            </w:pPr>
            <w:r w:rsidDel="00000000" w:rsidR="00000000" w:rsidRPr="00000000">
              <w:rPr>
                <w:rtl w:val="0"/>
              </w:rPr>
              <w:t xml:space="preserve"> </w:t>
            </w:r>
          </w:p>
          <w:p w:rsidR="00000000" w:rsidDel="00000000" w:rsidP="00000000" w:rsidRDefault="00000000" w:rsidRPr="00000000" w14:paraId="00000017">
            <w:pPr>
              <w:ind w:right="40"/>
              <w:rPr/>
            </w:pPr>
            <w:r w:rsidDel="00000000" w:rsidR="00000000" w:rsidRPr="00000000">
              <w:rPr>
                <w:rtl w:val="0"/>
              </w:rPr>
              <w:t xml:space="preserve"> </w:t>
            </w:r>
          </w:p>
        </w:tc>
        <w:tc>
          <w:tcPr>
            <w:gridSpan w:val="3"/>
            <w:tcBorders>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18">
            <w:pPr>
              <w:ind w:right="40"/>
              <w:rPr/>
            </w:pPr>
            <w:r w:rsidDel="00000000" w:rsidR="00000000" w:rsidRPr="00000000">
              <w:rPr>
                <w:rtl w:val="0"/>
              </w:rPr>
              <w:t xml:space="preserve">Student ID number:</w:t>
            </w:r>
          </w:p>
          <w:p w:rsidR="00000000" w:rsidDel="00000000" w:rsidP="00000000" w:rsidRDefault="00000000" w:rsidRPr="00000000" w14:paraId="00000019">
            <w:pPr>
              <w:ind w:right="40"/>
              <w:rPr/>
            </w:pPr>
            <w:r w:rsidDel="00000000" w:rsidR="00000000" w:rsidRPr="00000000">
              <w:rPr>
                <w:rtl w:val="0"/>
              </w:rPr>
              <w:t xml:space="preserve">2310967</w:t>
            </w:r>
          </w:p>
        </w:tc>
        <w:tc>
          <w:tcPr>
            <w:tcBorders>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1C">
            <w:pPr>
              <w:ind w:right="40"/>
              <w:rPr/>
            </w:pPr>
            <w:r w:rsidDel="00000000" w:rsidR="00000000" w:rsidRPr="00000000">
              <w:rPr>
                <w:rtl w:val="0"/>
              </w:rPr>
              <w:t xml:space="preserve">Educational support needs:</w:t>
            </w:r>
          </w:p>
          <w:p w:rsidR="00000000" w:rsidDel="00000000" w:rsidP="00000000" w:rsidRDefault="00000000" w:rsidRPr="00000000" w14:paraId="0000001D">
            <w:pPr>
              <w:ind w:right="40"/>
              <w:rPr/>
            </w:pPr>
            <w:r w:rsidDel="00000000" w:rsidR="00000000" w:rsidRPr="00000000">
              <w:rPr>
                <w:highlight w:val="yellow"/>
                <w:rtl w:val="0"/>
              </w:rPr>
              <w:t xml:space="preserve">Yes/</w:t>
            </w:r>
            <w:r w:rsidDel="00000000" w:rsidR="00000000" w:rsidRPr="00000000">
              <w:rPr>
                <w:rtl w:val="0"/>
              </w:rPr>
              <w:t xml:space="preserve">No</w:t>
            </w:r>
          </w:p>
        </w:tc>
      </w:tr>
      <w:tr>
        <w:trPr>
          <w:cantSplit w:val="0"/>
          <w:trHeight w:val="1140" w:hRule="atLeast"/>
          <w:tblHeader w:val="0"/>
        </w:trPr>
        <w:tc>
          <w:tcPr>
            <w:gridSpan w:val="5"/>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1E">
            <w:pPr>
              <w:ind w:right="40"/>
              <w:rPr>
                <w:sz w:val="20"/>
                <w:szCs w:val="20"/>
              </w:rPr>
            </w:pPr>
            <w:r w:rsidDel="00000000" w:rsidR="00000000" w:rsidRPr="00000000">
              <w:rPr>
                <w:rtl w:val="0"/>
              </w:rPr>
              <w:t xml:space="preserve">Assignment title: </w:t>
            </w:r>
            <w:r w:rsidDel="00000000" w:rsidR="00000000" w:rsidRPr="00000000">
              <w:rPr>
                <w:sz w:val="20"/>
                <w:szCs w:val="20"/>
                <w:rtl w:val="0"/>
              </w:rPr>
              <w:t xml:space="preserve">A 3,500 word essay written on a topic within the subject area - ‘</w:t>
            </w:r>
            <w:r w:rsidDel="00000000" w:rsidR="00000000" w:rsidRPr="00000000">
              <w:rPr>
                <w:sz w:val="20"/>
                <w:szCs w:val="20"/>
                <w:highlight w:val="white"/>
                <w:rtl w:val="0"/>
              </w:rPr>
              <w:t xml:space="preserve">Are perceptions of the cosmos culturally conditioned?’</w:t>
            </w:r>
            <w:r w:rsidDel="00000000" w:rsidR="00000000" w:rsidRPr="00000000">
              <w:rPr>
                <w:rtl w:val="0"/>
              </w:rPr>
            </w:r>
          </w:p>
          <w:p w:rsidR="00000000" w:rsidDel="00000000" w:rsidP="00000000" w:rsidRDefault="00000000" w:rsidRPr="00000000" w14:paraId="0000001F">
            <w:pPr>
              <w:ind w:right="40"/>
              <w:rPr/>
            </w:pPr>
            <w:r w:rsidDel="00000000" w:rsidR="00000000" w:rsidRPr="00000000">
              <w:rPr>
                <w:rtl w:val="0"/>
              </w:rPr>
              <w:t xml:space="preserve"> </w:t>
            </w:r>
          </w:p>
          <w:p w:rsidR="00000000" w:rsidDel="00000000" w:rsidP="00000000" w:rsidRDefault="00000000" w:rsidRPr="00000000" w14:paraId="00000020">
            <w:pPr>
              <w:ind w:right="40"/>
              <w:rPr/>
            </w:pPr>
            <w:r w:rsidDel="00000000" w:rsidR="00000000" w:rsidRPr="00000000">
              <w:rPr>
                <w:rtl w:val="0"/>
              </w:rPr>
              <w:t xml:space="preserve"> </w:t>
            </w:r>
          </w:p>
          <w:p w:rsidR="00000000" w:rsidDel="00000000" w:rsidP="00000000" w:rsidRDefault="00000000" w:rsidRPr="00000000" w14:paraId="00000021">
            <w:pPr>
              <w:ind w:right="40"/>
              <w:rPr/>
            </w:pPr>
            <w:r w:rsidDel="00000000" w:rsidR="00000000" w:rsidRPr="00000000">
              <w:rPr>
                <w:rtl w:val="0"/>
              </w:rPr>
              <w:t xml:space="preserve">Assignment due date: 04/01/2024</w:t>
            </w:r>
          </w:p>
        </w:tc>
      </w:tr>
      <w:tr>
        <w:trPr>
          <w:cantSplit w:val="0"/>
          <w:trHeight w:val="975" w:hRule="atLeast"/>
          <w:tblHeader w:val="0"/>
        </w:trPr>
        <w:tc>
          <w:tcPr>
            <w:gridSpan w:val="5"/>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26">
            <w:pPr>
              <w:rPr/>
            </w:pPr>
            <w:r w:rsidDel="00000000" w:rsidR="00000000" w:rsidRPr="00000000">
              <w:rPr>
                <w:rtl w:val="0"/>
              </w:rPr>
              <w:t xml:space="preserve">This assignment is for the       </w:t>
            </w:r>
            <w:r w:rsidDel="00000000" w:rsidR="00000000" w:rsidRPr="00000000">
              <w:rPr>
                <w:highlight w:val="yellow"/>
                <w:rtl w:val="0"/>
              </w:rPr>
              <w:t xml:space="preserve">1</w:t>
            </w:r>
            <w:r w:rsidDel="00000000" w:rsidR="00000000" w:rsidRPr="00000000">
              <w:rPr>
                <w:highlight w:val="yellow"/>
                <w:vertAlign w:val="superscript"/>
                <w:rtl w:val="0"/>
              </w:rPr>
              <w:t xml:space="preserve">s</w:t>
            </w:r>
            <w:r w:rsidDel="00000000" w:rsidR="00000000" w:rsidRPr="00000000">
              <w:rPr>
                <w:vertAlign w:val="superscript"/>
                <w:rtl w:val="0"/>
              </w:rPr>
              <w:t xml:space="preserve">t </w:t>
            </w:r>
            <w:r w:rsidDel="00000000" w:rsidR="00000000" w:rsidRPr="00000000">
              <w:rPr>
                <w:rtl w:val="0"/>
              </w:rPr>
              <w:t xml:space="preserve">    2</w:t>
            </w:r>
            <w:r w:rsidDel="00000000" w:rsidR="00000000" w:rsidRPr="00000000">
              <w:rPr>
                <w:vertAlign w:val="superscript"/>
                <w:rtl w:val="0"/>
              </w:rPr>
              <w:t xml:space="preserve">nd</w:t>
            </w:r>
            <w:r w:rsidDel="00000000" w:rsidR="00000000" w:rsidRPr="00000000">
              <w:rPr>
                <w:rtl w:val="0"/>
              </w:rPr>
              <w:t xml:space="preserve">       3</w:t>
            </w:r>
            <w:r w:rsidDel="00000000" w:rsidR="00000000" w:rsidRPr="00000000">
              <w:rPr>
                <w:vertAlign w:val="superscript"/>
                <w:rtl w:val="0"/>
              </w:rPr>
              <w:t xml:space="preserve">rd</w:t>
            </w:r>
            <w:r w:rsidDel="00000000" w:rsidR="00000000" w:rsidRPr="00000000">
              <w:rPr>
                <w:rtl w:val="0"/>
              </w:rPr>
              <w:t xml:space="preserve">        4</w:t>
            </w:r>
            <w:r w:rsidDel="00000000" w:rsidR="00000000" w:rsidRPr="00000000">
              <w:rPr>
                <w:vertAlign w:val="superscript"/>
                <w:rtl w:val="0"/>
              </w:rPr>
              <w:t xml:space="preserve">th</w:t>
            </w:r>
            <w:r w:rsidDel="00000000" w:rsidR="00000000" w:rsidRPr="00000000">
              <w:rPr>
                <w:rtl w:val="0"/>
              </w:rPr>
              <w:t xml:space="preserve">       5</w:t>
            </w:r>
            <w:r w:rsidDel="00000000" w:rsidR="00000000" w:rsidRPr="00000000">
              <w:rPr>
                <w:vertAlign w:val="superscript"/>
                <w:rtl w:val="0"/>
              </w:rPr>
              <w:t xml:space="preserve">th</w:t>
            </w:r>
            <w:r w:rsidDel="00000000" w:rsidR="00000000" w:rsidRPr="00000000">
              <w:rPr>
                <w:rtl w:val="0"/>
              </w:rPr>
              <w:t xml:space="preserve">       6</w:t>
            </w:r>
            <w:r w:rsidDel="00000000" w:rsidR="00000000" w:rsidRPr="00000000">
              <w:rPr>
                <w:vertAlign w:val="superscript"/>
                <w:rtl w:val="0"/>
              </w:rPr>
              <w:t xml:space="preserve">th</w:t>
            </w:r>
            <w:r w:rsidDel="00000000" w:rsidR="00000000" w:rsidRPr="00000000">
              <w:rPr>
                <w:rtl w:val="0"/>
              </w:rPr>
              <w:t xml:space="preserve"> </w:t>
            </w:r>
            <w:r w:rsidDel="00000000" w:rsidR="00000000" w:rsidRPr="00000000">
              <w:rPr>
                <w:b w:val="1"/>
                <w:rtl w:val="0"/>
              </w:rPr>
              <w:t xml:space="preserve">   </w:t>
            </w:r>
            <w:r w:rsidDel="00000000" w:rsidR="00000000" w:rsidRPr="00000000">
              <w:rPr>
                <w:rtl w:val="0"/>
              </w:rPr>
              <w:t xml:space="preserve">module of the degree</w:t>
            </w:r>
          </w:p>
        </w:tc>
      </w:tr>
      <w:tr>
        <w:trPr>
          <w:cantSplit w:val="0"/>
          <w:trHeight w:val="2085" w:hRule="atLeast"/>
          <w:tblHeader w:val="0"/>
        </w:trPr>
        <w:tc>
          <w:tcPr>
            <w:gridSpan w:val="5"/>
            <w:tcBorders>
              <w:left w:color="000000" w:space="0" w:sz="8" w:val="single"/>
              <w:bottom w:color="000000" w:space="0" w:sz="8" w:val="single"/>
              <w:right w:color="000000" w:space="0" w:sz="8" w:val="single"/>
            </w:tcBorders>
            <w:shd w:fill="d9d9d9" w:val="clear"/>
            <w:tcMar>
              <w:top w:w="0.0" w:type="dxa"/>
              <w:left w:w="100.0" w:type="dxa"/>
              <w:bottom w:w="0.0" w:type="dxa"/>
              <w:right w:w="100.0" w:type="dxa"/>
            </w:tcMar>
            <w:vAlign w:val="top"/>
          </w:tcPr>
          <w:p w:rsidR="00000000" w:rsidDel="00000000" w:rsidP="00000000" w:rsidRDefault="00000000" w:rsidRPr="00000000" w14:paraId="0000002B">
            <w:pPr>
              <w:ind w:right="40"/>
              <w:rPr/>
            </w:pPr>
            <w:r w:rsidDel="00000000" w:rsidR="00000000" w:rsidRPr="00000000">
              <w:rPr>
                <w:rtl w:val="0"/>
              </w:rPr>
              <w:t xml:space="preserve">I confirm that this is my original work and that I have adhered to the University policy on plagiarism.</w:t>
            </w:r>
          </w:p>
          <w:p w:rsidR="00000000" w:rsidDel="00000000" w:rsidP="00000000" w:rsidRDefault="00000000" w:rsidRPr="00000000" w14:paraId="0000002C">
            <w:pPr>
              <w:ind w:right="40"/>
              <w:rPr/>
            </w:pPr>
            <w:r w:rsidDel="00000000" w:rsidR="00000000" w:rsidRPr="00000000">
              <w:rPr>
                <w:rtl w:val="0"/>
              </w:rPr>
              <w:t xml:space="preserve">Signed ………</w:t>
            </w:r>
            <w:r w:rsidDel="00000000" w:rsidR="00000000" w:rsidRPr="00000000">
              <w:rPr/>
              <w:drawing>
                <wp:inline distB="114300" distT="114300" distL="114300" distR="114300">
                  <wp:extent cx="861907" cy="671781"/>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61907" cy="671781"/>
                          </a:xfrm>
                          <a:prstGeom prst="rect"/>
                          <a:ln/>
                        </pic:spPr>
                      </pic:pic>
                    </a:graphicData>
                  </a:graphic>
                </wp:inline>
              </w:drawing>
            </w:r>
            <w:r w:rsidDel="00000000" w:rsidR="00000000" w:rsidRPr="00000000">
              <w:rPr>
                <w:rtl w:val="0"/>
              </w:rPr>
              <w:t xml:space="preserve">……………………………………………………</w:t>
            </w:r>
          </w:p>
          <w:p w:rsidR="00000000" w:rsidDel="00000000" w:rsidP="00000000" w:rsidRDefault="00000000" w:rsidRPr="00000000" w14:paraId="0000002D">
            <w:pPr>
              <w:ind w:right="40"/>
              <w:rPr>
                <w:rFonts w:ascii="Calibri" w:cs="Calibri" w:eastAsia="Calibri" w:hAnsi="Calibri"/>
                <w:b w:val="1"/>
                <w:sz w:val="44"/>
                <w:szCs w:val="44"/>
              </w:rPr>
            </w:pPr>
            <w:r w:rsidDel="00000000" w:rsidR="00000000" w:rsidRPr="00000000">
              <w:rPr>
                <w:rFonts w:ascii="Calibri" w:cs="Calibri" w:eastAsia="Calibri" w:hAnsi="Calibri"/>
                <w:b w:val="1"/>
                <w:sz w:val="24"/>
                <w:szCs w:val="24"/>
                <w:rtl w:val="0"/>
              </w:rPr>
              <w:t xml:space="preserve">Email submission:if you are submitting this form via email, please tick this box </w:t>
            </w:r>
            <w:r w:rsidDel="00000000" w:rsidR="00000000" w:rsidRPr="00000000">
              <w:rPr>
                <w:rFonts w:ascii="Calibri" w:cs="Calibri" w:eastAsia="Calibri" w:hAnsi="Calibri"/>
                <w:b w:val="1"/>
                <w:sz w:val="44"/>
                <w:szCs w:val="44"/>
                <w:rtl w:val="0"/>
              </w:rPr>
              <w:t xml:space="preserve">□</w:t>
            </w:r>
          </w:p>
          <w:p w:rsidR="00000000" w:rsidDel="00000000" w:rsidP="00000000" w:rsidRDefault="00000000" w:rsidRPr="00000000" w14:paraId="0000002E">
            <w:pPr>
              <w:ind w:right="4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(as a substitute for your signature) to confirm that you agree to the above declaration.</w:t>
            </w:r>
          </w:p>
        </w:tc>
      </w:tr>
      <w:tr>
        <w:trPr>
          <w:cantSplit w:val="0"/>
          <w:trHeight w:val="5565" w:hRule="atLeast"/>
          <w:tblHeader w:val="0"/>
        </w:trPr>
        <w:tc>
          <w:tcPr>
            <w:gridSpan w:val="5"/>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33">
            <w:pP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34">
            <w:pPr>
              <w:rPr>
                <w:b w:val="1"/>
                <w:sz w:val="24"/>
                <w:szCs w:val="24"/>
              </w:rPr>
            </w:pPr>
            <w:r w:rsidDel="00000000" w:rsidR="00000000" w:rsidRPr="00000000">
              <w:rPr>
                <w:b w:val="1"/>
                <w:sz w:val="24"/>
                <w:szCs w:val="24"/>
                <w:rtl w:val="0"/>
              </w:rPr>
              <w:t xml:space="preserve">Assignment Mark</w:t>
            </w:r>
          </w:p>
          <w:tbl>
            <w:tblPr>
              <w:tblStyle w:val="Table2"/>
              <w:tblW w:w="4134.866872517345"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3282.0953684799724"/>
              <w:gridCol w:w="852.7715040373728"/>
              <w:tblGridChange w:id="0">
                <w:tblGrid>
                  <w:gridCol w:w="3282.0953684799724"/>
                  <w:gridCol w:w="852.7715040373728"/>
                </w:tblGrid>
              </w:tblGridChange>
            </w:tblGrid>
            <w:tr>
              <w:trPr>
                <w:cantSplit w:val="0"/>
                <w:trHeight w:val="510"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35">
                  <w:pPr>
                    <w:rPr>
                      <w:sz w:val="20"/>
                      <w:szCs w:val="20"/>
                    </w:rPr>
                  </w:pPr>
                  <w:r w:rsidDel="00000000" w:rsidR="00000000" w:rsidRPr="00000000">
                    <w:rPr>
                      <w:sz w:val="20"/>
                      <w:szCs w:val="20"/>
                      <w:rtl w:val="0"/>
                    </w:rPr>
                    <w:t xml:space="preserve"> </w:t>
                  </w:r>
                </w:p>
                <w:p w:rsidR="00000000" w:rsidDel="00000000" w:rsidP="00000000" w:rsidRDefault="00000000" w:rsidRPr="00000000" w14:paraId="00000036">
                  <w:pPr>
                    <w:rPr>
                      <w:sz w:val="20"/>
                      <w:szCs w:val="20"/>
                    </w:rPr>
                  </w:pPr>
                  <w:r w:rsidDel="00000000" w:rsidR="00000000" w:rsidRPr="00000000">
                    <w:rPr>
                      <w:sz w:val="20"/>
                      <w:szCs w:val="20"/>
                      <w:rtl w:val="0"/>
                    </w:rPr>
                    <w:t xml:space="preserve">1</w:t>
                  </w:r>
                  <w:r w:rsidDel="00000000" w:rsidR="00000000" w:rsidRPr="00000000">
                    <w:rPr>
                      <w:sz w:val="20"/>
                      <w:szCs w:val="20"/>
                      <w:vertAlign w:val="superscript"/>
                      <w:rtl w:val="0"/>
                    </w:rPr>
                    <w:t xml:space="preserve">st</w:t>
                  </w:r>
                  <w:r w:rsidDel="00000000" w:rsidR="00000000" w:rsidRPr="00000000">
                    <w:rPr>
                      <w:sz w:val="20"/>
                      <w:szCs w:val="20"/>
                      <w:rtl w:val="0"/>
                    </w:rPr>
                    <w:t xml:space="preserve"> Marker’s Provisional mark</w:t>
                  </w:r>
                </w:p>
              </w:tc>
              <w:tc>
                <w:tcPr>
                  <w:tcBorders>
                    <w:top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37">
                  <w:pPr>
                    <w:rPr>
                      <w:sz w:val="20"/>
                      <w:szCs w:val="20"/>
                    </w:rPr>
                  </w:pPr>
                  <w:r w:rsidDel="00000000" w:rsidR="00000000" w:rsidRPr="00000000">
                    <w:rPr>
                      <w:sz w:val="20"/>
                      <w:szCs w:val="20"/>
                      <w:rtl w:val="0"/>
                    </w:rPr>
                    <w:t xml:space="preserve"> </w:t>
                  </w:r>
                </w:p>
              </w:tc>
            </w:tr>
            <w:tr>
              <w:trPr>
                <w:cantSplit w:val="0"/>
                <w:trHeight w:val="510" w:hRule="atLeast"/>
                <w:tblHeader w:val="0"/>
              </w:trPr>
              <w:tc>
                <w:tcPr>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38">
                  <w:pPr>
                    <w:rPr>
                      <w:sz w:val="20"/>
                      <w:szCs w:val="20"/>
                    </w:rPr>
                  </w:pPr>
                  <w:r w:rsidDel="00000000" w:rsidR="00000000" w:rsidRPr="00000000">
                    <w:rPr>
                      <w:sz w:val="20"/>
                      <w:szCs w:val="20"/>
                      <w:rtl w:val="0"/>
                    </w:rPr>
                    <w:t xml:space="preserve"> </w:t>
                  </w:r>
                </w:p>
                <w:p w:rsidR="00000000" w:rsidDel="00000000" w:rsidP="00000000" w:rsidRDefault="00000000" w:rsidRPr="00000000" w14:paraId="00000039">
                  <w:pPr>
                    <w:rPr>
                      <w:sz w:val="20"/>
                      <w:szCs w:val="20"/>
                    </w:rPr>
                  </w:pPr>
                  <w:r w:rsidDel="00000000" w:rsidR="00000000" w:rsidRPr="00000000">
                    <w:rPr>
                      <w:sz w:val="20"/>
                      <w:szCs w:val="20"/>
                      <w:rtl w:val="0"/>
                    </w:rPr>
                    <w:t xml:space="preserve">2</w:t>
                  </w:r>
                  <w:r w:rsidDel="00000000" w:rsidR="00000000" w:rsidRPr="00000000">
                    <w:rPr>
                      <w:sz w:val="20"/>
                      <w:szCs w:val="20"/>
                      <w:vertAlign w:val="superscript"/>
                      <w:rtl w:val="0"/>
                    </w:rPr>
                    <w:t xml:space="preserve">nd</w:t>
                  </w:r>
                  <w:r w:rsidDel="00000000" w:rsidR="00000000" w:rsidRPr="00000000">
                    <w:rPr>
                      <w:sz w:val="20"/>
                      <w:szCs w:val="20"/>
                      <w:rtl w:val="0"/>
                    </w:rPr>
                    <w:t xml:space="preserve"> Marker’s/Moderator’s provisional mark</w:t>
                  </w:r>
                </w:p>
              </w:tc>
              <w:tc>
                <w:tcPr>
                  <w:tcBorders>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3A">
                  <w:pPr>
                    <w:rPr>
                      <w:sz w:val="20"/>
                      <w:szCs w:val="20"/>
                    </w:rPr>
                  </w:pPr>
                  <w:r w:rsidDel="00000000" w:rsidR="00000000" w:rsidRPr="00000000">
                    <w:rPr>
                      <w:sz w:val="20"/>
                      <w:szCs w:val="20"/>
                      <w:rtl w:val="0"/>
                    </w:rPr>
                    <w:t xml:space="preserve"> </w:t>
                  </w:r>
                </w:p>
              </w:tc>
            </w:tr>
            <w:tr>
              <w:trPr>
                <w:cantSplit w:val="0"/>
                <w:trHeight w:val="435" w:hRule="atLeast"/>
                <w:tblHeader w:val="0"/>
              </w:trPr>
              <w:tc>
                <w:tcPr>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3B">
                  <w:pPr>
                    <w:rPr>
                      <w:sz w:val="20"/>
                      <w:szCs w:val="20"/>
                    </w:rPr>
                  </w:pPr>
                  <w:r w:rsidDel="00000000" w:rsidR="00000000" w:rsidRPr="00000000">
                    <w:rPr>
                      <w:sz w:val="20"/>
                      <w:szCs w:val="20"/>
                      <w:rtl w:val="0"/>
                    </w:rPr>
                    <w:t xml:space="preserve"> </w:t>
                  </w:r>
                </w:p>
                <w:p w:rsidR="00000000" w:rsidDel="00000000" w:rsidP="00000000" w:rsidRDefault="00000000" w:rsidRPr="00000000" w14:paraId="0000003C">
                  <w:pPr>
                    <w:rPr>
                      <w:sz w:val="20"/>
                      <w:szCs w:val="20"/>
                    </w:rPr>
                  </w:pPr>
                  <w:r w:rsidDel="00000000" w:rsidR="00000000" w:rsidRPr="00000000">
                    <w:rPr>
                      <w:sz w:val="20"/>
                      <w:szCs w:val="20"/>
                      <w:rtl w:val="0"/>
                    </w:rPr>
                    <w:t xml:space="preserve">External Examiner’s mark (if relevant)</w:t>
                  </w:r>
                </w:p>
              </w:tc>
              <w:tc>
                <w:tcPr>
                  <w:tcBorders>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3D">
                  <w:pPr>
                    <w:rPr>
                      <w:sz w:val="20"/>
                      <w:szCs w:val="20"/>
                    </w:rPr>
                  </w:pPr>
                  <w:r w:rsidDel="00000000" w:rsidR="00000000" w:rsidRPr="00000000">
                    <w:rPr>
                      <w:sz w:val="20"/>
                      <w:szCs w:val="20"/>
                      <w:rtl w:val="0"/>
                    </w:rPr>
                    <w:t xml:space="preserve"> </w:t>
                  </w:r>
                </w:p>
              </w:tc>
            </w:tr>
            <w:tr>
              <w:trPr>
                <w:cantSplit w:val="0"/>
                <w:trHeight w:val="660" w:hRule="atLeast"/>
                <w:tblHeader w:val="0"/>
              </w:trPr>
              <w:tc>
                <w:tcPr>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3E">
                  <w:pPr>
                    <w:rPr>
                      <w:sz w:val="20"/>
                      <w:szCs w:val="20"/>
                    </w:rPr>
                  </w:pPr>
                  <w:r w:rsidDel="00000000" w:rsidR="00000000" w:rsidRPr="00000000">
                    <w:rPr>
                      <w:sz w:val="20"/>
                      <w:szCs w:val="20"/>
                      <w:rtl w:val="0"/>
                    </w:rPr>
                    <w:t xml:space="preserve"> </w:t>
                  </w:r>
                </w:p>
                <w:p w:rsidR="00000000" w:rsidDel="00000000" w:rsidP="00000000" w:rsidRDefault="00000000" w:rsidRPr="00000000" w14:paraId="0000003F">
                  <w:pPr>
                    <w:rPr>
                      <w:b w:val="1"/>
                      <w:sz w:val="20"/>
                      <w:szCs w:val="20"/>
                    </w:rPr>
                  </w:pPr>
                  <w:r w:rsidDel="00000000" w:rsidR="00000000" w:rsidRPr="00000000">
                    <w:rPr>
                      <w:b w:val="1"/>
                      <w:sz w:val="20"/>
                      <w:szCs w:val="20"/>
                      <w:rtl w:val="0"/>
                    </w:rPr>
                    <w:t xml:space="preserve">Final Mark</w:t>
                  </w:r>
                </w:p>
                <w:p w:rsidR="00000000" w:rsidDel="00000000" w:rsidP="00000000" w:rsidRDefault="00000000" w:rsidRPr="00000000" w14:paraId="00000040">
                  <w:pPr>
                    <w:rPr>
                      <w:sz w:val="20"/>
                      <w:szCs w:val="20"/>
                    </w:rPr>
                  </w:pPr>
                  <w:r w:rsidDel="00000000" w:rsidR="00000000" w:rsidRPr="00000000">
                    <w:rPr>
                      <w:sz w:val="20"/>
                      <w:szCs w:val="20"/>
                      <w:rtl w:val="0"/>
                    </w:rPr>
                    <w:t xml:space="preserve"> </w:t>
                  </w:r>
                </w:p>
              </w:tc>
              <w:tc>
                <w:tcPr>
                  <w:tcBorders>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41">
                  <w:pPr>
                    <w:rPr>
                      <w:sz w:val="20"/>
                      <w:szCs w:val="20"/>
                    </w:rPr>
                  </w:pPr>
                  <w:r w:rsidDel="00000000" w:rsidR="00000000" w:rsidRPr="00000000">
                    <w:rPr>
                      <w:sz w:val="20"/>
                      <w:szCs w:val="20"/>
                      <w:rtl w:val="0"/>
                    </w:rPr>
                    <w:t xml:space="preserve"> </w:t>
                  </w:r>
                </w:p>
              </w:tc>
            </w:tr>
          </w:tbl>
          <w:p w:rsidR="00000000" w:rsidDel="00000000" w:rsidP="00000000" w:rsidRDefault="00000000" w:rsidRPr="00000000" w14:paraId="00000042">
            <w:pPr>
              <w:ind w:left="140" w:right="40" w:firstLine="0"/>
              <w:rPr>
                <w:b w:val="1"/>
              </w:rPr>
            </w:pPr>
            <w:r w:rsidDel="00000000" w:rsidR="00000000" w:rsidRPr="00000000">
              <w:rPr>
                <w:b w:val="1"/>
                <w:rtl w:val="0"/>
              </w:rPr>
              <w:t xml:space="preserve"> </w:t>
            </w:r>
          </w:p>
          <w:p w:rsidR="00000000" w:rsidDel="00000000" w:rsidP="00000000" w:rsidRDefault="00000000" w:rsidRPr="00000000" w14:paraId="00000043">
            <w:pPr>
              <w:ind w:left="140" w:right="40" w:firstLine="0"/>
              <w:rPr/>
            </w:pPr>
            <w:r w:rsidDel="00000000" w:rsidR="00000000" w:rsidRPr="00000000">
              <w:rPr>
                <w:b w:val="1"/>
                <w:rtl w:val="0"/>
              </w:rPr>
              <w:t xml:space="preserve">NB.</w:t>
            </w:r>
            <w:r w:rsidDel="00000000" w:rsidR="00000000" w:rsidRPr="00000000">
              <w:rPr>
                <w:rtl w:val="0"/>
              </w:rPr>
              <w:t xml:space="preserve">  All marks are provisional until confirmed by the Final Examination Board.</w:t>
            </w:r>
          </w:p>
          <w:p w:rsidR="00000000" w:rsidDel="00000000" w:rsidP="00000000" w:rsidRDefault="00000000" w:rsidRPr="00000000" w14:paraId="00000044">
            <w:pPr>
              <w:rPr>
                <w:b w:val="1"/>
              </w:rPr>
            </w:pPr>
            <w:r w:rsidDel="00000000" w:rsidR="00000000" w:rsidRPr="00000000">
              <w:rPr>
                <w:b w:val="1"/>
                <w:rtl w:val="0"/>
              </w:rPr>
              <w:t xml:space="preserve"> </w:t>
            </w:r>
          </w:p>
          <w:p w:rsidR="00000000" w:rsidDel="00000000" w:rsidP="00000000" w:rsidRDefault="00000000" w:rsidRPr="00000000" w14:paraId="00000045">
            <w:pPr>
              <w:rPr>
                <w:b w:val="1"/>
              </w:rPr>
            </w:pPr>
            <w:r w:rsidDel="00000000" w:rsidR="00000000" w:rsidRPr="00000000">
              <w:rPr>
                <w:b w:val="1"/>
                <w:rtl w:val="0"/>
              </w:rPr>
              <w:t xml:space="preserve"> </w:t>
            </w:r>
          </w:p>
          <w:p w:rsidR="00000000" w:rsidDel="00000000" w:rsidP="00000000" w:rsidRDefault="00000000" w:rsidRPr="00000000" w14:paraId="00000046">
            <w:pPr>
              <w:rPr>
                <w:b w:val="1"/>
              </w:rPr>
            </w:pPr>
            <w:r w:rsidDel="00000000" w:rsidR="00000000" w:rsidRPr="00000000">
              <w:rPr>
                <w:b w:val="1"/>
                <w:rtl w:val="0"/>
              </w:rPr>
              <w:t xml:space="preserve"> </w:t>
            </w:r>
          </w:p>
          <w:p w:rsidR="00000000" w:rsidDel="00000000" w:rsidP="00000000" w:rsidRDefault="00000000" w:rsidRPr="00000000" w14:paraId="00000047">
            <w:pPr>
              <w:rPr>
                <w:b w:val="1"/>
              </w:rPr>
            </w:pPr>
            <w:r w:rsidDel="00000000" w:rsidR="00000000" w:rsidRPr="00000000">
              <w:rPr>
                <w:b w:val="1"/>
                <w:rtl w:val="0"/>
              </w:rPr>
              <w:t xml:space="preserve"> </w:t>
            </w:r>
          </w:p>
          <w:p w:rsidR="00000000" w:rsidDel="00000000" w:rsidP="00000000" w:rsidRDefault="00000000" w:rsidRPr="00000000" w14:paraId="00000048">
            <w:pPr>
              <w:rPr>
                <w:b w:val="1"/>
              </w:rPr>
            </w:pPr>
            <w:r w:rsidDel="00000000" w:rsidR="00000000" w:rsidRPr="00000000">
              <w:rPr>
                <w:b w:val="1"/>
                <w:rtl w:val="0"/>
              </w:rPr>
              <w:t xml:space="preserve"> </w:t>
            </w:r>
          </w:p>
          <w:p w:rsidR="00000000" w:rsidDel="00000000" w:rsidP="00000000" w:rsidRDefault="00000000" w:rsidRPr="00000000" w14:paraId="00000049">
            <w:pPr>
              <w:rPr>
                <w:b w:val="1"/>
              </w:rPr>
            </w:pPr>
            <w:r w:rsidDel="00000000" w:rsidR="00000000" w:rsidRPr="00000000">
              <w:rPr>
                <w:b w:val="1"/>
                <w:rtl w:val="0"/>
              </w:rPr>
              <w:t xml:space="preserve">For completion by Marker 1 :</w:t>
            </w:r>
          </w:p>
          <w:p w:rsidR="00000000" w:rsidDel="00000000" w:rsidP="00000000" w:rsidRDefault="00000000" w:rsidRPr="00000000" w14:paraId="0000004A">
            <w:pPr>
              <w:spacing w:after="220" w:before="220" w:lineRule="auto"/>
              <w:rPr/>
            </w:pPr>
            <w:r w:rsidDel="00000000" w:rsidR="00000000" w:rsidRPr="00000000">
              <w:rPr>
                <w:rtl w:val="0"/>
              </w:rPr>
              <w:t xml:space="preserve">Comments:</w:t>
            </w:r>
          </w:p>
          <w:p w:rsidR="00000000" w:rsidDel="00000000" w:rsidP="00000000" w:rsidRDefault="00000000" w:rsidRPr="00000000" w14:paraId="0000004B">
            <w:pPr>
              <w:spacing w:after="220" w:before="220" w:lineRule="auto"/>
              <w:rPr/>
            </w:pPr>
            <w:r w:rsidDel="00000000" w:rsidR="00000000" w:rsidRPr="00000000">
              <w:rPr>
                <w:rtl w:val="0"/>
              </w:rPr>
              <w:t xml:space="preserve"> </w:t>
            </w:r>
          </w:p>
        </w:tc>
      </w:tr>
      <w:tr>
        <w:trPr>
          <w:cantSplit w:val="0"/>
          <w:trHeight w:val="495" w:hRule="atLeast"/>
          <w:tblHeader w:val="0"/>
        </w:trPr>
        <w:tc>
          <w:tcPr>
            <w:gridSpan w:val="3"/>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50">
            <w:pPr>
              <w:spacing w:after="100" w:before="100" w:lineRule="auto"/>
              <w:ind w:left="140" w:right="40" w:firstLine="0"/>
              <w:rPr/>
            </w:pPr>
            <w:r w:rsidDel="00000000" w:rsidR="00000000" w:rsidRPr="00000000">
              <w:rPr>
                <w:rtl w:val="0"/>
              </w:rPr>
              <w:t xml:space="preserve">Marker’s signature:</w:t>
            </w:r>
          </w:p>
        </w:tc>
        <w:tc>
          <w:tcPr>
            <w:gridSpan w:val="2"/>
            <w:tcBorders>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53">
            <w:pPr>
              <w:spacing w:before="100" w:lineRule="auto"/>
              <w:ind w:left="140" w:right="40" w:firstLine="0"/>
              <w:rPr/>
            </w:pPr>
            <w:r w:rsidDel="00000000" w:rsidR="00000000" w:rsidRPr="00000000">
              <w:rPr>
                <w:rtl w:val="0"/>
              </w:rPr>
              <w:t xml:space="preserve">Date:</w:t>
            </w:r>
          </w:p>
        </w:tc>
      </w:tr>
      <w:tr>
        <w:trPr>
          <w:cantSplit w:val="0"/>
          <w:trHeight w:val="3975" w:hRule="atLeast"/>
          <w:tblHeader w:val="0"/>
        </w:trPr>
        <w:tc>
          <w:tcPr>
            <w:gridSpan w:val="5"/>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55">
            <w:pPr>
              <w:ind w:right="-340"/>
              <w:rPr>
                <w:i w:val="1"/>
              </w:rPr>
            </w:pPr>
            <w:r w:rsidDel="00000000" w:rsidR="00000000" w:rsidRPr="00000000">
              <w:rPr>
                <w:i w:val="1"/>
                <w:rtl w:val="0"/>
              </w:rPr>
              <w:t xml:space="preserve"> </w:t>
            </w:r>
          </w:p>
          <w:p w:rsidR="00000000" w:rsidDel="00000000" w:rsidP="00000000" w:rsidRDefault="00000000" w:rsidRPr="00000000" w14:paraId="00000056">
            <w:pPr>
              <w:ind w:right="-340"/>
              <w:rPr>
                <w:b w:val="1"/>
              </w:rPr>
            </w:pPr>
            <w:r w:rsidDel="00000000" w:rsidR="00000000" w:rsidRPr="00000000">
              <w:rPr>
                <w:b w:val="1"/>
                <w:rtl w:val="0"/>
              </w:rPr>
              <w:t xml:space="preserve">For completion by Marker 2/Moderator:</w:t>
            </w:r>
          </w:p>
          <w:p w:rsidR="00000000" w:rsidDel="00000000" w:rsidP="00000000" w:rsidRDefault="00000000" w:rsidRPr="00000000" w14:paraId="00000057">
            <w:pPr>
              <w:ind w:right="-340"/>
              <w:rPr>
                <w:b w:val="1"/>
              </w:rPr>
            </w:pPr>
            <w:r w:rsidDel="00000000" w:rsidR="00000000" w:rsidRPr="00000000">
              <w:rPr>
                <w:b w:val="1"/>
                <w:rtl w:val="0"/>
              </w:rPr>
              <w:t xml:space="preserve"> </w:t>
            </w:r>
          </w:p>
          <w:p w:rsidR="00000000" w:rsidDel="00000000" w:rsidP="00000000" w:rsidRDefault="00000000" w:rsidRPr="00000000" w14:paraId="00000058">
            <w:pPr>
              <w:ind w:right="-340"/>
              <w:rPr/>
            </w:pPr>
            <w:r w:rsidDel="00000000" w:rsidR="00000000" w:rsidRPr="00000000">
              <w:rPr>
                <w:rtl w:val="0"/>
              </w:rPr>
              <w:t xml:space="preserve">Comments:</w:t>
            </w:r>
          </w:p>
          <w:p w:rsidR="00000000" w:rsidDel="00000000" w:rsidP="00000000" w:rsidRDefault="00000000" w:rsidRPr="00000000" w14:paraId="00000059">
            <w:pPr>
              <w:ind w:right="-340"/>
              <w:rPr/>
            </w:pPr>
            <w:r w:rsidDel="00000000" w:rsidR="00000000" w:rsidRPr="00000000">
              <w:rPr>
                <w:rtl w:val="0"/>
              </w:rPr>
              <w:t xml:space="preserve"> </w:t>
            </w:r>
          </w:p>
          <w:p w:rsidR="00000000" w:rsidDel="00000000" w:rsidP="00000000" w:rsidRDefault="00000000" w:rsidRPr="00000000" w14:paraId="0000005A">
            <w:pPr>
              <w:ind w:right="-340"/>
              <w:rPr/>
            </w:pPr>
            <w:r w:rsidDel="00000000" w:rsidR="00000000" w:rsidRPr="00000000">
              <w:rPr>
                <w:rtl w:val="0"/>
              </w:rPr>
              <w:t xml:space="preserve"> </w:t>
            </w:r>
          </w:p>
          <w:p w:rsidR="00000000" w:rsidDel="00000000" w:rsidP="00000000" w:rsidRDefault="00000000" w:rsidRPr="00000000" w14:paraId="0000005B">
            <w:pPr>
              <w:ind w:right="-340"/>
              <w:rPr/>
            </w:pPr>
            <w:r w:rsidDel="00000000" w:rsidR="00000000" w:rsidRPr="00000000">
              <w:rPr>
                <w:rtl w:val="0"/>
              </w:rPr>
              <w:t xml:space="preserve"> </w:t>
            </w:r>
          </w:p>
          <w:p w:rsidR="00000000" w:rsidDel="00000000" w:rsidP="00000000" w:rsidRDefault="00000000" w:rsidRPr="00000000" w14:paraId="0000005C">
            <w:pPr>
              <w:ind w:right="-340"/>
              <w:rPr/>
            </w:pPr>
            <w:r w:rsidDel="00000000" w:rsidR="00000000" w:rsidRPr="00000000">
              <w:rPr>
                <w:rtl w:val="0"/>
              </w:rPr>
              <w:t xml:space="preserve"> </w:t>
            </w:r>
          </w:p>
          <w:p w:rsidR="00000000" w:rsidDel="00000000" w:rsidP="00000000" w:rsidRDefault="00000000" w:rsidRPr="00000000" w14:paraId="0000005D">
            <w:pPr>
              <w:ind w:right="-340"/>
              <w:rPr/>
            </w:pPr>
            <w:r w:rsidDel="00000000" w:rsidR="00000000" w:rsidRPr="00000000">
              <w:rPr>
                <w:rtl w:val="0"/>
              </w:rPr>
              <w:t xml:space="preserve"> </w:t>
            </w:r>
          </w:p>
          <w:p w:rsidR="00000000" w:rsidDel="00000000" w:rsidP="00000000" w:rsidRDefault="00000000" w:rsidRPr="00000000" w14:paraId="0000005E">
            <w:pPr>
              <w:ind w:right="-340"/>
              <w:rPr/>
            </w:pPr>
            <w:r w:rsidDel="00000000" w:rsidR="00000000" w:rsidRPr="00000000">
              <w:rPr>
                <w:rtl w:val="0"/>
              </w:rPr>
              <w:t xml:space="preserve"> </w:t>
            </w:r>
          </w:p>
          <w:p w:rsidR="00000000" w:rsidDel="00000000" w:rsidP="00000000" w:rsidRDefault="00000000" w:rsidRPr="00000000" w14:paraId="0000005F">
            <w:pPr>
              <w:ind w:right="-340"/>
              <w:rPr/>
            </w:pPr>
            <w:r w:rsidDel="00000000" w:rsidR="00000000" w:rsidRPr="00000000">
              <w:rPr>
                <w:rtl w:val="0"/>
              </w:rPr>
              <w:t xml:space="preserve"> </w:t>
            </w:r>
          </w:p>
          <w:p w:rsidR="00000000" w:rsidDel="00000000" w:rsidP="00000000" w:rsidRDefault="00000000" w:rsidRPr="00000000" w14:paraId="00000060">
            <w:pPr>
              <w:ind w:right="-340"/>
              <w:rPr/>
            </w:pPr>
            <w:r w:rsidDel="00000000" w:rsidR="00000000" w:rsidRPr="00000000">
              <w:rPr>
                <w:rtl w:val="0"/>
              </w:rPr>
              <w:t xml:space="preserve"> </w:t>
            </w:r>
          </w:p>
          <w:p w:rsidR="00000000" w:rsidDel="00000000" w:rsidP="00000000" w:rsidRDefault="00000000" w:rsidRPr="00000000" w14:paraId="00000061">
            <w:pPr>
              <w:ind w:right="-340"/>
              <w:rPr/>
            </w:pPr>
            <w:r w:rsidDel="00000000" w:rsidR="00000000" w:rsidRPr="00000000">
              <w:rPr>
                <w:rtl w:val="0"/>
              </w:rPr>
              <w:t xml:space="preserve"> </w:t>
            </w:r>
          </w:p>
          <w:p w:rsidR="00000000" w:rsidDel="00000000" w:rsidP="00000000" w:rsidRDefault="00000000" w:rsidRPr="00000000" w14:paraId="00000062">
            <w:pPr>
              <w:ind w:right="-340"/>
              <w:rPr/>
            </w:pPr>
            <w:r w:rsidDel="00000000" w:rsidR="00000000" w:rsidRPr="00000000">
              <w:rPr>
                <w:rtl w:val="0"/>
              </w:rPr>
              <w:t xml:space="preserve"> </w:t>
            </w:r>
          </w:p>
          <w:p w:rsidR="00000000" w:rsidDel="00000000" w:rsidP="00000000" w:rsidRDefault="00000000" w:rsidRPr="00000000" w14:paraId="00000063">
            <w:pPr>
              <w:ind w:right="-340"/>
              <w:rPr/>
            </w:pPr>
            <w:r w:rsidDel="00000000" w:rsidR="00000000" w:rsidRPr="00000000">
              <w:rPr>
                <w:rtl w:val="0"/>
              </w:rPr>
              <w:t xml:space="preserve"> </w:t>
            </w:r>
          </w:p>
          <w:p w:rsidR="00000000" w:rsidDel="00000000" w:rsidP="00000000" w:rsidRDefault="00000000" w:rsidRPr="00000000" w14:paraId="00000064">
            <w:pPr>
              <w:ind w:right="-340"/>
              <w:rPr/>
            </w:pPr>
            <w:r w:rsidDel="00000000" w:rsidR="00000000" w:rsidRPr="00000000">
              <w:rPr>
                <w:rtl w:val="0"/>
              </w:rPr>
              <w:t xml:space="preserve"> </w:t>
            </w:r>
          </w:p>
        </w:tc>
      </w:tr>
      <w:tr>
        <w:trPr>
          <w:cantSplit w:val="0"/>
          <w:trHeight w:val="720" w:hRule="atLeast"/>
          <w:tblHeader w:val="0"/>
        </w:trPr>
        <w:tc>
          <w:tcPr>
            <w:gridSpan w:val="2"/>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69">
            <w:pPr>
              <w:ind w:right="-340"/>
              <w:rPr/>
            </w:pPr>
            <w:r w:rsidDel="00000000" w:rsidR="00000000" w:rsidRPr="00000000">
              <w:rPr>
                <w:rtl w:val="0"/>
              </w:rPr>
              <w:t xml:space="preserve">Marker’s Signature:</w:t>
            </w:r>
          </w:p>
        </w:tc>
        <w:tc>
          <w:tcPr>
            <w:gridSpan w:val="3"/>
            <w:tcBorders>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6B">
            <w:pPr>
              <w:ind w:right="-340"/>
              <w:rPr/>
            </w:pPr>
            <w:r w:rsidDel="00000000" w:rsidR="00000000" w:rsidRPr="00000000">
              <w:rPr>
                <w:rtl w:val="0"/>
              </w:rPr>
              <w:t xml:space="preserve">Date:</w:t>
            </w:r>
          </w:p>
        </w:tc>
      </w:tr>
      <w:tr>
        <w:trPr>
          <w:cantSplit w:val="0"/>
          <w:trHeight w:val="2985" w:hRule="atLeast"/>
          <w:tblHeader w:val="0"/>
        </w:trPr>
        <w:tc>
          <w:tcPr>
            <w:gridSpan w:val="5"/>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6E">
            <w:pPr>
              <w:rPr>
                <w:b w:val="1"/>
              </w:rPr>
            </w:pPr>
            <w:r w:rsidDel="00000000" w:rsidR="00000000" w:rsidRPr="00000000">
              <w:rPr>
                <w:b w:val="1"/>
                <w:rtl w:val="0"/>
              </w:rPr>
              <w:t xml:space="preserve">External Examiner’s comments (if relevant)</w:t>
            </w:r>
          </w:p>
          <w:p w:rsidR="00000000" w:rsidDel="00000000" w:rsidP="00000000" w:rsidRDefault="00000000" w:rsidRPr="00000000" w14:paraId="0000006F">
            <w:pPr>
              <w:ind w:right="-340"/>
              <w:rPr/>
            </w:pPr>
            <w:r w:rsidDel="00000000" w:rsidR="00000000" w:rsidRPr="00000000">
              <w:rPr>
                <w:rtl w:val="0"/>
              </w:rPr>
              <w:t xml:space="preserve"> </w:t>
            </w:r>
          </w:p>
          <w:p w:rsidR="00000000" w:rsidDel="00000000" w:rsidP="00000000" w:rsidRDefault="00000000" w:rsidRPr="00000000" w14:paraId="00000070">
            <w:pPr>
              <w:ind w:right="-340"/>
              <w:rPr/>
            </w:pPr>
            <w:r w:rsidDel="00000000" w:rsidR="00000000" w:rsidRPr="00000000">
              <w:rPr>
                <w:rtl w:val="0"/>
              </w:rPr>
              <w:t xml:space="preserve"> </w:t>
            </w:r>
          </w:p>
          <w:p w:rsidR="00000000" w:rsidDel="00000000" w:rsidP="00000000" w:rsidRDefault="00000000" w:rsidRPr="00000000" w14:paraId="00000071">
            <w:pPr>
              <w:ind w:right="-340"/>
              <w:rPr/>
            </w:pPr>
            <w:r w:rsidDel="00000000" w:rsidR="00000000" w:rsidRPr="00000000">
              <w:rPr>
                <w:rtl w:val="0"/>
              </w:rPr>
              <w:t xml:space="preserve"> </w:t>
            </w:r>
          </w:p>
          <w:p w:rsidR="00000000" w:rsidDel="00000000" w:rsidP="00000000" w:rsidRDefault="00000000" w:rsidRPr="00000000" w14:paraId="00000072">
            <w:pPr>
              <w:ind w:right="-340"/>
              <w:rPr/>
            </w:pPr>
            <w:r w:rsidDel="00000000" w:rsidR="00000000" w:rsidRPr="00000000">
              <w:rPr>
                <w:rtl w:val="0"/>
              </w:rPr>
              <w:t xml:space="preserve"> </w:t>
            </w:r>
          </w:p>
          <w:p w:rsidR="00000000" w:rsidDel="00000000" w:rsidP="00000000" w:rsidRDefault="00000000" w:rsidRPr="00000000" w14:paraId="00000073">
            <w:pPr>
              <w:ind w:right="-340"/>
              <w:rPr/>
            </w:pPr>
            <w:r w:rsidDel="00000000" w:rsidR="00000000" w:rsidRPr="00000000">
              <w:rPr>
                <w:rtl w:val="0"/>
              </w:rPr>
              <w:t xml:space="preserve"> </w:t>
            </w:r>
          </w:p>
          <w:p w:rsidR="00000000" w:rsidDel="00000000" w:rsidP="00000000" w:rsidRDefault="00000000" w:rsidRPr="00000000" w14:paraId="00000074">
            <w:pPr>
              <w:ind w:right="-340"/>
              <w:rPr/>
            </w:pPr>
            <w:r w:rsidDel="00000000" w:rsidR="00000000" w:rsidRPr="00000000">
              <w:rPr>
                <w:rtl w:val="0"/>
              </w:rPr>
              <w:t xml:space="preserve"> </w:t>
            </w:r>
          </w:p>
          <w:p w:rsidR="00000000" w:rsidDel="00000000" w:rsidP="00000000" w:rsidRDefault="00000000" w:rsidRPr="00000000" w14:paraId="00000075">
            <w:pPr>
              <w:ind w:right="-340"/>
              <w:rPr/>
            </w:pPr>
            <w:r w:rsidDel="00000000" w:rsidR="00000000" w:rsidRPr="00000000">
              <w:rPr>
                <w:rtl w:val="0"/>
              </w:rPr>
              <w:t xml:space="preserve"> </w:t>
            </w:r>
          </w:p>
          <w:p w:rsidR="00000000" w:rsidDel="00000000" w:rsidP="00000000" w:rsidRDefault="00000000" w:rsidRPr="00000000" w14:paraId="00000076">
            <w:pPr>
              <w:ind w:right="-340"/>
              <w:rPr/>
            </w:pPr>
            <w:r w:rsidDel="00000000" w:rsidR="00000000" w:rsidRPr="00000000">
              <w:rPr>
                <w:rtl w:val="0"/>
              </w:rPr>
              <w:t xml:space="preserve"> </w:t>
            </w:r>
          </w:p>
          <w:p w:rsidR="00000000" w:rsidDel="00000000" w:rsidP="00000000" w:rsidRDefault="00000000" w:rsidRPr="00000000" w14:paraId="00000077">
            <w:pPr>
              <w:ind w:right="-340"/>
              <w:rPr/>
            </w:pPr>
            <w:r w:rsidDel="00000000" w:rsidR="00000000" w:rsidRPr="00000000">
              <w:rPr>
                <w:rtl w:val="0"/>
              </w:rPr>
              <w:t xml:space="preserve"> </w:t>
            </w:r>
          </w:p>
          <w:p w:rsidR="00000000" w:rsidDel="00000000" w:rsidP="00000000" w:rsidRDefault="00000000" w:rsidRPr="00000000" w14:paraId="00000078">
            <w:pPr>
              <w:ind w:right="-340"/>
              <w:rPr/>
            </w:pPr>
            <w:r w:rsidDel="00000000" w:rsidR="00000000" w:rsidRPr="00000000">
              <w:rPr>
                <w:rtl w:val="0"/>
              </w:rPr>
              <w:t xml:space="preserve"> </w:t>
            </w:r>
          </w:p>
          <w:p w:rsidR="00000000" w:rsidDel="00000000" w:rsidP="00000000" w:rsidRDefault="00000000" w:rsidRPr="00000000" w14:paraId="00000079">
            <w:pPr>
              <w:ind w:right="-340"/>
              <w:rPr/>
            </w:pPr>
            <w:r w:rsidDel="00000000" w:rsidR="00000000" w:rsidRPr="00000000">
              <w:rPr>
                <w:rtl w:val="0"/>
              </w:rPr>
              <w:t xml:space="preserve"> </w:t>
            </w:r>
          </w:p>
        </w:tc>
      </w:tr>
      <w:tr>
        <w:trPr>
          <w:cantSplit w:val="0"/>
          <w:trHeight w:val="720" w:hRule="atLeast"/>
          <w:tblHeader w:val="0"/>
        </w:trPr>
        <w:tc>
          <w:tcPr>
            <w:gridSpan w:val="2"/>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7E">
            <w:pPr>
              <w:rPr/>
            </w:pPr>
            <w:r w:rsidDel="00000000" w:rsidR="00000000" w:rsidRPr="00000000">
              <w:rPr>
                <w:rtl w:val="0"/>
              </w:rPr>
              <w:t xml:space="preserve">External Examiner’s Signature:</w:t>
            </w:r>
          </w:p>
        </w:tc>
        <w:tc>
          <w:tcPr>
            <w:gridSpan w:val="3"/>
            <w:tcBorders>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80">
            <w:pPr>
              <w:rPr/>
            </w:pPr>
            <w:r w:rsidDel="00000000" w:rsidR="00000000" w:rsidRPr="00000000">
              <w:rPr>
                <w:rtl w:val="0"/>
              </w:rPr>
              <w:t xml:space="preserve">Date:</w:t>
            </w:r>
          </w:p>
        </w:tc>
      </w:tr>
      <w:tr>
        <w:trPr>
          <w:cantSplit w:val="0"/>
          <w:trHeight w:val="2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3">
            <w:pP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rPr/>
            </w:pPr>
            <w:r w:rsidDel="00000000" w:rsidR="00000000" w:rsidRPr="00000000">
              <w:rPr>
                <w:rtl w:val="0"/>
              </w:rPr>
            </w:r>
          </w:p>
        </w:tc>
      </w:tr>
    </w:tbl>
    <w:p w:rsidR="00000000" w:rsidDel="00000000" w:rsidP="00000000" w:rsidRDefault="00000000" w:rsidRPr="00000000" w14:paraId="00000088">
      <w:pPr>
        <w:ind w:right="-340"/>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 </w:t>
      </w:r>
    </w:p>
    <w:p w:rsidR="00000000" w:rsidDel="00000000" w:rsidP="00000000" w:rsidRDefault="00000000" w:rsidRPr="00000000" w14:paraId="00000089">
      <w:pPr>
        <w:ind w:right="-340"/>
        <w:rPr/>
      </w:pPr>
      <w:r w:rsidDel="00000000" w:rsidR="00000000" w:rsidRPr="00000000">
        <w:rPr>
          <w:rFonts w:ascii="Trebuchet MS" w:cs="Trebuchet MS" w:eastAsia="Trebuchet MS" w:hAnsi="Trebuchet MS"/>
          <w:sz w:val="24"/>
          <w:szCs w:val="24"/>
          <w:rtl w:val="0"/>
        </w:rPr>
        <w:t xml:space="preserve"> </w:t>
      </w:r>
      <w:r w:rsidDel="00000000" w:rsidR="00000000" w:rsidRPr="00000000">
        <w:rPr>
          <w:rtl w:val="0"/>
        </w:rPr>
      </w:r>
    </w:p>
    <w:p w:rsidR="00000000" w:rsidDel="00000000" w:rsidP="00000000" w:rsidRDefault="00000000" w:rsidRPr="00000000" w14:paraId="0000008A">
      <w:pPr>
        <w:pStyle w:val="Title"/>
        <w:spacing w:after="240" w:before="240" w:lineRule="auto"/>
        <w:rPr/>
      </w:pPr>
      <w:bookmarkStart w:colFirst="0" w:colLast="0" w:name="_x17h4posjwcw" w:id="2"/>
      <w:bookmarkEnd w:id="2"/>
      <w:r w:rsidDel="00000000" w:rsidR="00000000" w:rsidRPr="00000000">
        <w:rPr>
          <w:rtl w:val="0"/>
        </w:rPr>
        <w:t xml:space="preserve">Are perceptions of the cosmos culturally conditioned?</w:t>
      </w:r>
    </w:p>
    <w:p w:rsidR="00000000" w:rsidDel="00000000" w:rsidP="00000000" w:rsidRDefault="00000000" w:rsidRPr="00000000" w14:paraId="0000008B">
      <w:pPr>
        <w:rPr/>
      </w:pPr>
      <w:r w:rsidDel="00000000" w:rsidR="00000000" w:rsidRPr="00000000">
        <w:rPr>
          <w:rtl w:val="0"/>
        </w:rPr>
        <w:t xml:space="preserve">Word count: 3633</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pStyle w:val="Heading2"/>
        <w:rPr/>
      </w:pPr>
      <w:bookmarkStart w:colFirst="0" w:colLast="0" w:name="_ywisaaoo3xzx" w:id="3"/>
      <w:bookmarkEnd w:id="3"/>
      <w:r w:rsidDel="00000000" w:rsidR="00000000" w:rsidRPr="00000000">
        <w:rPr>
          <w:rtl w:val="0"/>
        </w:rPr>
        <w:t xml:space="preserve">Introduction </w:t>
      </w:r>
    </w:p>
    <w:p w:rsidR="00000000" w:rsidDel="00000000" w:rsidP="00000000" w:rsidRDefault="00000000" w:rsidRPr="00000000" w14:paraId="0000008E">
      <w:pPr>
        <w:ind w:firstLine="720"/>
        <w:rPr/>
      </w:pPr>
      <w:r w:rsidDel="00000000" w:rsidR="00000000" w:rsidRPr="00000000">
        <w:rPr>
          <w:rtl w:val="0"/>
        </w:rPr>
        <w:t xml:space="preserve">The aim of this essay is to explore whether perceptions of the cosmos are culturally conditioned, examining the interplay between our understanding of the universe and cultural influences, and critically assessing the degree to which cosmological concepts are shaped by cultural assumptions and customs or rooted in some essential reality. Firstly, this essay examines ancient cosmologies, focusing on how early civilisations such as the Mesopotamians, Egyptians and later the Greeks viewed the cosmos. These early cosmologies were often deeply intertwined with religious, political and cultural narratives, highlighting the extent to which cultural context influenced cosmic understanding in ancient societies. The essay will then focus on turning points in history, namely the Renaissance and beyond, noting the impact of technological advances on cultural and scientific thought, expanding our universe (literally and figuratively). This section explores how discoveries such as the cosmic microwave background radiation and theories such as the Big Bang challenge the idea that our cosmic understanding is solely a product of cultural narratives, suggesting a more objective, universal reality. Furthermore, the essay delves into the cultural conditioning of modern cosmologies, as despite the scientific pursuit for objectivity, it is crucial to assess whether contemporary cosmological theories are still influenced by current cultural and philosophical perspectives, reflecting the continual juxtaposition between scientific discovery and cultural context. Lastly, this essay will conduct a comparative analysis before concluding with final remarks, evaluating the extent to which cosmology transcends cultural condition, while acknowledging that cultural influences continue to shape our understanding of the cosmos.  </w:t>
      </w:r>
    </w:p>
    <w:p w:rsidR="00000000" w:rsidDel="00000000" w:rsidP="00000000" w:rsidRDefault="00000000" w:rsidRPr="00000000" w14:paraId="0000008F">
      <w:pPr>
        <w:ind w:left="0" w:firstLine="0"/>
        <w:rPr/>
      </w:pPr>
      <w:r w:rsidDel="00000000" w:rsidR="00000000" w:rsidRPr="00000000">
        <w:rPr>
          <w:rtl w:val="0"/>
        </w:rPr>
      </w:r>
    </w:p>
    <w:p w:rsidR="00000000" w:rsidDel="00000000" w:rsidP="00000000" w:rsidRDefault="00000000" w:rsidRPr="00000000" w14:paraId="00000090">
      <w:pPr>
        <w:pStyle w:val="Heading2"/>
        <w:rPr/>
      </w:pPr>
      <w:bookmarkStart w:colFirst="0" w:colLast="0" w:name="_ptzobxvtm2od" w:id="4"/>
      <w:bookmarkEnd w:id="4"/>
      <w:r w:rsidDel="00000000" w:rsidR="00000000" w:rsidRPr="00000000">
        <w:rPr>
          <w:rtl w:val="0"/>
        </w:rPr>
        <w:t xml:space="preserve">What is culture and cosmology?</w:t>
      </w:r>
    </w:p>
    <w:p w:rsidR="00000000" w:rsidDel="00000000" w:rsidP="00000000" w:rsidRDefault="00000000" w:rsidRPr="00000000" w14:paraId="00000091">
      <w:pPr>
        <w:ind w:firstLine="720"/>
        <w:rPr/>
      </w:pPr>
      <w:r w:rsidDel="00000000" w:rsidR="00000000" w:rsidRPr="00000000">
        <w:rPr>
          <w:rtl w:val="0"/>
        </w:rPr>
        <w:t xml:space="preserve">Understanding whether perceptions of the cosmos are culturally conditioned necessitates a clear idea of 'culture' and 'cosmology', to ensure a stable bedrock to this essay. ‘Culture’, just as </w:t>
      </w:r>
      <w:r w:rsidDel="00000000" w:rsidR="00000000" w:rsidRPr="00000000">
        <w:rPr>
          <w:rtl w:val="0"/>
        </w:rPr>
        <w:t xml:space="preserve">Terry Eagloton</w:t>
      </w:r>
      <w:r w:rsidDel="00000000" w:rsidR="00000000" w:rsidRPr="00000000">
        <w:rPr>
          <w:rtl w:val="0"/>
        </w:rPr>
        <w:t xml:space="preserve"> would agree, is a very complex word to traverse. Eagleton in his work</w:t>
      </w:r>
      <w:r w:rsidDel="00000000" w:rsidR="00000000" w:rsidRPr="00000000">
        <w:rPr>
          <w:rtl w:val="0"/>
        </w:rPr>
        <w:t xml:space="preserve"> ‘The Idea of Culture’</w:t>
      </w:r>
      <w:r w:rsidDel="00000000" w:rsidR="00000000" w:rsidRPr="00000000">
        <w:rPr>
          <w:rtl w:val="0"/>
        </w:rPr>
        <w:t xml:space="preserve">, attempts to explore the concept, by exploring many versions of culture, noting that ‘Nature’, another highly complex word, is often regarded as ‘opposite’ to culture. Yet, as Eagleton notes, “...Culture, etymologically speaking, is a concept derived from nature.”</w:t>
      </w:r>
      <w:r w:rsidDel="00000000" w:rsidR="00000000" w:rsidRPr="00000000">
        <w:rPr>
          <w:vertAlign w:val="superscript"/>
        </w:rPr>
        <w:footnoteReference w:customMarkFollows="0" w:id="0"/>
      </w:r>
      <w:r w:rsidDel="00000000" w:rsidR="00000000" w:rsidRPr="00000000">
        <w:rPr>
          <w:rtl w:val="0"/>
        </w:rPr>
        <w:t xml:space="preserve">. This essay takes the stance that culture is indeed the natural necessity of the complex human mind, thanks to the cognitive revolution </w:t>
      </w:r>
      <w:r w:rsidDel="00000000" w:rsidR="00000000" w:rsidRPr="00000000">
        <w:rPr>
          <w:rtl w:val="0"/>
        </w:rPr>
        <w:t xml:space="preserve">60,000-30,000 years ago</w:t>
      </w:r>
      <w:r w:rsidDel="00000000" w:rsidR="00000000" w:rsidRPr="00000000">
        <w:rPr>
          <w:vertAlign w:val="superscript"/>
        </w:rPr>
        <w:footnoteReference w:customMarkFollows="0" w:id="1"/>
      </w:r>
      <w:r w:rsidDel="00000000" w:rsidR="00000000" w:rsidRPr="00000000">
        <w:rPr>
          <w:rtl w:val="0"/>
        </w:rPr>
        <w:t xml:space="preserve">. Just as </w:t>
      </w:r>
      <w:r w:rsidDel="00000000" w:rsidR="00000000" w:rsidRPr="00000000">
        <w:rPr>
          <w:rtl w:val="0"/>
        </w:rPr>
        <w:t xml:space="preserve">Eagleton notes that culture is the ‘unconscious verso of the recto of civilised life, the taken-for-granted beliefs and predilections”</w:t>
      </w:r>
      <w:r w:rsidDel="00000000" w:rsidR="00000000" w:rsidRPr="00000000">
        <w:rPr>
          <w:vertAlign w:val="superscript"/>
        </w:rPr>
        <w:footnoteReference w:customMarkFollows="0" w:id="2"/>
      </w:r>
      <w:r w:rsidDel="00000000" w:rsidR="00000000" w:rsidRPr="00000000">
        <w:rPr>
          <w:rtl w:val="0"/>
        </w:rPr>
        <w:t xml:space="preserve">, and that it is “what comes naturally, bred in the bone, rather than conceived in the brain”, this essay takes the stance that culture is simply symptomatic of anatomically modern human nature. For the purposes of this essay, culture will be defined as the interplay between our collective experiences, beliefs and traditions that shapes our norms and values, as well as our understanding and interpretations, particularly of the cosmos, in order to attempt to understand how cosmological perceptions are/can be culturally conditioned, influenced by the myriad of cultural lenses through which different societies view the universe. </w:t>
      </w:r>
    </w:p>
    <w:p w:rsidR="00000000" w:rsidDel="00000000" w:rsidP="00000000" w:rsidRDefault="00000000" w:rsidRPr="00000000" w14:paraId="00000092">
      <w:pPr>
        <w:ind w:left="0" w:firstLine="0"/>
        <w:rPr/>
      </w:pPr>
      <w:r w:rsidDel="00000000" w:rsidR="00000000" w:rsidRPr="00000000">
        <w:rPr>
          <w:rtl w:val="0"/>
        </w:rPr>
        <w:tab/>
        <w:t xml:space="preserve">Cosmology, according to the scientific perspective, is the </w:t>
      </w:r>
      <w:r w:rsidDel="00000000" w:rsidR="00000000" w:rsidRPr="00000000">
        <w:rPr>
          <w:rtl w:val="0"/>
        </w:rPr>
        <w:t xml:space="preserve">“field of study that brings together the natural sciences, particularly astronomy and physics, in a joint effort to understand the physical universe as a unified whole”</w:t>
      </w:r>
      <w:r w:rsidDel="00000000" w:rsidR="00000000" w:rsidRPr="00000000">
        <w:rPr>
          <w:vertAlign w:val="superscript"/>
        </w:rPr>
        <w:footnoteReference w:customMarkFollows="0" w:id="3"/>
      </w:r>
      <w:r w:rsidDel="00000000" w:rsidR="00000000" w:rsidRPr="00000000">
        <w:rPr>
          <w:rtl w:val="0"/>
        </w:rPr>
        <w:t xml:space="preserve">. However, it is also important to understand cosmology from an anthropological perspective, recognising that cosmology is also a cultural and psychological construct, transcending pure scientific inquiry by incorporating a rich array of cultural philosophical and spiritual narratives that humans have developed to make sense of the world and the wider cosmos. This broader view encompasses the philosophical, mythological and spiritual narratives that inform our cosmic experiences. This acknowledges that factors such as history, environment, technology, psychology and social contexts can shape how communities perceive and interpret the universe and world-view. Thus, cosmology is a discipline that extends beyond the realm of empirical science to include elements of human culture. This essay posits that the interplay between culture and cosmology is crucial in shaping our understanding of the cosmos, highlighting the need to consider both scientific and cultural lenses in any cosmological discourse. </w:t>
      </w:r>
    </w:p>
    <w:p w:rsidR="00000000" w:rsidDel="00000000" w:rsidP="00000000" w:rsidRDefault="00000000" w:rsidRPr="00000000" w14:paraId="00000093">
      <w:pPr>
        <w:ind w:left="0" w:firstLine="0"/>
        <w:rPr/>
      </w:pPr>
      <w:r w:rsidDel="00000000" w:rsidR="00000000" w:rsidRPr="00000000">
        <w:rPr>
          <w:rtl w:val="0"/>
        </w:rPr>
      </w:r>
    </w:p>
    <w:p w:rsidR="00000000" w:rsidDel="00000000" w:rsidP="00000000" w:rsidRDefault="00000000" w:rsidRPr="00000000" w14:paraId="00000094">
      <w:pPr>
        <w:pStyle w:val="Heading2"/>
        <w:rPr/>
      </w:pPr>
      <w:bookmarkStart w:colFirst="0" w:colLast="0" w:name="_krhx365f6biy" w:id="5"/>
      <w:bookmarkEnd w:id="5"/>
      <w:r w:rsidDel="00000000" w:rsidR="00000000" w:rsidRPr="00000000">
        <w:rPr>
          <w:rtl w:val="0"/>
        </w:rPr>
        <w:t xml:space="preserve">Cultural influence on cosmology: An historical overview</w:t>
      </w:r>
    </w:p>
    <w:p w:rsidR="00000000" w:rsidDel="00000000" w:rsidP="00000000" w:rsidRDefault="00000000" w:rsidRPr="00000000" w14:paraId="00000095">
      <w:pPr>
        <w:pStyle w:val="Heading4"/>
        <w:rPr/>
      </w:pPr>
      <w:bookmarkStart w:colFirst="0" w:colLast="0" w:name="_oovjx7b9b61g" w:id="6"/>
      <w:bookmarkEnd w:id="6"/>
      <w:r w:rsidDel="00000000" w:rsidR="00000000" w:rsidRPr="00000000">
        <w:rPr>
          <w:rtl w:val="0"/>
        </w:rPr>
        <w:t xml:space="preserve">Ancient Cultures and Cosmologies</w:t>
      </w:r>
    </w:p>
    <w:p w:rsidR="00000000" w:rsidDel="00000000" w:rsidP="00000000" w:rsidRDefault="00000000" w:rsidRPr="00000000" w14:paraId="00000096">
      <w:pPr>
        <w:ind w:firstLine="720"/>
        <w:rPr/>
      </w:pPr>
      <w:r w:rsidDel="00000000" w:rsidR="00000000" w:rsidRPr="00000000">
        <w:rPr>
          <w:rtl w:val="0"/>
        </w:rPr>
        <w:t xml:space="preserve">The transition from the Pleistocene to the Holocene, marked by the Younger Dryas period, showed a sudden return to glacial conditions around 12900-12700 calBP, brought about by significantly colder and drier climates, with temperatures approximately 3.5-4.5</w:t>
      </w:r>
      <w:r w:rsidDel="00000000" w:rsidR="00000000" w:rsidRPr="00000000">
        <w:rPr>
          <w:sz w:val="20"/>
          <w:szCs w:val="20"/>
          <w:rtl w:val="0"/>
        </w:rPr>
        <w:t xml:space="preserve">°</w:t>
      </w:r>
      <w:r w:rsidDel="00000000" w:rsidR="00000000" w:rsidRPr="00000000">
        <w:rPr>
          <w:rtl w:val="0"/>
        </w:rPr>
        <w:t xml:space="preserve">C lower and precipitation up to 50mm less than the modern annual mean, profoundly impacting global ecosystems and human societies during its brief span of around 1100-1300 years (Donald O. Henry)</w:t>
      </w:r>
      <w:r w:rsidDel="00000000" w:rsidR="00000000" w:rsidRPr="00000000">
        <w:rPr>
          <w:vertAlign w:val="superscript"/>
        </w:rPr>
        <w:footnoteReference w:customMarkFollows="0" w:id="4"/>
      </w:r>
      <w:r w:rsidDel="00000000" w:rsidR="00000000" w:rsidRPr="00000000">
        <w:rPr>
          <w:rtl w:val="0"/>
        </w:rPr>
        <w:t xml:space="preserve">. This </w:t>
      </w:r>
      <w:r w:rsidDel="00000000" w:rsidR="00000000" w:rsidRPr="00000000">
        <w:rPr>
          <w:rtl w:val="0"/>
        </w:rPr>
        <w:t xml:space="preserve">compelled early human communities to adapt rapidly, setting the stage for a transformative shift in human thought and culture. The sudden climatic deterioration “</w:t>
      </w:r>
      <w:r w:rsidDel="00000000" w:rsidR="00000000" w:rsidRPr="00000000">
        <w:rPr>
          <w:rtl w:val="0"/>
        </w:rPr>
        <w:t xml:space="preserve">removed many alternative food resources for human populations in the Near East”</w:t>
      </w:r>
      <w:r w:rsidDel="00000000" w:rsidR="00000000" w:rsidRPr="00000000">
        <w:rPr>
          <w:vertAlign w:val="superscript"/>
        </w:rPr>
        <w:footnoteReference w:customMarkFollows="0" w:id="5"/>
      </w:r>
      <w:r w:rsidDel="00000000" w:rsidR="00000000" w:rsidRPr="00000000">
        <w:rPr>
          <w:rtl w:val="0"/>
        </w:rPr>
        <w:t xml:space="preserve">, </w:t>
      </w:r>
      <w:r w:rsidDel="00000000" w:rsidR="00000000" w:rsidRPr="00000000">
        <w:rPr>
          <w:rtl w:val="0"/>
        </w:rPr>
        <w:t xml:space="preserve">rendering hunting and gathering strategies that had sustained communities for millennia difficult, due to rapid declines in fauna and flora populations. Thus, the drive to innovate became paramount, leading to an array of new technologies and adaptive behaviours, with agriculture standing paramount</w:t>
      </w:r>
      <w:r w:rsidDel="00000000" w:rsidR="00000000" w:rsidRPr="00000000">
        <w:rPr>
          <w:vertAlign w:val="superscript"/>
        </w:rPr>
        <w:footnoteReference w:customMarkFollows="0" w:id="6"/>
      </w:r>
      <w:r w:rsidDel="00000000" w:rsidR="00000000" w:rsidRPr="00000000">
        <w:rPr>
          <w:rtl w:val="0"/>
        </w:rPr>
        <w:t xml:space="preserve">. Archaeological evidence from sites such as </w:t>
      </w:r>
      <w:r w:rsidDel="00000000" w:rsidR="00000000" w:rsidRPr="00000000">
        <w:rPr>
          <w:rtl w:val="0"/>
        </w:rPr>
        <w:t xml:space="preserve">Göbekli Tepe</w:t>
      </w:r>
      <w:r w:rsidDel="00000000" w:rsidR="00000000" w:rsidRPr="00000000">
        <w:rPr>
          <w:rtl w:val="0"/>
        </w:rPr>
        <w:t xml:space="preserve"> in modern-day Turkey attests to a remarkable leap in symbolic expression and communal organisation during this era, with elaborate stone structures, intricately carved with symbolic motifs</w:t>
      </w:r>
      <w:r w:rsidDel="00000000" w:rsidR="00000000" w:rsidRPr="00000000">
        <w:rPr>
          <w:vertAlign w:val="superscript"/>
        </w:rPr>
        <w:footnoteReference w:customMarkFollows="0" w:id="7"/>
      </w:r>
      <w:r w:rsidDel="00000000" w:rsidR="00000000" w:rsidRPr="00000000">
        <w:rPr>
          <w:rtl w:val="0"/>
        </w:rPr>
        <w:t xml:space="preserve"> and possible </w:t>
      </w:r>
      <w:r w:rsidDel="00000000" w:rsidR="00000000" w:rsidRPr="00000000">
        <w:rPr>
          <w:rtl w:val="0"/>
        </w:rPr>
        <w:t xml:space="preserve">celestial representations</w:t>
      </w:r>
      <w:r w:rsidDel="00000000" w:rsidR="00000000" w:rsidRPr="00000000">
        <w:rPr>
          <w:rtl w:val="0"/>
        </w:rPr>
        <w:t xml:space="preserve">, hint at a rapidly advancing cosmological consciousness. The Neolithic revolution, as </w:t>
      </w:r>
      <w:r w:rsidDel="00000000" w:rsidR="00000000" w:rsidRPr="00000000">
        <w:rPr>
          <w:rtl w:val="0"/>
        </w:rPr>
        <w:t xml:space="preserve">Sachs notes</w:t>
      </w:r>
      <w:r w:rsidDel="00000000" w:rsidR="00000000" w:rsidRPr="00000000">
        <w:rPr>
          <w:rtl w:val="0"/>
        </w:rPr>
        <w:t xml:space="preserve">, was pivotal in human history, leading to settled agricultural life and the birth of permanent settlements</w:t>
      </w:r>
      <w:r w:rsidDel="00000000" w:rsidR="00000000" w:rsidRPr="00000000">
        <w:rPr>
          <w:vertAlign w:val="superscript"/>
        </w:rPr>
        <w:footnoteReference w:customMarkFollows="0" w:id="8"/>
      </w:r>
      <w:r w:rsidDel="00000000" w:rsidR="00000000" w:rsidRPr="00000000">
        <w:rPr>
          <w:rtl w:val="0"/>
        </w:rPr>
        <w:t xml:space="preserve">. This shift allowed for structured observations of the natural world, including celestial phenomena, contributing significantly to the development of ancient cosmologies. These developments supported the rise of scientific knowledge, including mathematics and astronomy, crucial for recording and transmitting cosmological knowledge. This evidence supports the thesis that perceptions of the cosmos in ancient times arose largely from cultural behaviour and assumptions shaped by socio-economic and environmental conditions. </w:t>
      </w:r>
    </w:p>
    <w:p w:rsidR="00000000" w:rsidDel="00000000" w:rsidP="00000000" w:rsidRDefault="00000000" w:rsidRPr="00000000" w14:paraId="00000097">
      <w:pPr>
        <w:ind w:firstLine="720"/>
        <w:rPr/>
      </w:pPr>
      <w:r w:rsidDel="00000000" w:rsidR="00000000" w:rsidRPr="00000000">
        <w:rPr>
          <w:rtl w:val="0"/>
        </w:rPr>
        <w:t xml:space="preserve">In the Fertile Crescent, formed by the Tigris and Euphrates rivers in the Mediterranean, also known as the cradle of civilization and Mesopotamia, the Sumerians crafted one of the earliest known cosmologies. Ingrained in their daily lives, the movements of celestial bodies were not mere phenomena but divine orchestrations. The ziggurats, towering temple-pyramids, served as earthly channels to the heavens, bridging the terrestrial and celestial realms</w:t>
      </w:r>
      <w:r w:rsidDel="00000000" w:rsidR="00000000" w:rsidRPr="00000000">
        <w:rPr>
          <w:vertAlign w:val="superscript"/>
        </w:rPr>
        <w:footnoteReference w:customMarkFollows="0" w:id="9"/>
      </w:r>
      <w:r w:rsidDel="00000000" w:rsidR="00000000" w:rsidRPr="00000000">
        <w:rPr>
          <w:rtl w:val="0"/>
        </w:rPr>
        <w:t xml:space="preserve">. The blending of earthly and heavenly aspects formed the basis for cosmologies that merged spiritual and everyday elements. In Mesopotamia, cosmology was more than just scholarly study, it was an intricate part of their society, combining various aspects of their daily life and beliefs.</w:t>
      </w:r>
      <w:r w:rsidDel="00000000" w:rsidR="00000000" w:rsidRPr="00000000">
        <w:rPr>
          <w:rtl w:val="0"/>
        </w:rPr>
        <w:t xml:space="preserve"> As Campion notes, their astrological sophistication is evident in their extensive records and practices</w:t>
      </w:r>
      <w:r w:rsidDel="00000000" w:rsidR="00000000" w:rsidRPr="00000000">
        <w:rPr>
          <w:rtl w:val="0"/>
        </w:rPr>
        <w:t xml:space="preserve">. The </w:t>
      </w:r>
      <w:r w:rsidDel="00000000" w:rsidR="00000000" w:rsidRPr="00000000">
        <w:rPr>
          <w:rtl w:val="0"/>
        </w:rPr>
        <w:t xml:space="preserve">Enuma Elish</w:t>
      </w:r>
      <w:r w:rsidDel="00000000" w:rsidR="00000000" w:rsidRPr="00000000">
        <w:rPr>
          <w:rtl w:val="0"/>
        </w:rPr>
        <w:t xml:space="preserve">, a Mesopotamian creation epic, presents a world emerging from a primordial element, water, challenging traditional creationist views and suggesting an </w:t>
      </w:r>
      <w:r w:rsidDel="00000000" w:rsidR="00000000" w:rsidRPr="00000000">
        <w:rPr>
          <w:rtl w:val="0"/>
        </w:rPr>
        <w:t xml:space="preserve">emanationism</w:t>
      </w:r>
      <w:r w:rsidDel="00000000" w:rsidR="00000000" w:rsidRPr="00000000">
        <w:rPr>
          <w:rtl w:val="0"/>
        </w:rPr>
        <w:t xml:space="preserve"> cosmological model</w:t>
      </w:r>
      <w:r w:rsidDel="00000000" w:rsidR="00000000" w:rsidRPr="00000000">
        <w:rPr>
          <w:vertAlign w:val="superscript"/>
        </w:rPr>
        <w:footnoteReference w:customMarkFollows="0" w:id="10"/>
      </w:r>
      <w:r w:rsidDel="00000000" w:rsidR="00000000" w:rsidRPr="00000000">
        <w:rPr>
          <w:rtl w:val="0"/>
        </w:rPr>
        <w:t xml:space="preserve">. This suggests that Mesopotamian cosmology, while observational, was significantly shaped by cultural and religious narratives, intertwining celestial events with terrestrial affairs. Celestial affairs also impacted the political structure, with authority vested in deities aligned with celestial phenomena, where stars and planets were not merely celestial bodies but mediums for divine communication, highlighting the cultural conditioning of Mesopotamian cosmological perceptions. It reflects a society where cosmology was not just an abstract scientific endeavour but a theocratic vision, deeply integrated into the fabric of everyday life and governance. </w:t>
      </w:r>
    </w:p>
    <w:p w:rsidR="00000000" w:rsidDel="00000000" w:rsidP="00000000" w:rsidRDefault="00000000" w:rsidRPr="00000000" w14:paraId="00000098">
      <w:pPr>
        <w:ind w:firstLine="720"/>
        <w:rPr/>
      </w:pPr>
      <w:r w:rsidDel="00000000" w:rsidR="00000000" w:rsidRPr="00000000">
        <w:rPr>
          <w:rtl w:val="0"/>
        </w:rPr>
        <w:t xml:space="preserve">Across the Mediterranean, Ancient Egyptian cosmology was characterised by its complex interaction of celestial and earthly realms, and was deeply intertwined with </w:t>
      </w:r>
      <w:r w:rsidDel="00000000" w:rsidR="00000000" w:rsidRPr="00000000">
        <w:rPr>
          <w:rtl w:val="0"/>
        </w:rPr>
        <w:t xml:space="preserve">cultural, religious, and agricultural elements</w:t>
      </w:r>
      <w:r w:rsidDel="00000000" w:rsidR="00000000" w:rsidRPr="00000000">
        <w:rPr>
          <w:rtl w:val="0"/>
        </w:rPr>
        <w:t xml:space="preserve">. Central to this was the</w:t>
      </w:r>
      <w:r w:rsidDel="00000000" w:rsidR="00000000" w:rsidRPr="00000000">
        <w:rPr>
          <w:rtl w:val="0"/>
        </w:rPr>
        <w:t xml:space="preserve"> concept of Ma'at</w:t>
      </w:r>
      <w:r w:rsidDel="00000000" w:rsidR="00000000" w:rsidRPr="00000000">
        <w:rPr>
          <w:rtl w:val="0"/>
        </w:rPr>
        <w:t xml:space="preserve">, embodying truth, order, and cosmic balance; this concept extended beyond religious rituals to encompass ethical and moral guidelines, essential for maintaining harmony in both the human and divine realms</w:t>
      </w:r>
      <w:r w:rsidDel="00000000" w:rsidR="00000000" w:rsidRPr="00000000">
        <w:rPr>
          <w:vertAlign w:val="superscript"/>
        </w:rPr>
        <w:footnoteReference w:customMarkFollows="0" w:id="11"/>
      </w:r>
      <w:r w:rsidDel="00000000" w:rsidR="00000000" w:rsidRPr="00000000">
        <w:rPr>
          <w:rtl w:val="0"/>
        </w:rPr>
        <w:t xml:space="preserve">. Moreover, the </w:t>
      </w:r>
      <w:r w:rsidDel="00000000" w:rsidR="00000000" w:rsidRPr="00000000">
        <w:rPr>
          <w:rtl w:val="0"/>
        </w:rPr>
        <w:t xml:space="preserve">cyclical nature of Egyptian cosmology</w:t>
      </w:r>
      <w:r w:rsidDel="00000000" w:rsidR="00000000" w:rsidRPr="00000000">
        <w:rPr>
          <w:rtl w:val="0"/>
        </w:rPr>
        <w:t xml:space="preserve">, contrasting with modern linear conceptions of time, was reflective of natural rhythms like the Nile's flooding, and celestial bodies, particularly stars such as </w:t>
      </w:r>
      <w:r w:rsidDel="00000000" w:rsidR="00000000" w:rsidRPr="00000000">
        <w:rPr>
          <w:rtl w:val="0"/>
        </w:rPr>
        <w:t xml:space="preserve">Sirius</w:t>
      </w:r>
      <w:r w:rsidDel="00000000" w:rsidR="00000000" w:rsidRPr="00000000">
        <w:rPr>
          <w:rtl w:val="0"/>
        </w:rPr>
        <w:t xml:space="preserve">, associated with Isis, played a significant role in Egyptian religious beliefs, and being a significant star for agricultural timings</w:t>
      </w:r>
      <w:r w:rsidDel="00000000" w:rsidR="00000000" w:rsidRPr="00000000">
        <w:rPr>
          <w:vertAlign w:val="superscript"/>
        </w:rPr>
        <w:footnoteReference w:customMarkFollows="0" w:id="12"/>
      </w:r>
      <w:r w:rsidDel="00000000" w:rsidR="00000000" w:rsidRPr="00000000">
        <w:rPr>
          <w:rtl w:val="0"/>
        </w:rPr>
        <w:t xml:space="preserve">. Ancient Egyptians gazed at the night sky with a purpose beyond the practicalities of agriculture, </w:t>
      </w:r>
      <w:r w:rsidDel="00000000" w:rsidR="00000000" w:rsidRPr="00000000">
        <w:rPr>
          <w:rtl w:val="0"/>
        </w:rPr>
        <w:t xml:space="preserve">the alignment of pyramids with constellations</w:t>
      </w:r>
      <w:r w:rsidDel="00000000" w:rsidR="00000000" w:rsidRPr="00000000">
        <w:rPr>
          <w:rtl w:val="0"/>
        </w:rPr>
        <w:t xml:space="preserve"> and the reverence for celestial deities underscored a cosmological narrative where the earthly and divine were intricately entwined</w:t>
      </w:r>
      <w:r w:rsidDel="00000000" w:rsidR="00000000" w:rsidRPr="00000000">
        <w:rPr>
          <w:vertAlign w:val="superscript"/>
        </w:rPr>
        <w:footnoteReference w:customMarkFollows="0" w:id="13"/>
      </w:r>
      <w:r w:rsidDel="00000000" w:rsidR="00000000" w:rsidRPr="00000000">
        <w:rPr>
          <w:rtl w:val="0"/>
        </w:rPr>
        <w:t xml:space="preserve">. For the ancient Egyptians, the cosmos was a grand tapestry woven by divine hands, and their </w:t>
      </w:r>
      <w:r w:rsidDel="00000000" w:rsidR="00000000" w:rsidRPr="00000000">
        <w:rPr>
          <w:rtl w:val="0"/>
        </w:rPr>
        <w:t xml:space="preserve">pyramids served as channels to the afterlife</w:t>
      </w:r>
      <w:r w:rsidDel="00000000" w:rsidR="00000000" w:rsidRPr="00000000">
        <w:rPr>
          <w:rtl w:val="0"/>
        </w:rPr>
        <w:t xml:space="preserve">, mirroring the celestial journey of the soul.</w:t>
      </w:r>
    </w:p>
    <w:p w:rsidR="00000000" w:rsidDel="00000000" w:rsidP="00000000" w:rsidRDefault="00000000" w:rsidRPr="00000000" w14:paraId="00000099">
      <w:pPr>
        <w:ind w:firstLine="720"/>
        <w:rPr/>
      </w:pPr>
      <w:r w:rsidDel="00000000" w:rsidR="00000000" w:rsidRPr="00000000">
        <w:rPr>
          <w:rtl w:val="0"/>
        </w:rPr>
        <w:t xml:space="preserve">These examples highlight that ancient cosmologies were not mere scientific endeavours but were shaped by the cultural contexts in which they arose. The intertwining of celestial observations with religious, political, and societal beliefs in ancient civilisations underscores the cultural conditioning of their cosmic perceptions. This understanding challenges the view of cosmology as solely a scientific pursuit, revealing its deep entanglement with cultural narratives and beliefs.</w:t>
      </w:r>
    </w:p>
    <w:p w:rsidR="00000000" w:rsidDel="00000000" w:rsidP="00000000" w:rsidRDefault="00000000" w:rsidRPr="00000000" w14:paraId="0000009A">
      <w:pPr>
        <w:pStyle w:val="Heading4"/>
        <w:rPr/>
      </w:pPr>
      <w:bookmarkStart w:colFirst="0" w:colLast="0" w:name="_bdi5t2hcpyad" w:id="7"/>
      <w:bookmarkEnd w:id="7"/>
      <w:r w:rsidDel="00000000" w:rsidR="00000000" w:rsidRPr="00000000">
        <w:rPr>
          <w:rtl w:val="0"/>
        </w:rPr>
        <w:t xml:space="preserve">The contributions of Greek Philosophy </w:t>
      </w:r>
    </w:p>
    <w:p w:rsidR="00000000" w:rsidDel="00000000" w:rsidP="00000000" w:rsidRDefault="00000000" w:rsidRPr="00000000" w14:paraId="0000009B">
      <w:pPr>
        <w:ind w:firstLine="720"/>
        <w:rPr/>
      </w:pPr>
      <w:r w:rsidDel="00000000" w:rsidR="00000000" w:rsidRPr="00000000">
        <w:rPr>
          <w:rtl w:val="0"/>
        </w:rPr>
        <w:t xml:space="preserve">Ancient Greek cosmology, deeply rooted in a rich mythological tradition, underwent a transformative shift towards rationality, symbolic of a broader cultural movement from myth to reason. </w:t>
      </w:r>
      <w:r w:rsidDel="00000000" w:rsidR="00000000" w:rsidRPr="00000000">
        <w:rPr>
          <w:rtl w:val="0"/>
        </w:rPr>
        <w:t xml:space="preserve">Thales and Anaximander, pioneering this shift</w:t>
      </w:r>
      <w:r w:rsidDel="00000000" w:rsidR="00000000" w:rsidRPr="00000000">
        <w:rPr>
          <w:rtl w:val="0"/>
        </w:rPr>
        <w:t xml:space="preserve">, not only challenged traditional mythic explanations but also embedded their naturalistic perspectives within the prevailing cultural context, </w:t>
      </w:r>
      <w:r w:rsidDel="00000000" w:rsidR="00000000" w:rsidRPr="00000000">
        <w:rPr>
          <w:rtl w:val="0"/>
        </w:rPr>
        <w:t xml:space="preserve">as illustrated by Nick Campion</w:t>
      </w:r>
      <w:r w:rsidDel="00000000" w:rsidR="00000000" w:rsidRPr="00000000">
        <w:rPr>
          <w:rtl w:val="0"/>
        </w:rPr>
        <w:t xml:space="preserve">, this evolution was influenced by a confluence of Greek, Babylonian, and Egyptian cultures, leading to a unique astrological tradition. In dissecting Plato's cosmology, Campion unveils a universe crafted by a divine artisan, mirroring geometric principles</w:t>
      </w:r>
      <w:r w:rsidDel="00000000" w:rsidR="00000000" w:rsidRPr="00000000">
        <w:rPr>
          <w:vertAlign w:val="superscript"/>
        </w:rPr>
        <w:footnoteReference w:customMarkFollows="0" w:id="14"/>
      </w:r>
      <w:r w:rsidDel="00000000" w:rsidR="00000000" w:rsidRPr="00000000">
        <w:rPr>
          <w:rtl w:val="0"/>
        </w:rPr>
        <w:t xml:space="preserve">. Plato’s cosmology, especially in</w:t>
      </w:r>
      <w:r w:rsidDel="00000000" w:rsidR="00000000" w:rsidRPr="00000000">
        <w:rPr>
          <w:rtl w:val="0"/>
        </w:rPr>
        <w:t xml:space="preserve"> "Timaeus"</w:t>
      </w:r>
      <w:r w:rsidDel="00000000" w:rsidR="00000000" w:rsidRPr="00000000">
        <w:rPr>
          <w:rtl w:val="0"/>
        </w:rPr>
        <w:t xml:space="preserve">, presented a universe crafted by a divine artisan using geometric principles, indicating a combination of philosophical thought and cultural beliefs</w:t>
      </w:r>
      <w:r w:rsidDel="00000000" w:rsidR="00000000" w:rsidRPr="00000000">
        <w:rPr>
          <w:vertAlign w:val="superscript"/>
        </w:rPr>
        <w:footnoteReference w:customMarkFollows="0" w:id="15"/>
      </w:r>
      <w:r w:rsidDel="00000000" w:rsidR="00000000" w:rsidRPr="00000000">
        <w:rPr>
          <w:rtl w:val="0"/>
        </w:rPr>
        <w:t xml:space="preserve">. This depiction is not merely a scientific assertion but a reflection of the philosophical and cultural ethos of the time, blending metaphysical ideas with empirical observation. </w:t>
      </w:r>
      <w:r w:rsidDel="00000000" w:rsidR="00000000" w:rsidRPr="00000000">
        <w:rPr>
          <w:rtl w:val="0"/>
        </w:rPr>
        <w:t xml:space="preserve">Pythagoras' introduction of mathematical harmony into cosmology represents a significant paradigm shift </w:t>
      </w:r>
      <w:r w:rsidDel="00000000" w:rsidR="00000000" w:rsidRPr="00000000">
        <w:rPr>
          <w:rtl w:val="0"/>
        </w:rPr>
        <w:t xml:space="preserve">towards rationalism, demonstrating a cultural evolution from mythological to mathematical interpretations of the cosmos</w:t>
      </w:r>
      <w:r w:rsidDel="00000000" w:rsidR="00000000" w:rsidRPr="00000000">
        <w:rPr>
          <w:vertAlign w:val="superscript"/>
        </w:rPr>
        <w:footnoteReference w:customMarkFollows="0" w:id="16"/>
      </w:r>
      <w:r w:rsidDel="00000000" w:rsidR="00000000" w:rsidRPr="00000000">
        <w:rPr>
          <w:rtl w:val="0"/>
        </w:rPr>
        <w:t xml:space="preserve">. While groundbreaking, cosmology still bore the marks of cultural influences, as Greek society grappled with integrating new rational insights into their existing cultural framework. Ancient Greek philosophy, notably through figures like T</w:t>
      </w:r>
      <w:r w:rsidDel="00000000" w:rsidR="00000000" w:rsidRPr="00000000">
        <w:rPr>
          <w:rtl w:val="0"/>
        </w:rPr>
        <w:t xml:space="preserve">hales, Anaximander, Plato, and Pythagoras</w:t>
      </w:r>
      <w:r w:rsidDel="00000000" w:rsidR="00000000" w:rsidRPr="00000000">
        <w:rPr>
          <w:rtl w:val="0"/>
        </w:rPr>
        <w:t xml:space="preserve">, heralded a significant shift in cosmological thought. </w:t>
      </w:r>
      <w:r w:rsidDel="00000000" w:rsidR="00000000" w:rsidRPr="00000000">
        <w:rPr>
          <w:rtl w:val="0"/>
        </w:rPr>
        <w:t xml:space="preserve">Thales’ idea of water as the fundamental essence </w:t>
      </w:r>
      <w:r w:rsidDel="00000000" w:rsidR="00000000" w:rsidRPr="00000000">
        <w:rPr>
          <w:rtl w:val="0"/>
        </w:rPr>
        <w:t xml:space="preserve">and</w:t>
      </w:r>
      <w:r w:rsidDel="00000000" w:rsidR="00000000" w:rsidRPr="00000000">
        <w:rPr>
          <w:rtl w:val="0"/>
        </w:rPr>
        <w:t xml:space="preserve"> Anaximander’s concept of the 'apeiron' (indefinite)</w:t>
      </w:r>
      <w:r w:rsidDel="00000000" w:rsidR="00000000" w:rsidRPr="00000000">
        <w:rPr>
          <w:rtl w:val="0"/>
        </w:rPr>
        <w:t xml:space="preserve"> marked a departure from mythological interpretations, reflecting a cultural openness to rational explanations</w:t>
      </w:r>
      <w:r w:rsidDel="00000000" w:rsidR="00000000" w:rsidRPr="00000000">
        <w:rPr>
          <w:vertAlign w:val="superscript"/>
        </w:rPr>
        <w:footnoteReference w:customMarkFollows="0" w:id="17"/>
      </w:r>
      <w:r w:rsidDel="00000000" w:rsidR="00000000" w:rsidRPr="00000000">
        <w:rPr>
          <w:rtl w:val="0"/>
        </w:rPr>
        <w:t xml:space="preserve">. This shift highlights a critical point in the cultural conditioning of cosmological perceptions, as these ideas emerged within a society transitioning from myth to logic. This exploration suggests that while Greek philosophy contributed significantly to the rational understanding of the cosmos, it was still deeply influenced by the cultural and historical context. The duality observed in Greek cosmology, blending empirical observations with philosophical interpretations, serves as a testament to the complex relationship between intellectual traditions, cultural beliefs, cosmological perceptions, and evolution of thought, supporting the thesis that perceptions of the cosmos are, to a considerable extent, culturally conditioned.</w:t>
      </w:r>
    </w:p>
    <w:p w:rsidR="00000000" w:rsidDel="00000000" w:rsidP="00000000" w:rsidRDefault="00000000" w:rsidRPr="00000000" w14:paraId="0000009C">
      <w:pPr>
        <w:pStyle w:val="Heading4"/>
        <w:rPr/>
      </w:pPr>
      <w:bookmarkStart w:colFirst="0" w:colLast="0" w:name="_a32rbw1l1rl7" w:id="8"/>
      <w:bookmarkEnd w:id="8"/>
      <w:r w:rsidDel="00000000" w:rsidR="00000000" w:rsidRPr="00000000">
        <w:rPr>
          <w:rtl w:val="0"/>
        </w:rPr>
        <w:t xml:space="preserve">A turning point: The Renaissance</w:t>
      </w:r>
    </w:p>
    <w:p w:rsidR="00000000" w:rsidDel="00000000" w:rsidP="00000000" w:rsidRDefault="00000000" w:rsidRPr="00000000" w14:paraId="0000009D">
      <w:pPr>
        <w:ind w:left="0" w:firstLine="0"/>
        <w:rPr/>
      </w:pPr>
      <w:r w:rsidDel="00000000" w:rsidR="00000000" w:rsidRPr="00000000">
        <w:rPr>
          <w:rtl w:val="0"/>
        </w:rPr>
        <w:tab/>
        <w:t xml:space="preserve">The Renaissance, a period of profound intellectual and cultural revival, marked a significant departure from the cosmological views of ancient Greece. This era, as</w:t>
      </w:r>
      <w:r w:rsidDel="00000000" w:rsidR="00000000" w:rsidRPr="00000000">
        <w:rPr>
          <w:rtl w:val="0"/>
        </w:rPr>
        <w:t xml:space="preserve"> Robert Wilson's notes in "Astronomy through the Ages" </w:t>
      </w:r>
      <w:r w:rsidDel="00000000" w:rsidR="00000000" w:rsidRPr="00000000">
        <w:rPr>
          <w:rtl w:val="0"/>
        </w:rPr>
        <w:t xml:space="preserve">suggests, was not a sudden enlightenment but a gradual evolution, nurtured by the preservation and amalgamation of ancient knowledge, cross-cultural exchanges, and relentless pursuit of understanding the cosmos. The historical periods between the Greeks and the Renaissance, characterised by the Roman Empire's dissemination of Greek knowledge and the influence of Islamic scholarship, set the stage for this remarkable era. Islamic scholars, particularly during their golden age, played a pivotal role in preserving and enhancing Greek astronomical knowledge, which was further influenced by the religious and cultural contexts of different societies</w:t>
      </w:r>
      <w:r w:rsidDel="00000000" w:rsidR="00000000" w:rsidRPr="00000000">
        <w:rPr>
          <w:vertAlign w:val="superscript"/>
        </w:rPr>
        <w:footnoteReference w:customMarkFollows="0" w:id="18"/>
      </w:r>
      <w:r w:rsidDel="00000000" w:rsidR="00000000" w:rsidRPr="00000000">
        <w:rPr>
          <w:rtl w:val="0"/>
        </w:rPr>
        <w:t xml:space="preserve">.</w:t>
      </w:r>
    </w:p>
    <w:p w:rsidR="00000000" w:rsidDel="00000000" w:rsidP="00000000" w:rsidRDefault="00000000" w:rsidRPr="00000000" w14:paraId="0000009E">
      <w:pPr>
        <w:ind w:left="0" w:firstLine="0"/>
        <w:rPr/>
      </w:pPr>
      <w:r w:rsidDel="00000000" w:rsidR="00000000" w:rsidRPr="00000000">
        <w:rPr>
          <w:rtl w:val="0"/>
        </w:rPr>
        <w:tab/>
      </w:r>
      <w:r w:rsidDel="00000000" w:rsidR="00000000" w:rsidRPr="00000000">
        <w:rPr>
          <w:rtl w:val="0"/>
        </w:rPr>
        <w:t xml:space="preserve">Nicolaus Copernicus and Galileo Galilei</w:t>
      </w:r>
      <w:r w:rsidDel="00000000" w:rsidR="00000000" w:rsidRPr="00000000">
        <w:rPr>
          <w:rtl w:val="0"/>
        </w:rPr>
        <w:t xml:space="preserve"> emerged as monumental figures during the Renaissance, heralding a revolutionary shift in cosmological thought. Copernicus, through his</w:t>
      </w:r>
      <w:r w:rsidDel="00000000" w:rsidR="00000000" w:rsidRPr="00000000">
        <w:rPr>
          <w:rtl w:val="0"/>
        </w:rPr>
        <w:t xml:space="preserve"> "De Revolutionibus Orbium Coelestium", </w:t>
      </w:r>
      <w:r w:rsidDel="00000000" w:rsidR="00000000" w:rsidRPr="00000000">
        <w:rPr>
          <w:rtl w:val="0"/>
        </w:rPr>
        <w:t xml:space="preserve">proposed a heliocentric model, challenging the geocentric view and redefining humanity's perception of the universe. Galileo, using the </w:t>
      </w:r>
      <w:r w:rsidDel="00000000" w:rsidR="00000000" w:rsidRPr="00000000">
        <w:rPr>
          <w:rtl w:val="0"/>
        </w:rPr>
        <w:t xml:space="preserve">telescope</w:t>
      </w:r>
      <w:r w:rsidDel="00000000" w:rsidR="00000000" w:rsidRPr="00000000">
        <w:rPr>
          <w:rtl w:val="0"/>
        </w:rPr>
        <w:t xml:space="preserve">, provided empirical support for this model, leading to intellectual and cultural upheaval against established religious and philosophical doctrines</w:t>
      </w:r>
      <w:r w:rsidDel="00000000" w:rsidR="00000000" w:rsidRPr="00000000">
        <w:rPr>
          <w:vertAlign w:val="superscript"/>
        </w:rPr>
        <w:footnoteReference w:customMarkFollows="0" w:id="19"/>
      </w:r>
      <w:r w:rsidDel="00000000" w:rsidR="00000000" w:rsidRPr="00000000">
        <w:rPr>
          <w:rtl w:val="0"/>
        </w:rPr>
        <w:t xml:space="preserve">. </w:t>
      </w:r>
      <w:r w:rsidDel="00000000" w:rsidR="00000000" w:rsidRPr="00000000">
        <w:rPr>
          <w:rtl w:val="0"/>
        </w:rPr>
        <w:t xml:space="preserve">His trial exemplified the era's tension between emerging scientific knowledge and traditional dogma</w:t>
      </w:r>
      <w:r w:rsidDel="00000000" w:rsidR="00000000" w:rsidRPr="00000000">
        <w:rPr>
          <w:rtl w:val="0"/>
        </w:rPr>
        <w:t xml:space="preserve">. Galileo's astronomical discoveries, underscored by his use of the telescope, further revolutionised cosmology. However, his </w:t>
      </w:r>
      <w:r w:rsidDel="00000000" w:rsidR="00000000" w:rsidRPr="00000000">
        <w:rPr>
          <w:rtl w:val="0"/>
        </w:rPr>
        <w:t xml:space="preserve">trial and subsequent house arrest by the Church</w:t>
      </w:r>
      <w:r w:rsidDel="00000000" w:rsidR="00000000" w:rsidRPr="00000000">
        <w:rPr>
          <w:rtl w:val="0"/>
        </w:rPr>
        <w:t xml:space="preserve"> highlight the tension between emerging scientific thought and established religious doctrine. This conflict underscores the extent to which cosmological ideas were culturally conditioned during the Renaissance. Galileo's struggle was not just scientific but also cultural, pitting new ways of thinking against traditional beliefs. Beyond astronomy, the Renaissance was a period of significant developments in mathematics and physics. Furthermore, later </w:t>
      </w:r>
      <w:r w:rsidDel="00000000" w:rsidR="00000000" w:rsidRPr="00000000">
        <w:rPr>
          <w:rtl w:val="0"/>
        </w:rPr>
        <w:t xml:space="preserve">Kepler's laws of planetary motion</w:t>
      </w:r>
      <w:r w:rsidDel="00000000" w:rsidR="00000000" w:rsidRPr="00000000">
        <w:rPr>
          <w:vertAlign w:val="superscript"/>
        </w:rPr>
        <w:footnoteReference w:customMarkFollows="0" w:id="20"/>
      </w:r>
      <w:r w:rsidDel="00000000" w:rsidR="00000000" w:rsidRPr="00000000">
        <w:rPr>
          <w:rtl w:val="0"/>
        </w:rPr>
        <w:t xml:space="preserve"> and </w:t>
      </w:r>
      <w:r w:rsidDel="00000000" w:rsidR="00000000" w:rsidRPr="00000000">
        <w:rPr>
          <w:rtl w:val="0"/>
        </w:rPr>
        <w:t xml:space="preserve">Newton's laws of motion</w:t>
      </w:r>
      <w:r w:rsidDel="00000000" w:rsidR="00000000" w:rsidRPr="00000000">
        <w:rPr>
          <w:rtl w:val="0"/>
        </w:rPr>
        <w:t xml:space="preserve"> and universal gravitation fundamentally advanced our understanding of the cosmos. These breakthroughs were deeply embedded in the Renaissance's cultural and intellectual environment, marked by humanism and a rekindled interest in classical knowledge, encouraging questioning of established truths.</w:t>
      </w:r>
    </w:p>
    <w:p w:rsidR="00000000" w:rsidDel="00000000" w:rsidP="00000000" w:rsidRDefault="00000000" w:rsidRPr="00000000" w14:paraId="0000009F">
      <w:pPr>
        <w:ind w:left="0" w:firstLine="0"/>
        <w:rPr/>
      </w:pPr>
      <w:r w:rsidDel="00000000" w:rsidR="00000000" w:rsidRPr="00000000">
        <w:rPr>
          <w:rtl w:val="0"/>
        </w:rPr>
        <w:tab/>
        <w:t xml:space="preserve">In sum, the Renaissance marked a crucial milestone in cosmological thought. The synthesis of cultural, religious, and scientific factors during this period led to a profound transformation in cosmic perceptions, fundamentally altering humanity's understanding of its place in the universe and laying the foundation for modern astronomy.</w:t>
      </w:r>
    </w:p>
    <w:p w:rsidR="00000000" w:rsidDel="00000000" w:rsidP="00000000" w:rsidRDefault="00000000" w:rsidRPr="00000000" w14:paraId="000000A0">
      <w:pPr>
        <w:pStyle w:val="Heading4"/>
        <w:rPr/>
      </w:pPr>
      <w:bookmarkStart w:colFirst="0" w:colLast="0" w:name="_64ajcrrb9wmg" w:id="9"/>
      <w:bookmarkEnd w:id="9"/>
      <w:r w:rsidDel="00000000" w:rsidR="00000000" w:rsidRPr="00000000">
        <w:rPr>
          <w:rtl w:val="0"/>
        </w:rPr>
        <w:t xml:space="preserve">A post-Newtonian world</w:t>
      </w:r>
    </w:p>
    <w:p w:rsidR="00000000" w:rsidDel="00000000" w:rsidP="00000000" w:rsidRDefault="00000000" w:rsidRPr="00000000" w14:paraId="000000A1">
      <w:pPr>
        <w:ind w:firstLine="720"/>
        <w:rPr/>
      </w:pPr>
      <w:r w:rsidDel="00000000" w:rsidR="00000000" w:rsidRPr="00000000">
        <w:rPr>
          <w:rtl w:val="0"/>
        </w:rPr>
        <w:t xml:space="preserve">In the post-Newtonian era, cosmology underwent a transformative shift, influenced by the maturation of scientific methodologies and the changing cultural landscape. This period, extending from the late 17th to 18th centuries, represents a synthesis of classical Newtonian mechanics with emerging theories, reshaping our cosmic perspective. The development of the </w:t>
      </w:r>
      <w:r w:rsidDel="00000000" w:rsidR="00000000" w:rsidRPr="00000000">
        <w:rPr>
          <w:rtl w:val="0"/>
        </w:rPr>
        <w:t xml:space="preserve">telescope, as detailed in Wilson's "Astronomy through the Ages",</w:t>
      </w:r>
      <w:r w:rsidDel="00000000" w:rsidR="00000000" w:rsidRPr="00000000">
        <w:rPr>
          <w:rtl w:val="0"/>
        </w:rPr>
        <w:t xml:space="preserve"> marked a pivotal technological advancement. It expanded our observable universe and significantly altered humanity's perception of its place within it. </w:t>
      </w:r>
      <w:r w:rsidDel="00000000" w:rsidR="00000000" w:rsidRPr="00000000">
        <w:rPr>
          <w:rtl w:val="0"/>
        </w:rPr>
        <w:t xml:space="preserve">Observatories like the Royal Observatory in Greenwich founded in 1676, became centres of astronomical progress</w:t>
      </w:r>
      <w:r w:rsidDel="00000000" w:rsidR="00000000" w:rsidRPr="00000000">
        <w:rPr>
          <w:rtl w:val="0"/>
        </w:rPr>
        <w:t xml:space="preserve">, contributing to a deeper understanding of the cosmos</w:t>
      </w:r>
      <w:r w:rsidDel="00000000" w:rsidR="00000000" w:rsidRPr="00000000">
        <w:rPr>
          <w:vertAlign w:val="superscript"/>
        </w:rPr>
        <w:footnoteReference w:customMarkFollows="0" w:id="21"/>
      </w:r>
      <w:r w:rsidDel="00000000" w:rsidR="00000000" w:rsidRPr="00000000">
        <w:rPr>
          <w:rtl w:val="0"/>
        </w:rPr>
        <w:t xml:space="preserve">. Significantly, the cultural and philosophical backdrop of this era played a crucial role in interpreting these scientific findings. The Enlightenment, with its emphasis on reason and empirical evidence, fostered a climate where new cosmological ideas could be explored and debated. This period witnessed a reevaluation of humanity's place in the universe, driven by both scientific discovery and philosophical inquiry. Specifically, the discovery of new celestial bodies and the realisation of the vastness of space prompted a reconsideration of human significance. This existential reflection, intertwined with the scientific revelations of the time, highlights the intricate relationship between cosmological understanding and cultural context.</w:t>
      </w:r>
    </w:p>
    <w:p w:rsidR="00000000" w:rsidDel="00000000" w:rsidP="00000000" w:rsidRDefault="00000000" w:rsidRPr="00000000" w14:paraId="000000A2">
      <w:pPr>
        <w:ind w:firstLine="720"/>
        <w:rPr/>
      </w:pPr>
      <w:r w:rsidDel="00000000" w:rsidR="00000000" w:rsidRPr="00000000">
        <w:rPr>
          <w:rtl w:val="0"/>
        </w:rPr>
        <w:t xml:space="preserve">Cultural influences were distinctly evident in this era, as the shift from a geocentric to a heliocentric model was not only a scientific revolution but also a cultural upheaval. This transition challenged long-held beliefs and reshaped humanity's self-perception, signifying the major impact of cultural contexts on cosmological understanding. The post-Newtonian world was marked by an expanding understanding of the universe's vastness, driving a reassessment of humanity's significance within it. As astronomical discoveries revealed the enormity of the cosmos, they also highlighted the relatively insignificant position of Earth and humanity, prompting both existential reflection and scientific inquiry. Overall, the post-Newtonian world was not only an era of scientific advancement but also a period of deep cultural and philosophical introspection. The cosmologies that emerged during this time were inextricably linked to the cultural narratives of the era, suggesting that while they may reflect an essential reality, they are also still profoundly shaped by their cultural and historical contexts.</w:t>
      </w:r>
    </w:p>
    <w:p w:rsidR="00000000" w:rsidDel="00000000" w:rsidP="00000000" w:rsidRDefault="00000000" w:rsidRPr="00000000" w14:paraId="000000A3">
      <w:pPr>
        <w:ind w:firstLine="720"/>
        <w:rPr/>
      </w:pPr>
      <w:r w:rsidDel="00000000" w:rsidR="00000000" w:rsidRPr="00000000">
        <w:rPr>
          <w:rtl w:val="0"/>
        </w:rPr>
      </w:r>
    </w:p>
    <w:p w:rsidR="00000000" w:rsidDel="00000000" w:rsidP="00000000" w:rsidRDefault="00000000" w:rsidRPr="00000000" w14:paraId="000000A4">
      <w:pPr>
        <w:pStyle w:val="Heading2"/>
        <w:rPr/>
      </w:pPr>
      <w:bookmarkStart w:colFirst="0" w:colLast="0" w:name="_ghukgouxlfns" w:id="10"/>
      <w:bookmarkEnd w:id="10"/>
      <w:r w:rsidDel="00000000" w:rsidR="00000000" w:rsidRPr="00000000">
        <w:rPr>
          <w:rtl w:val="0"/>
        </w:rPr>
        <w:t xml:space="preserve">New cosmologies &amp; cosmology beyond cultural conditioning</w:t>
      </w:r>
    </w:p>
    <w:p w:rsidR="00000000" w:rsidDel="00000000" w:rsidP="00000000" w:rsidRDefault="00000000" w:rsidRPr="00000000" w14:paraId="000000A5">
      <w:pPr>
        <w:ind w:firstLine="720"/>
        <w:rPr/>
      </w:pPr>
      <w:r w:rsidDel="00000000" w:rsidR="00000000" w:rsidRPr="00000000">
        <w:rPr>
          <w:rtl w:val="0"/>
        </w:rPr>
        <w:t xml:space="preserve">The journey from ancient cosmologies, deeply rooted in cultural narratives, to the modern scientific understanding of the cosmos marks significant shifts. Historically, as seen from Mesopotamia to Greece, cosmologies were intertwined with cultural, religious, and political elements. However, in the modern era, a transformative shift occurs with the advent of empirical science, challenging the idea that cosmic understanding is purely a cultural construct. This shift is exemplified by the discovery of the cosmic microwave background radiation, suggesting a universally consistent cosmos,</w:t>
      </w:r>
      <w:r w:rsidDel="00000000" w:rsidR="00000000" w:rsidRPr="00000000">
        <w:rPr>
          <w:rtl w:val="0"/>
        </w:rPr>
        <w:t xml:space="preserve"> as Wilson notes in "The Nature and Origins of the Universe"</w:t>
      </w:r>
      <w:r w:rsidDel="00000000" w:rsidR="00000000" w:rsidRPr="00000000">
        <w:rPr>
          <w:vertAlign w:val="superscript"/>
        </w:rPr>
        <w:footnoteReference w:customMarkFollows="0" w:id="22"/>
      </w:r>
      <w:r w:rsidDel="00000000" w:rsidR="00000000" w:rsidRPr="00000000">
        <w:rPr>
          <w:rtl w:val="0"/>
        </w:rPr>
        <w:t xml:space="preserve">.</w:t>
      </w:r>
      <w:r w:rsidDel="00000000" w:rsidR="00000000" w:rsidRPr="00000000">
        <w:rPr>
          <w:rtl w:val="0"/>
        </w:rPr>
        <w:t xml:space="preserve"> This evidence, supporting the Big Bang theory, points to a universe governed by fundamental laws that transcend specific cultural narratives. It indicates that while our interpretations are culturally influenced, the universe operates on principles that are universally applicable.</w:t>
      </w:r>
    </w:p>
    <w:p w:rsidR="00000000" w:rsidDel="00000000" w:rsidP="00000000" w:rsidRDefault="00000000" w:rsidRPr="00000000" w14:paraId="000000A6">
      <w:pPr>
        <w:ind w:firstLine="720"/>
        <w:rPr/>
      </w:pPr>
      <w:r w:rsidDel="00000000" w:rsidR="00000000" w:rsidRPr="00000000">
        <w:rPr>
          <w:rtl w:val="0"/>
        </w:rPr>
        <w:t xml:space="preserve">The integration of quantum mechanics into cosmological theories, such as the quantum fluctuations leading to the multiverse hypothesis, posits a cosmos with multiple realities, each possibly adhering to different physical laws. This notion not only expands our understanding of the cosmos but also challenges the cultural confines within which traditional cosmologies were framed. Yet, this scientific advancement does not fully extricate cosmology from cultural influences. Contemporary cosmological theories, while scientifically grounded, are not entirely devoid of cultural influence. The philosophical and ethical considerations emerging from these theories reflect our cultural and societal norms. For instance, the ethical implications of potential extraterrestrial life or the philosophical questions about the nature of the universe and our place within it are deeply entwined with our cultural fabric.</w:t>
      </w:r>
    </w:p>
    <w:p w:rsidR="00000000" w:rsidDel="00000000" w:rsidP="00000000" w:rsidRDefault="00000000" w:rsidRPr="00000000" w14:paraId="000000A7">
      <w:pPr>
        <w:ind w:firstLine="720"/>
        <w:rPr/>
      </w:pPr>
      <w:r w:rsidDel="00000000" w:rsidR="00000000" w:rsidRPr="00000000">
        <w:rPr>
          <w:rtl w:val="0"/>
        </w:rPr>
        <w:t xml:space="preserve">In summary, modern cosmology, while significantly advanced in its scientific portrayal of the cosmos, continues to engage with cultural narratives. This era of cosmology suggests a nuanced relationship where scientific understanding and cultural context coexist, each shaping our comprehension of the cosmos. This duality, blending the pursuit of universal scientific truths with the rich tapestry of human culture, underscores the complexity of our ongoing quest to understand the universe.</w:t>
      </w:r>
    </w:p>
    <w:p w:rsidR="00000000" w:rsidDel="00000000" w:rsidP="00000000" w:rsidRDefault="00000000" w:rsidRPr="00000000" w14:paraId="000000A8">
      <w:pPr>
        <w:ind w:left="0" w:firstLine="0"/>
        <w:rPr/>
      </w:pPr>
      <w:r w:rsidDel="00000000" w:rsidR="00000000" w:rsidRPr="00000000">
        <w:rPr>
          <w:rtl w:val="0"/>
        </w:rPr>
      </w:r>
    </w:p>
    <w:p w:rsidR="00000000" w:rsidDel="00000000" w:rsidP="00000000" w:rsidRDefault="00000000" w:rsidRPr="00000000" w14:paraId="000000A9">
      <w:pPr>
        <w:pStyle w:val="Heading2"/>
        <w:rPr/>
      </w:pPr>
      <w:bookmarkStart w:colFirst="0" w:colLast="0" w:name="_j0fd9lz6sag7" w:id="11"/>
      <w:bookmarkEnd w:id="11"/>
      <w:r w:rsidDel="00000000" w:rsidR="00000000" w:rsidRPr="00000000">
        <w:rPr>
          <w:rtl w:val="0"/>
        </w:rPr>
        <w:t xml:space="preserve">Comparative analysis </w:t>
      </w:r>
    </w:p>
    <w:p w:rsidR="00000000" w:rsidDel="00000000" w:rsidP="00000000" w:rsidRDefault="00000000" w:rsidRPr="00000000" w14:paraId="000000AA">
      <w:pPr>
        <w:ind w:firstLine="720"/>
        <w:rPr/>
      </w:pPr>
      <w:r w:rsidDel="00000000" w:rsidR="00000000" w:rsidRPr="00000000">
        <w:rPr>
          <w:rtl w:val="0"/>
        </w:rPr>
        <w:t xml:space="preserve">Ancient civilizations, from Mesopotamia to Greece, developed cosmologies deeply ingrained in their cultural milieu. Mesopotamian cosmology, for instance, intertwined celestial events with religious and political significance, where cosmic phenomena were interpreted as divine messages. Similarly, Egyptian cosmology was closely linked with their deities and afterlife beliefs. In Greece, while a shift towards rational explanations emerged, their cosmology was still framed within their philosophical and mythological contexts. These examples illustrate that early cosmologies were not just attempts to understand the cosmos but were reflections of societal beliefs, values, and structures.</w:t>
      </w:r>
    </w:p>
    <w:p w:rsidR="00000000" w:rsidDel="00000000" w:rsidP="00000000" w:rsidRDefault="00000000" w:rsidRPr="00000000" w14:paraId="000000AB">
      <w:pPr>
        <w:ind w:firstLine="720"/>
        <w:rPr/>
      </w:pPr>
      <w:r w:rsidDel="00000000" w:rsidR="00000000" w:rsidRPr="00000000">
        <w:rPr>
          <w:rtl w:val="0"/>
        </w:rPr>
        <w:t xml:space="preserve">With the advent of modern science, cosmology began to shift from these culturally conditioned views towards seeking a more objective understanding of the universe. The discovery of the cosmic microwave background radiation, for instance, provided empirical evidence supporting the Big Bang theory. This pivotal finding, indicating a universe </w:t>
      </w:r>
      <w:r w:rsidDel="00000000" w:rsidR="00000000" w:rsidRPr="00000000">
        <w:rPr>
          <w:rtl w:val="0"/>
        </w:rPr>
        <w:t xml:space="preserve">"remarkably constant over the whole sky with no sign of any fluctuations"</w:t>
      </w:r>
      <w:r w:rsidDel="00000000" w:rsidR="00000000" w:rsidRPr="00000000">
        <w:rPr>
          <w:vertAlign w:val="superscript"/>
        </w:rPr>
        <w:footnoteReference w:customMarkFollows="0" w:id="23"/>
      </w:r>
      <w:r w:rsidDel="00000000" w:rsidR="00000000" w:rsidRPr="00000000">
        <w:rPr>
          <w:rtl w:val="0"/>
        </w:rPr>
        <w:t xml:space="preserve">, suggested a cosmic reality independent of human culture. Such scientific advancements demonstrate a movement towards uncovering an essential reality of the cosmos, challenging the idea that cosmological understanding is solely a product of cultural narratives. In the realm of modern cosmology, theories like the Big Bang and the discovery of cosmic microwave background radiation (CMB) have pivoted our understanding from a culturally centred view to a more universal one. The near-perfect isotropy of the CMB, as predicted by the Big Bang theory, is evidence to the idea that our understanding of the cosmos is not purely a cultural construct. However, contrasting viewpoints argue that even scientific interpretations are influenced by the cultural and philosophical backdrop of the times. For instance, the multiverse theory, while scientifically plausible, also raises profound philosophical questions about existence, reality, and our place in the cosmos. These illustrate that while scientific discoveries have reshaped our understanding, they are still interpreted through a lens influenced by cultural and philosophical perspectives, as culture is a product of the Post-Neolithic-Man, and so comes part-in-parcel with humankind, suggesting a complex, intertwined relationship between cosmology and culture. Despite the objective nature of these scientific discoveries, contemporary cosmology is not entirely devoid of cultural influence. The interpretation of cosmological phenomena and the philosophical and ethical implications they carry are still viewed through the lens of contemporary culture. The way we understand concepts like the multiverse or dark matter is inevitably coloured by the societal and philosophical frameworks of our time, and ultimately may be something that may always be elusive to the human mind, and as for many wonders of the nature and origins of our cosmos, as our minds may not be equipped to digest such complexities. This ongoing interaction suggests that while modern cosmology has made significant strides in transcending cultural conditioning, it has not entirely escaped its influence.</w:t>
      </w:r>
    </w:p>
    <w:p w:rsidR="00000000" w:rsidDel="00000000" w:rsidP="00000000" w:rsidRDefault="00000000" w:rsidRPr="00000000" w14:paraId="000000AC">
      <w:pPr>
        <w:rPr/>
      </w:pPr>
      <w:r w:rsidDel="00000000" w:rsidR="00000000" w:rsidRPr="00000000">
        <w:rPr>
          <w:rtl w:val="0"/>
        </w:rPr>
        <w:tab/>
        <w:t xml:space="preserve">This comparative analysis reveals that while ancient cosmologies were predominantly cultural constructs, modern cosmology, driven by empirical evidence, seeks to transcend these cultural boundaries. However, the influence of contemporary cultural perspectives continues to shape the interpretation and ethical considerations of cosmological discoveries. Thus, the relationship between cosmology and culture is dynamic and evolving. While scientific advancements challenge culturally-influenced cosmologies, they do not entirely eliminate the cultural context from which they arise. In summary, the pursuit of understanding the cosmos is a complex amalgamation of seeking universal truths while navigating the intricate web of cultural narratives. This synthesis of scientific inquiry and cultural context underscores the nuanced and multifaceted nature of cosmological exploration.</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pStyle w:val="Heading2"/>
        <w:rPr/>
      </w:pPr>
      <w:bookmarkStart w:colFirst="0" w:colLast="0" w:name="_3zoz9b6sxmii" w:id="12"/>
      <w:bookmarkEnd w:id="12"/>
      <w:r w:rsidDel="00000000" w:rsidR="00000000" w:rsidRPr="00000000">
        <w:rPr>
          <w:rtl w:val="0"/>
        </w:rPr>
        <w:t xml:space="preserve">Conclusion </w:t>
      </w:r>
    </w:p>
    <w:p w:rsidR="00000000" w:rsidDel="00000000" w:rsidP="00000000" w:rsidRDefault="00000000" w:rsidRPr="00000000" w14:paraId="000000AF">
      <w:pPr>
        <w:ind w:firstLine="720"/>
        <w:rPr/>
      </w:pPr>
      <w:r w:rsidDel="00000000" w:rsidR="00000000" w:rsidRPr="00000000">
        <w:rPr>
          <w:rtl w:val="0"/>
        </w:rPr>
        <w:t xml:space="preserve">The exploration of cosmology through the lens of cultural conditioning, as presented in this essay, reveals that while culture can at times obscure cosmological truths, paradoxically, it also fuels the drive for astronomical discovery, serving as both a lens that may distort and a catalyst that propels our pursuit of understanding. The journey from ancient cosmologies, deeply rooted in cultural, religious, and political contexts, to the modern scientific era underscores a significant evolution in our cosmic perception. Ancient civilizations, such as Mesopotamia and Egypt, interpreted celestial phenomena through the prism of their cultural beliefs, embedding cosmic understanding within their societal narratives. In contrast, the scientific revolution, exemplified by the invention of the telescope to the discovery of the cosmic microwave background radiation, marks a shift towards a more universal and objective understanding of the cosmos. However, this transition does not signify a complete detachment from cultural influences. Contemporary cosmological theories, while grounded in empirical evidence, continue to be shaped by the cultural and philosophical backdrop of our times. The interpretation of phenomena like the multiverse or dark matter, and the ethical implications of potential extraterrestrial life, demonstrate that cultural narratives still play a crucial role in shaping our understanding of the universe. Furthermore, as technological advances continue to peel back layers of cosmic mystery, our perception of the universe evolves from the conception of a small, finite cosmos to a vast, ever-expanding void, continually redefining the boundaries of our celestial knowledge. This essay concludes that while modern cosmology strives to transcend cultural conditioning, it remains influenced by the cultural context within which it operates. Our quest to understand the cosmos is thus an ongoing interplay between scientific discovery and cultural narratives, each enriching and informing the other. </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ind w:left="0" w:firstLine="0"/>
        <w:rPr/>
      </w:pPr>
      <w:r w:rsidDel="00000000" w:rsidR="00000000" w:rsidRPr="00000000">
        <w:rPr>
          <w:rtl w:val="0"/>
        </w:rPr>
      </w:r>
    </w:p>
    <w:p w:rsidR="00000000" w:rsidDel="00000000" w:rsidP="00000000" w:rsidRDefault="00000000" w:rsidRPr="00000000" w14:paraId="000000B2">
      <w:pPr>
        <w:pStyle w:val="Heading2"/>
        <w:rPr/>
      </w:pPr>
      <w:bookmarkStart w:colFirst="0" w:colLast="0" w:name="_ak9s0pkp1a6r" w:id="13"/>
      <w:bookmarkEnd w:id="13"/>
      <w:r w:rsidDel="00000000" w:rsidR="00000000" w:rsidRPr="00000000">
        <w:rPr>
          <w:rtl w:val="0"/>
        </w:rPr>
        <w:t xml:space="preserve">Bibliography</w:t>
      </w:r>
    </w:p>
    <w:p w:rsidR="00000000" w:rsidDel="00000000" w:rsidP="00000000" w:rsidRDefault="00000000" w:rsidRPr="00000000" w14:paraId="000000B3">
      <w:pPr>
        <w:ind w:left="0" w:firstLine="0"/>
        <w:rPr/>
      </w:pPr>
      <w:r w:rsidDel="00000000" w:rsidR="00000000" w:rsidRPr="00000000">
        <w:rPr>
          <w:rtl w:val="0"/>
        </w:rPr>
      </w:r>
    </w:p>
    <w:p w:rsidR="00000000" w:rsidDel="00000000" w:rsidP="00000000" w:rsidRDefault="00000000" w:rsidRPr="00000000" w14:paraId="000000B4">
      <w:pPr>
        <w:spacing w:after="240" w:before="240" w:lineRule="auto"/>
        <w:ind w:left="0" w:firstLine="0"/>
        <w:rPr/>
      </w:pPr>
      <w:r w:rsidDel="00000000" w:rsidR="00000000" w:rsidRPr="00000000">
        <w:rPr>
          <w:rtl w:val="0"/>
        </w:rPr>
        <w:t xml:space="preserve">Asouti, E. and Fuller, D.Q.  ‘From foraging to farming in the southern Levant: The development of Epipalaeolithic and pre-pottery Neolithic Plant Management Strategies’, </w:t>
      </w:r>
      <w:r w:rsidDel="00000000" w:rsidR="00000000" w:rsidRPr="00000000">
        <w:rPr>
          <w:i w:val="1"/>
          <w:rtl w:val="0"/>
        </w:rPr>
        <w:t xml:space="preserve">Vegetation History and Archaeobotany</w:t>
      </w:r>
      <w:r w:rsidDel="00000000" w:rsidR="00000000" w:rsidRPr="00000000">
        <w:rPr>
          <w:rtl w:val="0"/>
        </w:rPr>
        <w:t xml:space="preserve">, 21(2), pp. 149–162. 2011, doi:10.1007/s00334-011-0332-0. </w:t>
      </w:r>
    </w:p>
    <w:p w:rsidR="00000000" w:rsidDel="00000000" w:rsidP="00000000" w:rsidRDefault="00000000" w:rsidRPr="00000000" w14:paraId="000000B5">
      <w:pPr>
        <w:spacing w:after="240" w:before="240" w:lineRule="auto"/>
        <w:ind w:left="0" w:firstLine="0"/>
        <w:rPr/>
      </w:pPr>
      <w:r w:rsidDel="00000000" w:rsidR="00000000" w:rsidRPr="00000000">
        <w:rPr>
          <w:rtl w:val="0"/>
        </w:rPr>
        <w:t xml:space="preserve">Bar-Yosef, O. and Valla, F.R. ‘The Natufian and the Younger Dryas’, in </w:t>
      </w:r>
      <w:r w:rsidDel="00000000" w:rsidR="00000000" w:rsidRPr="00000000">
        <w:rPr>
          <w:i w:val="1"/>
          <w:rtl w:val="0"/>
        </w:rPr>
        <w:t xml:space="preserve">Natufian foragers in the Levant: Terminal pleistocene social changes in Western Asia</w:t>
      </w:r>
      <w:r w:rsidDel="00000000" w:rsidR="00000000" w:rsidRPr="00000000">
        <w:rPr>
          <w:rtl w:val="0"/>
        </w:rPr>
        <w:t xml:space="preserve">. Ann Arbor, MI: International Monographs in Prehistory. 2013.</w:t>
      </w:r>
    </w:p>
    <w:p w:rsidR="00000000" w:rsidDel="00000000" w:rsidP="00000000" w:rsidRDefault="00000000" w:rsidRPr="00000000" w14:paraId="000000B6">
      <w:pPr>
        <w:spacing w:after="240" w:before="240" w:lineRule="auto"/>
        <w:ind w:left="0" w:firstLine="0"/>
        <w:rPr/>
      </w:pPr>
      <w:r w:rsidDel="00000000" w:rsidR="00000000" w:rsidRPr="00000000">
        <w:rPr>
          <w:rtl w:val="0"/>
        </w:rPr>
        <w:t xml:space="preserve">Campion, N. ‘Chapter 8: Egypt - The Solar Society ’, in </w:t>
      </w:r>
      <w:r w:rsidDel="00000000" w:rsidR="00000000" w:rsidRPr="00000000">
        <w:rPr>
          <w:i w:val="1"/>
          <w:rtl w:val="0"/>
        </w:rPr>
        <w:t xml:space="preserve">Astrology and cosmology in the world’s religions</w:t>
      </w:r>
      <w:r w:rsidDel="00000000" w:rsidR="00000000" w:rsidRPr="00000000">
        <w:rPr>
          <w:rtl w:val="0"/>
        </w:rPr>
        <w:t xml:space="preserve">. New York: New York University Press. 2012a</w:t>
      </w:r>
    </w:p>
    <w:p w:rsidR="00000000" w:rsidDel="00000000" w:rsidP="00000000" w:rsidRDefault="00000000" w:rsidRPr="00000000" w14:paraId="000000B7">
      <w:pPr>
        <w:spacing w:after="240" w:before="240" w:lineRule="auto"/>
        <w:ind w:left="0" w:firstLine="0"/>
        <w:rPr/>
      </w:pPr>
      <w:r w:rsidDel="00000000" w:rsidR="00000000" w:rsidRPr="00000000">
        <w:rPr>
          <w:rtl w:val="0"/>
        </w:rPr>
        <w:t xml:space="preserve">Campion, N.  ‘Chapter 11: Babylon - Signs in the Sky’, in </w:t>
      </w:r>
      <w:r w:rsidDel="00000000" w:rsidR="00000000" w:rsidRPr="00000000">
        <w:rPr>
          <w:i w:val="1"/>
          <w:rtl w:val="0"/>
        </w:rPr>
        <w:t xml:space="preserve">Astrology and cosmology in the world’s religions</w:t>
      </w:r>
      <w:r w:rsidDel="00000000" w:rsidR="00000000" w:rsidRPr="00000000">
        <w:rPr>
          <w:rtl w:val="0"/>
        </w:rPr>
        <w:t xml:space="preserve">. New York: New York University Press. 2012b</w:t>
      </w:r>
    </w:p>
    <w:p w:rsidR="00000000" w:rsidDel="00000000" w:rsidP="00000000" w:rsidRDefault="00000000" w:rsidRPr="00000000" w14:paraId="000000B8">
      <w:pPr>
        <w:spacing w:after="240" w:before="240" w:lineRule="auto"/>
        <w:ind w:left="0" w:firstLine="0"/>
        <w:rPr/>
      </w:pPr>
      <w:r w:rsidDel="00000000" w:rsidR="00000000" w:rsidRPr="00000000">
        <w:rPr>
          <w:rtl w:val="0"/>
        </w:rPr>
        <w:t xml:space="preserve">Campion, N. ‘Chapter 13: Classical Greece - Ascent to the Stars’, in </w:t>
      </w:r>
      <w:r w:rsidDel="00000000" w:rsidR="00000000" w:rsidRPr="00000000">
        <w:rPr>
          <w:i w:val="1"/>
          <w:rtl w:val="0"/>
        </w:rPr>
        <w:t xml:space="preserve">Astrology and cosmology in the world’s religions</w:t>
      </w:r>
      <w:r w:rsidDel="00000000" w:rsidR="00000000" w:rsidRPr="00000000">
        <w:rPr>
          <w:rtl w:val="0"/>
        </w:rPr>
        <w:t xml:space="preserve">. New York: New York University Press. 2012c</w:t>
      </w:r>
    </w:p>
    <w:p w:rsidR="00000000" w:rsidDel="00000000" w:rsidP="00000000" w:rsidRDefault="00000000" w:rsidRPr="00000000" w14:paraId="000000B9">
      <w:pPr>
        <w:spacing w:after="240" w:before="240" w:lineRule="auto"/>
        <w:ind w:left="0" w:firstLine="0"/>
        <w:rPr/>
      </w:pPr>
      <w:r w:rsidDel="00000000" w:rsidR="00000000" w:rsidRPr="00000000">
        <w:rPr>
          <w:rtl w:val="0"/>
        </w:rPr>
        <w:t xml:space="preserve">Cherry, J. and Rojas, F.  ‘Chapter 2: The Sanctuary: The World’s Oldest Temple and the Dawn of Civilization’, in </w:t>
      </w:r>
      <w:r w:rsidDel="00000000" w:rsidR="00000000" w:rsidRPr="00000000">
        <w:rPr>
          <w:i w:val="1"/>
          <w:rtl w:val="0"/>
        </w:rPr>
        <w:t xml:space="preserve">Archaeology for the people</w:t>
      </w:r>
      <w:r w:rsidDel="00000000" w:rsidR="00000000" w:rsidRPr="00000000">
        <w:rPr>
          <w:rtl w:val="0"/>
        </w:rPr>
        <w:t xml:space="preserve">. Oxbow Books. 2022</w:t>
      </w:r>
    </w:p>
    <w:p w:rsidR="00000000" w:rsidDel="00000000" w:rsidP="00000000" w:rsidRDefault="00000000" w:rsidRPr="00000000" w14:paraId="000000BA">
      <w:pPr>
        <w:spacing w:after="240" w:before="240" w:lineRule="auto"/>
        <w:ind w:left="0" w:firstLine="0"/>
        <w:rPr/>
      </w:pPr>
      <w:r w:rsidDel="00000000" w:rsidR="00000000" w:rsidRPr="00000000">
        <w:rPr>
          <w:i w:val="1"/>
          <w:rtl w:val="0"/>
        </w:rPr>
        <w:t xml:space="preserve">Cosmology</w:t>
      </w:r>
      <w:r w:rsidDel="00000000" w:rsidR="00000000" w:rsidRPr="00000000">
        <w:rPr>
          <w:rtl w:val="0"/>
        </w:rPr>
        <w:t xml:space="preserve"> </w:t>
      </w:r>
      <w:r w:rsidDel="00000000" w:rsidR="00000000" w:rsidRPr="00000000">
        <w:rPr>
          <w:i w:val="1"/>
          <w:rtl w:val="0"/>
        </w:rPr>
        <w:t xml:space="preserve">Encyclopædia Britannica</w:t>
      </w:r>
      <w:r w:rsidDel="00000000" w:rsidR="00000000" w:rsidRPr="00000000">
        <w:rPr>
          <w:rtl w:val="0"/>
        </w:rPr>
        <w:t xml:space="preserve">. Available at: https://www.britannica.com/science/cosmology-astronomy (Accessed: 02 January 2024). </w:t>
      </w:r>
    </w:p>
    <w:p w:rsidR="00000000" w:rsidDel="00000000" w:rsidP="00000000" w:rsidRDefault="00000000" w:rsidRPr="00000000" w14:paraId="000000BB">
      <w:pPr>
        <w:spacing w:after="240" w:before="240" w:lineRule="auto"/>
        <w:ind w:left="0" w:firstLine="0"/>
        <w:rPr/>
      </w:pPr>
      <w:r w:rsidDel="00000000" w:rsidR="00000000" w:rsidRPr="00000000">
        <w:rPr>
          <w:rtl w:val="0"/>
        </w:rPr>
        <w:t xml:space="preserve">Eagleton, T.  ‘Versions of Culture’, in </w:t>
      </w:r>
      <w:r w:rsidDel="00000000" w:rsidR="00000000" w:rsidRPr="00000000">
        <w:rPr>
          <w:i w:val="1"/>
          <w:rtl w:val="0"/>
        </w:rPr>
        <w:t xml:space="preserve">The idea of culture</w:t>
      </w:r>
      <w:r w:rsidDel="00000000" w:rsidR="00000000" w:rsidRPr="00000000">
        <w:rPr>
          <w:rtl w:val="0"/>
        </w:rPr>
        <w:t xml:space="preserve">. Hoboken: Wiley. 2013</w:t>
      </w:r>
    </w:p>
    <w:p w:rsidR="00000000" w:rsidDel="00000000" w:rsidP="00000000" w:rsidRDefault="00000000" w:rsidRPr="00000000" w14:paraId="000000BC">
      <w:pPr>
        <w:spacing w:after="240" w:before="240" w:lineRule="auto"/>
        <w:ind w:left="0" w:firstLine="0"/>
        <w:rPr/>
      </w:pPr>
      <w:r w:rsidDel="00000000" w:rsidR="00000000" w:rsidRPr="00000000">
        <w:rPr>
          <w:rtl w:val="0"/>
        </w:rPr>
        <w:t xml:space="preserve">Harari, Y.N., Casanave, D. and Vandermeulen, D. </w:t>
      </w:r>
      <w:r w:rsidDel="00000000" w:rsidR="00000000" w:rsidRPr="00000000">
        <w:rPr>
          <w:i w:val="1"/>
          <w:rtl w:val="0"/>
        </w:rPr>
        <w:t xml:space="preserve">Sapiens</w:t>
      </w:r>
      <w:r w:rsidDel="00000000" w:rsidR="00000000" w:rsidRPr="00000000">
        <w:rPr>
          <w:rtl w:val="0"/>
        </w:rPr>
        <w:t xml:space="preserve">. London: Jonathan Cape. 2020</w:t>
      </w:r>
    </w:p>
    <w:p w:rsidR="00000000" w:rsidDel="00000000" w:rsidP="00000000" w:rsidRDefault="00000000" w:rsidRPr="00000000" w14:paraId="000000BD">
      <w:pPr>
        <w:spacing w:after="240" w:before="240" w:lineRule="auto"/>
        <w:ind w:left="0" w:firstLine="0"/>
        <w:rPr/>
      </w:pPr>
      <w:r w:rsidDel="00000000" w:rsidR="00000000" w:rsidRPr="00000000">
        <w:rPr>
          <w:rtl w:val="0"/>
        </w:rPr>
        <w:t xml:space="preserve">James, P. and van der Sluijs, M.A. ‘Ziggurats, colors, and planets: Rawlinson revisited’, </w:t>
      </w:r>
      <w:r w:rsidDel="00000000" w:rsidR="00000000" w:rsidRPr="00000000">
        <w:rPr>
          <w:i w:val="1"/>
          <w:rtl w:val="0"/>
        </w:rPr>
        <w:t xml:space="preserve">Journal of Cuneiform Studies</w:t>
      </w:r>
      <w:r w:rsidDel="00000000" w:rsidR="00000000" w:rsidRPr="00000000">
        <w:rPr>
          <w:rtl w:val="0"/>
        </w:rPr>
        <w:t xml:space="preserve">, 60(1), pp. 57–79. 2008. doi:10.1086/jcs25608622. </w:t>
      </w:r>
    </w:p>
    <w:p w:rsidR="00000000" w:rsidDel="00000000" w:rsidP="00000000" w:rsidRDefault="00000000" w:rsidRPr="00000000" w14:paraId="000000BE">
      <w:pPr>
        <w:spacing w:after="240" w:before="240" w:lineRule="auto"/>
        <w:ind w:left="0" w:firstLine="0"/>
        <w:rPr/>
      </w:pPr>
      <w:r w:rsidDel="00000000" w:rsidR="00000000" w:rsidRPr="00000000">
        <w:rPr>
          <w:rtl w:val="0"/>
        </w:rPr>
        <w:t xml:space="preserve">M., D.R.I., Knight, C. and Power, C. ‘Chapter 7: The Origin of Symbolic Culture ’, in </w:t>
      </w:r>
      <w:r w:rsidDel="00000000" w:rsidR="00000000" w:rsidRPr="00000000">
        <w:rPr>
          <w:i w:val="1"/>
          <w:rtl w:val="0"/>
        </w:rPr>
        <w:t xml:space="preserve">The Evolution of Culture: An Interdisciplinary view</w:t>
      </w:r>
      <w:r w:rsidDel="00000000" w:rsidR="00000000" w:rsidRPr="00000000">
        <w:rPr>
          <w:rtl w:val="0"/>
        </w:rPr>
        <w:t xml:space="preserve">. Edinburgh: Edinburgh University Press. 1999</w:t>
      </w:r>
    </w:p>
    <w:p w:rsidR="00000000" w:rsidDel="00000000" w:rsidP="00000000" w:rsidRDefault="00000000" w:rsidRPr="00000000" w14:paraId="000000BF">
      <w:pPr>
        <w:spacing w:after="240" w:before="240" w:lineRule="auto"/>
        <w:ind w:left="0" w:firstLine="0"/>
        <w:rPr/>
      </w:pPr>
      <w:r w:rsidDel="00000000" w:rsidR="00000000" w:rsidRPr="00000000">
        <w:rPr>
          <w:rtl w:val="0"/>
        </w:rPr>
        <w:t xml:space="preserve">Murphy, D.J. ‘Chapter 3: How some people became farmers’, in </w:t>
      </w:r>
      <w:r w:rsidDel="00000000" w:rsidR="00000000" w:rsidRPr="00000000">
        <w:rPr>
          <w:i w:val="1"/>
          <w:rtl w:val="0"/>
        </w:rPr>
        <w:t xml:space="preserve">People, plants and genes: The story of crops and humanity</w:t>
      </w:r>
      <w:r w:rsidDel="00000000" w:rsidR="00000000" w:rsidRPr="00000000">
        <w:rPr>
          <w:rtl w:val="0"/>
        </w:rPr>
        <w:t xml:space="preserve">. Oxford: Oxford University Press. 2007</w:t>
      </w:r>
    </w:p>
    <w:p w:rsidR="00000000" w:rsidDel="00000000" w:rsidP="00000000" w:rsidRDefault="00000000" w:rsidRPr="00000000" w14:paraId="000000C0">
      <w:pPr>
        <w:spacing w:after="240" w:before="240" w:lineRule="auto"/>
        <w:ind w:left="0" w:firstLine="0"/>
        <w:rPr/>
      </w:pPr>
      <w:r w:rsidDel="00000000" w:rsidR="00000000" w:rsidRPr="00000000">
        <w:rPr>
          <w:rtl w:val="0"/>
        </w:rPr>
        <w:t xml:space="preserve">Sachs, J.D. ‘Chapter 3: The Neolithic Age (10,000–3000 BCE)’, in </w:t>
      </w:r>
      <w:r w:rsidDel="00000000" w:rsidR="00000000" w:rsidRPr="00000000">
        <w:rPr>
          <w:i w:val="1"/>
          <w:rtl w:val="0"/>
        </w:rPr>
        <w:t xml:space="preserve">The ages of globalization geography, technology, and Institutions</w:t>
      </w:r>
      <w:r w:rsidDel="00000000" w:rsidR="00000000" w:rsidRPr="00000000">
        <w:rPr>
          <w:rtl w:val="0"/>
        </w:rPr>
        <w:t xml:space="preserve">. New York, N.Y: Columbia University Press. 2020</w:t>
      </w:r>
    </w:p>
    <w:p w:rsidR="00000000" w:rsidDel="00000000" w:rsidP="00000000" w:rsidRDefault="00000000" w:rsidRPr="00000000" w14:paraId="000000C1">
      <w:pPr>
        <w:spacing w:after="240" w:before="240" w:lineRule="auto"/>
        <w:ind w:left="0" w:firstLine="0"/>
        <w:rPr/>
      </w:pPr>
      <w:r w:rsidDel="00000000" w:rsidR="00000000" w:rsidRPr="00000000">
        <w:rPr>
          <w:rtl w:val="0"/>
        </w:rPr>
        <w:t xml:space="preserve">Silva, F., Campion, N. and Brady, B. ‘Chapter 7: Star phases: the Naked-eye Astronomy of the Old Kingdom Pyramid Texts’, in </w:t>
      </w:r>
      <w:r w:rsidDel="00000000" w:rsidR="00000000" w:rsidRPr="00000000">
        <w:rPr>
          <w:i w:val="1"/>
          <w:rtl w:val="0"/>
        </w:rPr>
        <w:t xml:space="preserve">Skyscapes</w:t>
      </w:r>
      <w:r w:rsidDel="00000000" w:rsidR="00000000" w:rsidRPr="00000000">
        <w:rPr>
          <w:rtl w:val="0"/>
        </w:rPr>
        <w:t xml:space="preserve">. Oxbow Books. 2022</w:t>
      </w:r>
    </w:p>
    <w:p w:rsidR="00000000" w:rsidDel="00000000" w:rsidP="00000000" w:rsidRDefault="00000000" w:rsidRPr="00000000" w14:paraId="000000C2">
      <w:pPr>
        <w:spacing w:after="240" w:before="240" w:lineRule="auto"/>
        <w:ind w:left="0" w:firstLine="0"/>
        <w:rPr/>
      </w:pPr>
      <w:r w:rsidDel="00000000" w:rsidR="00000000" w:rsidRPr="00000000">
        <w:rPr>
          <w:rtl w:val="0"/>
        </w:rPr>
        <w:t xml:space="preserve">WILSON, S.R ‘Chapter 5: The Renaissance’, in </w:t>
      </w:r>
      <w:r w:rsidDel="00000000" w:rsidR="00000000" w:rsidRPr="00000000">
        <w:rPr>
          <w:i w:val="1"/>
          <w:rtl w:val="0"/>
        </w:rPr>
        <w:t xml:space="preserve">Astronomy through the ages: The story of the human attempt to understand the universe</w:t>
      </w:r>
      <w:r w:rsidDel="00000000" w:rsidR="00000000" w:rsidRPr="00000000">
        <w:rPr>
          <w:rtl w:val="0"/>
        </w:rPr>
        <w:t xml:space="preserve">. S.l.: CRC PRESS.​​ 2019a</w:t>
      </w:r>
    </w:p>
    <w:p w:rsidR="00000000" w:rsidDel="00000000" w:rsidP="00000000" w:rsidRDefault="00000000" w:rsidRPr="00000000" w14:paraId="000000C3">
      <w:pPr>
        <w:spacing w:after="240" w:before="240" w:lineRule="auto"/>
        <w:ind w:left="0" w:firstLine="0"/>
        <w:rPr/>
      </w:pPr>
      <w:r w:rsidDel="00000000" w:rsidR="00000000" w:rsidRPr="00000000">
        <w:rPr>
          <w:rtl w:val="0"/>
        </w:rPr>
        <w:t xml:space="preserve">WILSON, S.R.  ‘Chapter 4: The Interlude’, in </w:t>
      </w:r>
      <w:r w:rsidDel="00000000" w:rsidR="00000000" w:rsidRPr="00000000">
        <w:rPr>
          <w:i w:val="1"/>
          <w:rtl w:val="0"/>
        </w:rPr>
        <w:t xml:space="preserve">Astronomy through the ages: The story of the human attempt to understand the universe</w:t>
      </w:r>
      <w:r w:rsidDel="00000000" w:rsidR="00000000" w:rsidRPr="00000000">
        <w:rPr>
          <w:rtl w:val="0"/>
        </w:rPr>
        <w:t xml:space="preserve">. S.l.: CRC PRESS. 2019b</w:t>
      </w:r>
    </w:p>
    <w:p w:rsidR="00000000" w:rsidDel="00000000" w:rsidP="00000000" w:rsidRDefault="00000000" w:rsidRPr="00000000" w14:paraId="000000C4">
      <w:pPr>
        <w:spacing w:after="240" w:before="240" w:lineRule="auto"/>
        <w:ind w:left="0" w:firstLine="0"/>
        <w:rPr/>
      </w:pPr>
      <w:r w:rsidDel="00000000" w:rsidR="00000000" w:rsidRPr="00000000">
        <w:rPr>
          <w:rtl w:val="0"/>
        </w:rPr>
        <w:t xml:space="preserve">WILSON, S.R.  ‘Chapter 13: The Nature, Origin and Evolution of the Universe’, in </w:t>
      </w:r>
      <w:r w:rsidDel="00000000" w:rsidR="00000000" w:rsidRPr="00000000">
        <w:rPr>
          <w:i w:val="1"/>
          <w:rtl w:val="0"/>
        </w:rPr>
        <w:t xml:space="preserve">Astronomy through the ages: The story of the human attempt to understand the universe</w:t>
      </w:r>
      <w:r w:rsidDel="00000000" w:rsidR="00000000" w:rsidRPr="00000000">
        <w:rPr>
          <w:rtl w:val="0"/>
        </w:rPr>
        <w:t xml:space="preserve">. S.l.: CRC PRESS. 2019c</w:t>
      </w:r>
    </w:p>
    <w:p w:rsidR="00000000" w:rsidDel="00000000" w:rsidP="00000000" w:rsidRDefault="00000000" w:rsidRPr="00000000" w14:paraId="000000C5">
      <w:pPr>
        <w:spacing w:after="240" w:before="240" w:lineRule="auto"/>
        <w:ind w:left="0" w:firstLine="0"/>
        <w:rPr/>
      </w:pPr>
      <w:r w:rsidDel="00000000" w:rsidR="00000000" w:rsidRPr="00000000">
        <w:rPr>
          <w:rtl w:val="0"/>
        </w:rPr>
        <w:t xml:space="preserve">WILSON, S.R. ‘Part II: - THE ERA OF THE TELESCOPE. Chapter 6: The Classical Post-Newtonian Period’, in </w:t>
      </w:r>
      <w:r w:rsidDel="00000000" w:rsidR="00000000" w:rsidRPr="00000000">
        <w:rPr>
          <w:i w:val="1"/>
          <w:rtl w:val="0"/>
        </w:rPr>
        <w:t xml:space="preserve">Astronomy through the ages: The story of the human attempt to understand the universe</w:t>
      </w:r>
      <w:r w:rsidDel="00000000" w:rsidR="00000000" w:rsidRPr="00000000">
        <w:rPr>
          <w:rtl w:val="0"/>
        </w:rPr>
        <w:t xml:space="preserve">. S.l.: CRC PRESS. 2019d</w:t>
      </w:r>
    </w:p>
    <w:p w:rsidR="00000000" w:rsidDel="00000000" w:rsidP="00000000" w:rsidRDefault="00000000" w:rsidRPr="00000000" w14:paraId="000000C6">
      <w:pPr>
        <w:spacing w:after="240" w:before="240" w:lineRule="auto"/>
        <w:ind w:left="0" w:firstLine="0"/>
        <w:rPr/>
      </w:pPr>
      <w:r w:rsidDel="00000000" w:rsidR="00000000" w:rsidRPr="00000000">
        <w:rPr>
          <w:rtl w:val="0"/>
        </w:rPr>
        <w:t xml:space="preserve">WILSON, S.R.‘Chapter 3: The Greeks’, in </w:t>
      </w:r>
      <w:r w:rsidDel="00000000" w:rsidR="00000000" w:rsidRPr="00000000">
        <w:rPr>
          <w:i w:val="1"/>
          <w:rtl w:val="0"/>
        </w:rPr>
        <w:t xml:space="preserve">Astronomy through the ages: The story of the human attempt to understand the universe</w:t>
      </w:r>
      <w:r w:rsidDel="00000000" w:rsidR="00000000" w:rsidRPr="00000000">
        <w:rPr>
          <w:rtl w:val="0"/>
        </w:rPr>
        <w:t xml:space="preserve">. S.l.: CRC PRESS. 2019e</w:t>
      </w:r>
    </w:p>
    <w:p w:rsidR="00000000" w:rsidDel="00000000" w:rsidP="00000000" w:rsidRDefault="00000000" w:rsidRPr="00000000" w14:paraId="000000C7">
      <w:pPr>
        <w:ind w:left="0" w:firstLine="0"/>
        <w:rPr/>
      </w:pPr>
      <w:r w:rsidDel="00000000" w:rsidR="00000000" w:rsidRPr="00000000">
        <w:rPr>
          <w:rtl w:val="0"/>
        </w:rPr>
      </w:r>
    </w:p>
    <w:p w:rsidR="00000000" w:rsidDel="00000000" w:rsidP="00000000" w:rsidRDefault="00000000" w:rsidRPr="00000000" w14:paraId="000000C8">
      <w:pPr>
        <w:ind w:left="0" w:firstLine="0"/>
        <w:rPr/>
      </w:pPr>
      <w:r w:rsidDel="00000000" w:rsidR="00000000" w:rsidRPr="00000000">
        <w:rPr>
          <w:rtl w:val="0"/>
        </w:rPr>
      </w:r>
    </w:p>
    <w:sectPr>
      <w:headerReference r:id="rId8" w:type="default"/>
      <w:foot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rebuchet MS"/>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F">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C9">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Eagleton, T. ‘Versions of Culture’, in </w:t>
      </w:r>
      <w:r w:rsidDel="00000000" w:rsidR="00000000" w:rsidRPr="00000000">
        <w:rPr>
          <w:i w:val="1"/>
          <w:sz w:val="18"/>
          <w:szCs w:val="18"/>
          <w:rtl w:val="0"/>
        </w:rPr>
        <w:t xml:space="preserve">The idea of culture</w:t>
      </w:r>
      <w:r w:rsidDel="00000000" w:rsidR="00000000" w:rsidRPr="00000000">
        <w:rPr>
          <w:sz w:val="18"/>
          <w:szCs w:val="18"/>
          <w:rtl w:val="0"/>
        </w:rPr>
        <w:t xml:space="preserve">. Hoboken: Wiley. p. 7, 2013</w:t>
      </w:r>
    </w:p>
  </w:footnote>
  <w:footnote w:id="7">
    <w:p w:rsidR="00000000" w:rsidDel="00000000" w:rsidP="00000000" w:rsidRDefault="00000000" w:rsidRPr="00000000" w14:paraId="000000CA">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Cherry, J. and Rojas, F. ‘Chapter 2: The Sanctuary: The World’s Oldest Temple and the Dawn of Civilization’, in </w:t>
      </w:r>
      <w:r w:rsidDel="00000000" w:rsidR="00000000" w:rsidRPr="00000000">
        <w:rPr>
          <w:i w:val="1"/>
          <w:sz w:val="18"/>
          <w:szCs w:val="18"/>
          <w:rtl w:val="0"/>
        </w:rPr>
        <w:t xml:space="preserve">Archaeology for the people</w:t>
      </w:r>
      <w:r w:rsidDel="00000000" w:rsidR="00000000" w:rsidRPr="00000000">
        <w:rPr>
          <w:sz w:val="18"/>
          <w:szCs w:val="18"/>
          <w:rtl w:val="0"/>
        </w:rPr>
        <w:t xml:space="preserve">. Oxbow Books, 2022.</w:t>
      </w:r>
    </w:p>
  </w:footnote>
  <w:footnote w:id="1">
    <w:p w:rsidR="00000000" w:rsidDel="00000000" w:rsidP="00000000" w:rsidRDefault="00000000" w:rsidRPr="00000000" w14:paraId="000000CB">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 M., D.R.I., Knight, C. and Power, C. ‘Chapter 7: The Origin of Symbolic Culture ’, in </w:t>
      </w:r>
      <w:r w:rsidDel="00000000" w:rsidR="00000000" w:rsidRPr="00000000">
        <w:rPr>
          <w:i w:val="1"/>
          <w:sz w:val="18"/>
          <w:szCs w:val="18"/>
          <w:rtl w:val="0"/>
        </w:rPr>
        <w:t xml:space="preserve">The Evolution of Culture: An Interdisciplinary view</w:t>
      </w:r>
      <w:r w:rsidDel="00000000" w:rsidR="00000000" w:rsidRPr="00000000">
        <w:rPr>
          <w:sz w:val="18"/>
          <w:szCs w:val="18"/>
          <w:rtl w:val="0"/>
        </w:rPr>
        <w:t xml:space="preserve">. Edinburgh: Edinburgh University Press, 1999. And Harari, Y.N., Casanave, D. and Vandermeulen, D. </w:t>
      </w:r>
      <w:r w:rsidDel="00000000" w:rsidR="00000000" w:rsidRPr="00000000">
        <w:rPr>
          <w:i w:val="1"/>
          <w:sz w:val="18"/>
          <w:szCs w:val="18"/>
          <w:rtl w:val="0"/>
        </w:rPr>
        <w:t xml:space="preserve">Sapiens</w:t>
      </w:r>
      <w:r w:rsidDel="00000000" w:rsidR="00000000" w:rsidRPr="00000000">
        <w:rPr>
          <w:sz w:val="18"/>
          <w:szCs w:val="18"/>
          <w:rtl w:val="0"/>
        </w:rPr>
        <w:t xml:space="preserve">. London: Jonathan Cape, 2020. </w:t>
      </w:r>
    </w:p>
  </w:footnote>
  <w:footnote w:id="2">
    <w:p w:rsidR="00000000" w:rsidDel="00000000" w:rsidP="00000000" w:rsidRDefault="00000000" w:rsidRPr="00000000" w14:paraId="000000C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Eagleton, T. ‘Versions of Culture’, in </w:t>
      </w:r>
      <w:r w:rsidDel="00000000" w:rsidR="00000000" w:rsidRPr="00000000">
        <w:rPr>
          <w:i w:val="1"/>
          <w:sz w:val="18"/>
          <w:szCs w:val="18"/>
          <w:rtl w:val="0"/>
        </w:rPr>
        <w:t xml:space="preserve">The idea of culture</w:t>
      </w:r>
      <w:r w:rsidDel="00000000" w:rsidR="00000000" w:rsidRPr="00000000">
        <w:rPr>
          <w:sz w:val="18"/>
          <w:szCs w:val="18"/>
          <w:rtl w:val="0"/>
        </w:rPr>
        <w:t xml:space="preserve">. Hoboken: Wiley. p. 15, 2013.</w:t>
      </w:r>
      <w:r w:rsidDel="00000000" w:rsidR="00000000" w:rsidRPr="00000000">
        <w:rPr>
          <w:rtl w:val="0"/>
        </w:rPr>
      </w:r>
    </w:p>
  </w:footnote>
  <w:footnote w:id="3">
    <w:p w:rsidR="00000000" w:rsidDel="00000000" w:rsidP="00000000" w:rsidRDefault="00000000" w:rsidRPr="00000000" w14:paraId="000000CD">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18"/>
          <w:szCs w:val="18"/>
          <w:rtl w:val="0"/>
        </w:rPr>
        <w:t xml:space="preserve">Cosmology</w:t>
      </w:r>
      <w:r w:rsidDel="00000000" w:rsidR="00000000" w:rsidRPr="00000000">
        <w:rPr>
          <w:sz w:val="18"/>
          <w:szCs w:val="18"/>
          <w:rtl w:val="0"/>
        </w:rPr>
        <w:t xml:space="preserve"> </w:t>
      </w:r>
      <w:r w:rsidDel="00000000" w:rsidR="00000000" w:rsidRPr="00000000">
        <w:rPr>
          <w:i w:val="1"/>
          <w:sz w:val="18"/>
          <w:szCs w:val="18"/>
          <w:rtl w:val="0"/>
        </w:rPr>
        <w:t xml:space="preserve">Encyclopædia Britannica</w:t>
      </w:r>
      <w:r w:rsidDel="00000000" w:rsidR="00000000" w:rsidRPr="00000000">
        <w:rPr>
          <w:sz w:val="18"/>
          <w:szCs w:val="18"/>
          <w:rtl w:val="0"/>
        </w:rPr>
        <w:t xml:space="preserve">. Available at: https://www.britannica.com/science/cosmology-astronomy. </w:t>
      </w:r>
    </w:p>
  </w:footnote>
  <w:footnote w:id="4">
    <w:p w:rsidR="00000000" w:rsidDel="00000000" w:rsidP="00000000" w:rsidRDefault="00000000" w:rsidRPr="00000000" w14:paraId="000000CE">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Bar-Yosef, O. and Valla, F.R. ‘The Natufian and the Younger Dryas’, in </w:t>
      </w:r>
      <w:r w:rsidDel="00000000" w:rsidR="00000000" w:rsidRPr="00000000">
        <w:rPr>
          <w:i w:val="1"/>
          <w:sz w:val="18"/>
          <w:szCs w:val="18"/>
          <w:rtl w:val="0"/>
        </w:rPr>
        <w:t xml:space="preserve">Natufian foragers in the Levant: Terminal pleistocene social changes in Western Asia</w:t>
      </w:r>
      <w:r w:rsidDel="00000000" w:rsidR="00000000" w:rsidRPr="00000000">
        <w:rPr>
          <w:sz w:val="18"/>
          <w:szCs w:val="18"/>
          <w:rtl w:val="0"/>
        </w:rPr>
        <w:t xml:space="preserve">. Ann Arbor, MI: International Monographs in Prehistory. 2013</w:t>
      </w:r>
    </w:p>
    <w:p w:rsidR="00000000" w:rsidDel="00000000" w:rsidP="00000000" w:rsidRDefault="00000000" w:rsidRPr="00000000" w14:paraId="000000CF">
      <w:pPr>
        <w:spacing w:line="240" w:lineRule="auto"/>
        <w:rPr>
          <w:sz w:val="20"/>
          <w:szCs w:val="20"/>
        </w:rPr>
      </w:pPr>
      <w:r w:rsidDel="00000000" w:rsidR="00000000" w:rsidRPr="00000000">
        <w:rPr>
          <w:rtl w:val="0"/>
        </w:rPr>
      </w:r>
    </w:p>
  </w:footnote>
  <w:footnote w:id="6">
    <w:p w:rsidR="00000000" w:rsidDel="00000000" w:rsidP="00000000" w:rsidRDefault="00000000" w:rsidRPr="00000000" w14:paraId="000000D0">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Asouti, E. and Fuller, D.Q. ‘From foraging to farming in the southern Levant: The development of Epipalaeolithic and pre-pottery Neolithic Plant Management Strategies’, </w:t>
      </w:r>
      <w:r w:rsidDel="00000000" w:rsidR="00000000" w:rsidRPr="00000000">
        <w:rPr>
          <w:i w:val="1"/>
          <w:sz w:val="18"/>
          <w:szCs w:val="18"/>
          <w:rtl w:val="0"/>
        </w:rPr>
        <w:t xml:space="preserve">Vegetation History and Archaeobotany</w:t>
      </w:r>
      <w:r w:rsidDel="00000000" w:rsidR="00000000" w:rsidRPr="00000000">
        <w:rPr>
          <w:sz w:val="18"/>
          <w:szCs w:val="18"/>
          <w:rtl w:val="0"/>
        </w:rPr>
        <w:t xml:space="preserve">, 21(2), pp. 149–162, 2011. doi:10.1007/s00334-011-0332-0. </w:t>
      </w:r>
    </w:p>
  </w:footnote>
  <w:footnote w:id="8">
    <w:p w:rsidR="00000000" w:rsidDel="00000000" w:rsidP="00000000" w:rsidRDefault="00000000" w:rsidRPr="00000000" w14:paraId="000000D1">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Sachs, J.D. ‘Chapter 3: The Neolithic Age (10,000–3000 BCE)’, in </w:t>
      </w:r>
      <w:r w:rsidDel="00000000" w:rsidR="00000000" w:rsidRPr="00000000">
        <w:rPr>
          <w:i w:val="1"/>
          <w:sz w:val="18"/>
          <w:szCs w:val="18"/>
          <w:rtl w:val="0"/>
        </w:rPr>
        <w:t xml:space="preserve">The ages of globalization geography, technology, and Institutions</w:t>
      </w:r>
      <w:r w:rsidDel="00000000" w:rsidR="00000000" w:rsidRPr="00000000">
        <w:rPr>
          <w:sz w:val="18"/>
          <w:szCs w:val="18"/>
          <w:rtl w:val="0"/>
        </w:rPr>
        <w:t xml:space="preserve">. New York, N.Y: Columbia University Press. 2020.</w:t>
      </w:r>
    </w:p>
  </w:footnote>
  <w:footnote w:id="10">
    <w:p w:rsidR="00000000" w:rsidDel="00000000" w:rsidP="00000000" w:rsidRDefault="00000000" w:rsidRPr="00000000" w14:paraId="000000D2">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Campion, N. ‘Chapter 11: Babylon - Signs in the Sky’, in </w:t>
      </w:r>
      <w:r w:rsidDel="00000000" w:rsidR="00000000" w:rsidRPr="00000000">
        <w:rPr>
          <w:i w:val="1"/>
          <w:sz w:val="18"/>
          <w:szCs w:val="18"/>
          <w:rtl w:val="0"/>
        </w:rPr>
        <w:t xml:space="preserve">Astrology and cosmology in the world’s religions</w:t>
      </w:r>
      <w:r w:rsidDel="00000000" w:rsidR="00000000" w:rsidRPr="00000000">
        <w:rPr>
          <w:sz w:val="18"/>
          <w:szCs w:val="18"/>
          <w:rtl w:val="0"/>
        </w:rPr>
        <w:t xml:space="preserve">. New York: New York University Press. 2012b.</w:t>
      </w:r>
    </w:p>
  </w:footnote>
  <w:footnote w:id="11">
    <w:p w:rsidR="00000000" w:rsidDel="00000000" w:rsidP="00000000" w:rsidRDefault="00000000" w:rsidRPr="00000000" w14:paraId="000000D3">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Campion, N. ‘Chapter 8: Egypt - The Solar Society ’, in </w:t>
      </w:r>
      <w:r w:rsidDel="00000000" w:rsidR="00000000" w:rsidRPr="00000000">
        <w:rPr>
          <w:i w:val="1"/>
          <w:sz w:val="18"/>
          <w:szCs w:val="18"/>
          <w:rtl w:val="0"/>
        </w:rPr>
        <w:t xml:space="preserve">Astrology and cosmology in the world’s religions</w:t>
      </w:r>
      <w:r w:rsidDel="00000000" w:rsidR="00000000" w:rsidRPr="00000000">
        <w:rPr>
          <w:sz w:val="18"/>
          <w:szCs w:val="18"/>
          <w:rtl w:val="0"/>
        </w:rPr>
        <w:t xml:space="preserve">. New York: New York University Press. 2012a</w:t>
      </w:r>
    </w:p>
  </w:footnote>
  <w:footnote w:id="12">
    <w:p w:rsidR="00000000" w:rsidDel="00000000" w:rsidP="00000000" w:rsidRDefault="00000000" w:rsidRPr="00000000" w14:paraId="000000D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Campion, N. ‘Chapter 8: Egypt - The Solar Society’</w:t>
      </w:r>
      <w:r w:rsidDel="00000000" w:rsidR="00000000" w:rsidRPr="00000000">
        <w:rPr>
          <w:rtl w:val="0"/>
        </w:rPr>
      </w:r>
    </w:p>
  </w:footnote>
  <w:footnote w:id="13">
    <w:p w:rsidR="00000000" w:rsidDel="00000000" w:rsidP="00000000" w:rsidRDefault="00000000" w:rsidRPr="00000000" w14:paraId="000000D5">
      <w:pPr>
        <w:spacing w:after="0" w:before="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Silva, F., Campion, N. and Brady, B. (2022) ‘Chapter 7: Star phases: the Naked-eye Astronomy of the Old Kingdom Pyramid Texts’, in </w:t>
      </w:r>
      <w:r w:rsidDel="00000000" w:rsidR="00000000" w:rsidRPr="00000000">
        <w:rPr>
          <w:i w:val="1"/>
          <w:sz w:val="18"/>
          <w:szCs w:val="18"/>
          <w:rtl w:val="0"/>
        </w:rPr>
        <w:t xml:space="preserve">Skyscapes</w:t>
      </w:r>
      <w:r w:rsidDel="00000000" w:rsidR="00000000" w:rsidRPr="00000000">
        <w:rPr>
          <w:sz w:val="18"/>
          <w:szCs w:val="18"/>
          <w:rtl w:val="0"/>
        </w:rPr>
        <w:t xml:space="preserve">. Oxbow Books. 2012a</w:t>
      </w:r>
    </w:p>
  </w:footnote>
  <w:footnote w:id="14">
    <w:p w:rsidR="00000000" w:rsidDel="00000000" w:rsidP="00000000" w:rsidRDefault="00000000" w:rsidRPr="00000000" w14:paraId="000000D6">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Campion, N. ‘Chapter 13: Classical Greece - Ascent to the Stars’, in </w:t>
      </w:r>
      <w:r w:rsidDel="00000000" w:rsidR="00000000" w:rsidRPr="00000000">
        <w:rPr>
          <w:i w:val="1"/>
          <w:sz w:val="18"/>
          <w:szCs w:val="18"/>
          <w:rtl w:val="0"/>
        </w:rPr>
        <w:t xml:space="preserve">Astrology and cosmology in the world’s religions</w:t>
      </w:r>
      <w:r w:rsidDel="00000000" w:rsidR="00000000" w:rsidRPr="00000000">
        <w:rPr>
          <w:sz w:val="18"/>
          <w:szCs w:val="18"/>
          <w:rtl w:val="0"/>
        </w:rPr>
        <w:t xml:space="preserve">. New York: New York University Press. 2012c</w:t>
      </w:r>
    </w:p>
  </w:footnote>
  <w:footnote w:id="15">
    <w:p w:rsidR="00000000" w:rsidDel="00000000" w:rsidP="00000000" w:rsidRDefault="00000000" w:rsidRPr="00000000" w14:paraId="000000D7">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Campion, N. ‘Chapter 13: Classical Greece - Ascent to the Stars’,2012c </w:t>
      </w:r>
    </w:p>
  </w:footnote>
  <w:footnote w:id="16">
    <w:p w:rsidR="00000000" w:rsidDel="00000000" w:rsidP="00000000" w:rsidRDefault="00000000" w:rsidRPr="00000000" w14:paraId="000000D8">
      <w:pPr>
        <w:spacing w:line="240" w:lineRule="auto"/>
        <w:rPr>
          <w:sz w:val="20"/>
          <w:szCs w:val="20"/>
        </w:rPr>
      </w:pPr>
      <w:r w:rsidDel="00000000" w:rsidR="00000000" w:rsidRPr="00000000">
        <w:rPr>
          <w:rStyle w:val="FootnoteReference"/>
          <w:vertAlign w:val="superscript"/>
        </w:rPr>
        <w:footnoteRef/>
      </w:r>
      <w:r w:rsidDel="00000000" w:rsidR="00000000" w:rsidRPr="00000000">
        <w:rPr>
          <w:sz w:val="18"/>
          <w:szCs w:val="18"/>
          <w:rtl w:val="0"/>
        </w:rPr>
        <w:t xml:space="preserve"> WILSON, S.R. ‘Chapter 3: The Greeks’, in </w:t>
      </w:r>
      <w:r w:rsidDel="00000000" w:rsidR="00000000" w:rsidRPr="00000000">
        <w:rPr>
          <w:i w:val="1"/>
          <w:sz w:val="18"/>
          <w:szCs w:val="18"/>
          <w:rtl w:val="0"/>
        </w:rPr>
        <w:t xml:space="preserve">Astronomy through the ages: The story of the human attempt to understand the universe</w:t>
      </w:r>
      <w:r w:rsidDel="00000000" w:rsidR="00000000" w:rsidRPr="00000000">
        <w:rPr>
          <w:sz w:val="18"/>
          <w:szCs w:val="18"/>
          <w:rtl w:val="0"/>
        </w:rPr>
        <w:t xml:space="preserve">. S.l.: CRC PRESS.</w:t>
      </w:r>
      <w:r w:rsidDel="00000000" w:rsidR="00000000" w:rsidRPr="00000000">
        <w:rPr>
          <w:rtl w:val="0"/>
        </w:rPr>
        <w:t xml:space="preserve"> </w:t>
      </w:r>
      <w:r w:rsidDel="00000000" w:rsidR="00000000" w:rsidRPr="00000000">
        <w:rPr>
          <w:sz w:val="18"/>
          <w:szCs w:val="18"/>
          <w:rtl w:val="0"/>
        </w:rPr>
        <w:t xml:space="preserve">2019e.</w:t>
      </w:r>
      <w:r w:rsidDel="00000000" w:rsidR="00000000" w:rsidRPr="00000000">
        <w:rPr>
          <w:rtl w:val="0"/>
        </w:rPr>
      </w:r>
    </w:p>
  </w:footnote>
  <w:footnote w:id="9">
    <w:p w:rsidR="00000000" w:rsidDel="00000000" w:rsidP="00000000" w:rsidRDefault="00000000" w:rsidRPr="00000000" w14:paraId="000000D9">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James, P. and van der Sluijs, M.A. ‘Ziggurats, colors, and planets: Rawlinson revisited’, </w:t>
      </w:r>
      <w:r w:rsidDel="00000000" w:rsidR="00000000" w:rsidRPr="00000000">
        <w:rPr>
          <w:i w:val="1"/>
          <w:sz w:val="18"/>
          <w:szCs w:val="18"/>
          <w:rtl w:val="0"/>
        </w:rPr>
        <w:t xml:space="preserve">Journal of Cuneiform Studies</w:t>
      </w:r>
      <w:r w:rsidDel="00000000" w:rsidR="00000000" w:rsidRPr="00000000">
        <w:rPr>
          <w:sz w:val="18"/>
          <w:szCs w:val="18"/>
          <w:rtl w:val="0"/>
        </w:rPr>
        <w:t xml:space="preserve">, 60(1), pp. 57–79. doi:10.1086/jcs25608622. 2008.</w:t>
      </w:r>
    </w:p>
  </w:footnote>
  <w:footnote w:id="18">
    <w:p w:rsidR="00000000" w:rsidDel="00000000" w:rsidP="00000000" w:rsidRDefault="00000000" w:rsidRPr="00000000" w14:paraId="000000DA">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WILSON, S.R. ‘Chapter 4: The Interlude’, in </w:t>
      </w:r>
      <w:r w:rsidDel="00000000" w:rsidR="00000000" w:rsidRPr="00000000">
        <w:rPr>
          <w:i w:val="1"/>
          <w:sz w:val="18"/>
          <w:szCs w:val="18"/>
          <w:rtl w:val="0"/>
        </w:rPr>
        <w:t xml:space="preserve">Astronomy through the ages: The story of the human attempt to understand the universe</w:t>
      </w:r>
      <w:r w:rsidDel="00000000" w:rsidR="00000000" w:rsidRPr="00000000">
        <w:rPr>
          <w:sz w:val="18"/>
          <w:szCs w:val="18"/>
          <w:rtl w:val="0"/>
        </w:rPr>
        <w:t xml:space="preserve">. S.l.: CRC PRESS. 2019b</w:t>
      </w:r>
    </w:p>
  </w:footnote>
  <w:footnote w:id="19">
    <w:p w:rsidR="00000000" w:rsidDel="00000000" w:rsidP="00000000" w:rsidRDefault="00000000" w:rsidRPr="00000000" w14:paraId="000000DB">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WILSON, S.R.‘Chapter 5: The Renaissance’, in </w:t>
      </w:r>
      <w:r w:rsidDel="00000000" w:rsidR="00000000" w:rsidRPr="00000000">
        <w:rPr>
          <w:i w:val="1"/>
          <w:sz w:val="18"/>
          <w:szCs w:val="18"/>
          <w:rtl w:val="0"/>
        </w:rPr>
        <w:t xml:space="preserve">Astronomy through the ages: The story of the human attempt to understand the universe</w:t>
      </w:r>
      <w:r w:rsidDel="00000000" w:rsidR="00000000" w:rsidRPr="00000000">
        <w:rPr>
          <w:sz w:val="18"/>
          <w:szCs w:val="18"/>
          <w:rtl w:val="0"/>
        </w:rPr>
        <w:t xml:space="preserve">. S.l.: CRC PRESS.​​ 2019</w:t>
      </w:r>
    </w:p>
  </w:footnote>
  <w:footnote w:id="20">
    <w:p w:rsidR="00000000" w:rsidDel="00000000" w:rsidP="00000000" w:rsidRDefault="00000000" w:rsidRPr="00000000" w14:paraId="000000D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WILSON, S.R.‘Chapter 5: The Renaissance’, in </w:t>
      </w:r>
      <w:r w:rsidDel="00000000" w:rsidR="00000000" w:rsidRPr="00000000">
        <w:rPr>
          <w:i w:val="1"/>
          <w:sz w:val="18"/>
          <w:szCs w:val="18"/>
          <w:rtl w:val="0"/>
        </w:rPr>
        <w:t xml:space="preserve">Astronomy through the ages, </w:t>
      </w:r>
      <w:r w:rsidDel="00000000" w:rsidR="00000000" w:rsidRPr="00000000">
        <w:rPr>
          <w:sz w:val="18"/>
          <w:szCs w:val="18"/>
          <w:rtl w:val="0"/>
        </w:rPr>
        <w:t xml:space="preserve">2019</w:t>
      </w:r>
      <w:r w:rsidDel="00000000" w:rsidR="00000000" w:rsidRPr="00000000">
        <w:rPr>
          <w:rtl w:val="0"/>
        </w:rPr>
      </w:r>
    </w:p>
  </w:footnote>
  <w:footnote w:id="21">
    <w:p w:rsidR="00000000" w:rsidDel="00000000" w:rsidP="00000000" w:rsidRDefault="00000000" w:rsidRPr="00000000" w14:paraId="000000DD">
      <w:pPr>
        <w:spacing w:line="240" w:lineRule="auto"/>
        <w:rPr>
          <w:sz w:val="20"/>
          <w:szCs w:val="20"/>
        </w:rPr>
      </w:pPr>
      <w:r w:rsidDel="00000000" w:rsidR="00000000" w:rsidRPr="00000000">
        <w:rPr>
          <w:rStyle w:val="FootnoteReference"/>
          <w:vertAlign w:val="superscript"/>
        </w:rPr>
        <w:footnoteRef/>
      </w:r>
      <w:r w:rsidDel="00000000" w:rsidR="00000000" w:rsidRPr="00000000">
        <w:rPr>
          <w:sz w:val="18"/>
          <w:szCs w:val="18"/>
          <w:rtl w:val="0"/>
        </w:rPr>
        <w:t xml:space="preserve">WILSON, S.R. ‘Part II: - THE ERA OF THE TELESCOPE. Chapter 6: The Classical Post-Newtonian Period’, in </w:t>
      </w:r>
      <w:r w:rsidDel="00000000" w:rsidR="00000000" w:rsidRPr="00000000">
        <w:rPr>
          <w:i w:val="1"/>
          <w:sz w:val="18"/>
          <w:szCs w:val="18"/>
          <w:rtl w:val="0"/>
        </w:rPr>
        <w:t xml:space="preserve">Astronomy through the ages: The story of the human attempt to understand the universe</w:t>
      </w:r>
      <w:r w:rsidDel="00000000" w:rsidR="00000000" w:rsidRPr="00000000">
        <w:rPr>
          <w:sz w:val="18"/>
          <w:szCs w:val="18"/>
          <w:rtl w:val="0"/>
        </w:rPr>
        <w:t xml:space="preserve">. S.l.: CRC PRESS. 2019d</w:t>
      </w:r>
      <w:r w:rsidDel="00000000" w:rsidR="00000000" w:rsidRPr="00000000">
        <w:rPr>
          <w:rtl w:val="0"/>
        </w:rPr>
      </w:r>
    </w:p>
  </w:footnote>
  <w:footnote w:id="22">
    <w:p w:rsidR="00000000" w:rsidDel="00000000" w:rsidP="00000000" w:rsidRDefault="00000000" w:rsidRPr="00000000" w14:paraId="000000DE">
      <w:pPr>
        <w:spacing w:line="240" w:lineRule="auto"/>
        <w:rPr>
          <w:sz w:val="14"/>
          <w:szCs w:val="1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WILSON, S.R. ‘Chapter 13: The Nature, Origin and Evolution of the Universe’, in </w:t>
      </w:r>
      <w:r w:rsidDel="00000000" w:rsidR="00000000" w:rsidRPr="00000000">
        <w:rPr>
          <w:i w:val="1"/>
          <w:sz w:val="18"/>
          <w:szCs w:val="18"/>
          <w:rtl w:val="0"/>
        </w:rPr>
        <w:t xml:space="preserve">Astronomy through the ages: The story of the human attempt to understand the universe</w:t>
      </w:r>
      <w:r w:rsidDel="00000000" w:rsidR="00000000" w:rsidRPr="00000000">
        <w:rPr>
          <w:sz w:val="18"/>
          <w:szCs w:val="18"/>
          <w:rtl w:val="0"/>
        </w:rPr>
        <w:t xml:space="preserve">. S.l.: CRC PRESS. 2019c</w:t>
      </w:r>
      <w:r w:rsidDel="00000000" w:rsidR="00000000" w:rsidRPr="00000000">
        <w:rPr>
          <w:rtl w:val="0"/>
        </w:rPr>
      </w:r>
    </w:p>
  </w:footnote>
  <w:footnote w:id="17">
    <w:p w:rsidR="00000000" w:rsidDel="00000000" w:rsidP="00000000" w:rsidRDefault="00000000" w:rsidRPr="00000000" w14:paraId="000000E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WILSON, S.R. ‘Chapter 3: The Greeks’, in </w:t>
      </w:r>
      <w:r w:rsidDel="00000000" w:rsidR="00000000" w:rsidRPr="00000000">
        <w:rPr>
          <w:i w:val="1"/>
          <w:sz w:val="18"/>
          <w:szCs w:val="18"/>
          <w:rtl w:val="0"/>
        </w:rPr>
        <w:t xml:space="preserve">Astronomy through the ages. And </w:t>
      </w:r>
      <w:r w:rsidDel="00000000" w:rsidR="00000000" w:rsidRPr="00000000">
        <w:rPr>
          <w:sz w:val="18"/>
          <w:szCs w:val="18"/>
          <w:rtl w:val="0"/>
        </w:rPr>
        <w:t xml:space="preserve">Campion, N. (2012c) ‘Chapter 13: Classical Greece - Ascent to the Stars’ 2019e</w:t>
      </w:r>
      <w:r w:rsidDel="00000000" w:rsidR="00000000" w:rsidRPr="00000000">
        <w:rPr>
          <w:rtl w:val="0"/>
        </w:rPr>
      </w:r>
    </w:p>
  </w:footnote>
  <w:footnote w:id="23">
    <w:p w:rsidR="00000000" w:rsidDel="00000000" w:rsidP="00000000" w:rsidRDefault="00000000" w:rsidRPr="00000000" w14:paraId="000000E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WILSON, S.R. (2019b) ‘Chapter 13: The Nature, Origin and Evolution of the Universe’, 2019c</w:t>
      </w:r>
      <w:r w:rsidDel="00000000" w:rsidR="00000000" w:rsidRPr="00000000">
        <w:rPr>
          <w:rtl w:val="0"/>
        </w:rPr>
      </w:r>
    </w:p>
  </w:footnote>
  <w:footnote w:id="5">
    <w:p w:rsidR="00000000" w:rsidDel="00000000" w:rsidP="00000000" w:rsidRDefault="00000000" w:rsidRPr="00000000" w14:paraId="000000E2">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Murphy, D.J. ‘Chapter 3: How some people became farmers’, in </w:t>
      </w:r>
      <w:r w:rsidDel="00000000" w:rsidR="00000000" w:rsidRPr="00000000">
        <w:rPr>
          <w:i w:val="1"/>
          <w:sz w:val="18"/>
          <w:szCs w:val="18"/>
          <w:rtl w:val="0"/>
        </w:rPr>
        <w:t xml:space="preserve">People, plants and genes: The story of crops and humanity</w:t>
      </w:r>
      <w:r w:rsidDel="00000000" w:rsidR="00000000" w:rsidRPr="00000000">
        <w:rPr>
          <w:sz w:val="18"/>
          <w:szCs w:val="18"/>
          <w:rtl w:val="0"/>
        </w:rPr>
        <w:t xml:space="preserve">. Oxford: Oxford University Press. 2007</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3">
    <w:pPr>
      <w:rPr/>
    </w:pPr>
    <w:r w:rsidDel="00000000" w:rsidR="00000000" w:rsidRPr="00000000">
      <w:rPr>
        <w:rtl w:val="0"/>
      </w:rPr>
      <w:t xml:space="preserve">Clarissa Jane Fowler 2310967</w:t>
    </w:r>
  </w:p>
  <w:p w:rsidR="00000000" w:rsidDel="00000000" w:rsidP="00000000" w:rsidRDefault="00000000" w:rsidRPr="00000000" w14:paraId="000000E4">
    <w:pPr>
      <w:jc w:val="right"/>
      <w:rPr/>
    </w:pPr>
    <w:r w:rsidDel="00000000" w:rsidR="00000000" w:rsidRPr="00000000">
      <w:rPr>
        <w:rtl w:val="0"/>
      </w:rPr>
      <w:t xml:space="preserve">Page </w:t>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