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8A45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Professional Academic Report: Adult Social Worker</w:t>
      </w:r>
    </w:p>
    <w:p w14:paraId="0940321D" w14:textId="59C7EC92" w:rsidR="00CF19CA" w:rsidRPr="00913B3E" w:rsidRDefault="00CF19CA" w:rsidP="00913B3E">
      <w:pPr>
        <w:rPr>
          <w:rFonts w:asciiTheme="minorBidi" w:hAnsiTheme="minorBidi"/>
          <w:sz w:val="22"/>
          <w:szCs w:val="22"/>
        </w:rPr>
      </w:pPr>
      <w:r w:rsidRPr="00913B3E">
        <w:rPr>
          <w:rFonts w:asciiTheme="minorBidi" w:hAnsiTheme="minorBidi"/>
          <w:sz w:val="22"/>
          <w:szCs w:val="22"/>
        </w:rPr>
        <w:t xml:space="preserve"> </w:t>
      </w:r>
    </w:p>
    <w:p w14:paraId="7ECF44EB" w14:textId="39397F10"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Student Name: </w:t>
      </w:r>
      <w:r w:rsidR="00913B3E" w:rsidRPr="00913B3E">
        <w:rPr>
          <w:rFonts w:asciiTheme="minorBidi" w:hAnsiTheme="minorBidi"/>
          <w:sz w:val="22"/>
          <w:szCs w:val="22"/>
        </w:rPr>
        <w:t>Hisham AL Homsi</w:t>
      </w:r>
    </w:p>
    <w:p w14:paraId="7093E906" w14:textId="4C278CF0"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Student Number: </w:t>
      </w:r>
      <w:r w:rsidR="00913B3E" w:rsidRPr="00913B3E">
        <w:rPr>
          <w:rFonts w:asciiTheme="minorBidi" w:hAnsiTheme="minorBidi"/>
          <w:sz w:val="22"/>
          <w:szCs w:val="22"/>
        </w:rPr>
        <w:t>2530548</w:t>
      </w:r>
    </w:p>
    <w:p w14:paraId="755F7C8B" w14:textId="30BB029D" w:rsidR="00CF19CA" w:rsidRPr="00913B3E" w:rsidRDefault="00CF19CA" w:rsidP="00CF19CA">
      <w:pPr>
        <w:rPr>
          <w:rFonts w:asciiTheme="minorBidi" w:hAnsiTheme="minorBidi"/>
          <w:sz w:val="22"/>
          <w:szCs w:val="22"/>
        </w:rPr>
      </w:pPr>
      <w:r w:rsidRPr="00913B3E">
        <w:rPr>
          <w:rFonts w:asciiTheme="minorBidi" w:hAnsiTheme="minorBidi"/>
          <w:sz w:val="22"/>
          <w:szCs w:val="22"/>
        </w:rPr>
        <w:t>- Module Code and Title:</w:t>
      </w:r>
      <w:r w:rsidR="00913B3E" w:rsidRPr="00913B3E">
        <w:rPr>
          <w:rFonts w:asciiTheme="minorBidi" w:hAnsiTheme="minorBidi"/>
          <w:sz w:val="22"/>
          <w:szCs w:val="22"/>
        </w:rPr>
        <w:t xml:space="preserve"> Academic and Employability Skills (LCH4001_BIRM)</w:t>
      </w:r>
    </w:p>
    <w:p w14:paraId="6B39D9F4" w14:textId="3799085C" w:rsidR="00CF19CA" w:rsidRPr="00913B3E" w:rsidRDefault="00CF19CA" w:rsidP="00CF19CA">
      <w:pPr>
        <w:rPr>
          <w:rFonts w:asciiTheme="minorBidi" w:hAnsiTheme="minorBidi"/>
          <w:sz w:val="22"/>
          <w:szCs w:val="22"/>
        </w:rPr>
      </w:pPr>
      <w:r w:rsidRPr="00913B3E">
        <w:rPr>
          <w:rFonts w:asciiTheme="minorBidi" w:hAnsiTheme="minorBidi"/>
          <w:sz w:val="22"/>
          <w:szCs w:val="22"/>
        </w:rPr>
        <w:t>- Lecturer’s Name:</w:t>
      </w:r>
      <w:r w:rsidR="00913B3E" w:rsidRPr="00913B3E">
        <w:rPr>
          <w:rFonts w:asciiTheme="minorBidi" w:hAnsiTheme="minorBidi"/>
          <w:color w:val="1D2125"/>
          <w:sz w:val="22"/>
          <w:szCs w:val="22"/>
          <w:shd w:val="clear" w:color="auto" w:fill="FFFFFF"/>
        </w:rPr>
        <w:t xml:space="preserve"> </w:t>
      </w:r>
      <w:r w:rsidR="00913B3E" w:rsidRPr="00913B3E">
        <w:rPr>
          <w:rFonts w:asciiTheme="minorBidi" w:hAnsiTheme="minorBidi"/>
          <w:color w:val="1D2125"/>
          <w:sz w:val="22"/>
          <w:szCs w:val="22"/>
          <w:shd w:val="clear" w:color="auto" w:fill="FFFFFF"/>
        </w:rPr>
        <w:t>Reza Taghizadeh</w:t>
      </w:r>
      <w:r w:rsidR="00913B3E" w:rsidRPr="00913B3E">
        <w:rPr>
          <w:rStyle w:val="apple-converted-space"/>
          <w:rFonts w:asciiTheme="minorBidi" w:hAnsiTheme="minorBidi"/>
          <w:color w:val="1D2125"/>
          <w:sz w:val="22"/>
          <w:szCs w:val="22"/>
          <w:shd w:val="clear" w:color="auto" w:fill="FFFFFF"/>
        </w:rPr>
        <w:t> </w:t>
      </w:r>
    </w:p>
    <w:p w14:paraId="256B506A"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Assignment Title: Task 3: Professional Roles and Skills in Health and Social Care – Adult Social Worker</w:t>
      </w:r>
    </w:p>
    <w:p w14:paraId="20F8C634"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02D88E9D"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w:t>
      </w:r>
    </w:p>
    <w:p w14:paraId="48E3C8B8"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59810B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Table of Contents</w:t>
      </w:r>
    </w:p>
    <w:p w14:paraId="15C60D1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9F1895E"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1. Introduction</w:t>
      </w:r>
    </w:p>
    <w:p w14:paraId="722FBCB4"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2. Role Description: Adult Social Worker</w:t>
      </w:r>
    </w:p>
    <w:p w14:paraId="2C67324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3. Essential Skills for the Role</w:t>
      </w:r>
    </w:p>
    <w:p w14:paraId="0E000B5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3.1 Assessment and Analytical Skills</w:t>
      </w:r>
    </w:p>
    <w:p w14:paraId="32BF914C"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3.2 Communication and Interpersonal Skills</w:t>
      </w:r>
    </w:p>
    <w:p w14:paraId="7A35ED25"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3.3 Professional Resilience and Self-Management</w:t>
      </w:r>
    </w:p>
    <w:p w14:paraId="01D78ACC"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 Development Strategies</w:t>
      </w:r>
    </w:p>
    <w:p w14:paraId="44F46C3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4.1 Critical Reflective Supervision</w:t>
      </w:r>
    </w:p>
    <w:p w14:paraId="6FE8EF25"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4.2 Continued Professional Development (CPD) in Legal Frameworks</w:t>
      </w:r>
    </w:p>
    <w:p w14:paraId="562B5BDF"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4.3 Peer Support Networks and Emotional Intelligence Training</w:t>
      </w:r>
    </w:p>
    <w:p w14:paraId="5870566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5. Conclusion</w:t>
      </w:r>
    </w:p>
    <w:p w14:paraId="68AF5F78"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6. Reference List</w:t>
      </w:r>
    </w:p>
    <w:p w14:paraId="2AEE6552"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16B1D5C1"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w:t>
      </w:r>
    </w:p>
    <w:p w14:paraId="3F621438"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20D2A2BB" w14:textId="77777777" w:rsidR="00913B3E" w:rsidRDefault="00913B3E" w:rsidP="00CF19CA">
      <w:pPr>
        <w:rPr>
          <w:rFonts w:asciiTheme="minorBidi" w:hAnsiTheme="minorBidi"/>
          <w:sz w:val="22"/>
          <w:szCs w:val="22"/>
        </w:rPr>
      </w:pPr>
    </w:p>
    <w:p w14:paraId="30AE90A5" w14:textId="0D2007A9" w:rsidR="00CF19CA" w:rsidRPr="00913B3E" w:rsidRDefault="00CF19CA" w:rsidP="00CF19CA">
      <w:pPr>
        <w:rPr>
          <w:rFonts w:asciiTheme="minorBidi" w:hAnsiTheme="minorBidi"/>
          <w:b/>
          <w:bCs/>
          <w:sz w:val="22"/>
          <w:szCs w:val="22"/>
        </w:rPr>
      </w:pPr>
      <w:r w:rsidRPr="00913B3E">
        <w:rPr>
          <w:rFonts w:asciiTheme="minorBidi" w:hAnsiTheme="minorBidi"/>
          <w:b/>
          <w:bCs/>
          <w:sz w:val="22"/>
          <w:szCs w:val="22"/>
        </w:rPr>
        <w:lastRenderedPageBreak/>
        <w:t>1. Introduction</w:t>
      </w:r>
    </w:p>
    <w:p w14:paraId="33EFDDCA"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141C4BAD" w14:textId="25E99F89"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This report explores the role of an Adult Social Worker within the health and social care sector. It outlines the core responsibilities of the profession, </w:t>
      </w:r>
      <w:r w:rsidR="00913B3E" w:rsidRPr="00913B3E">
        <w:rPr>
          <w:rFonts w:asciiTheme="minorBidi" w:hAnsiTheme="minorBidi"/>
          <w:sz w:val="22"/>
          <w:szCs w:val="22"/>
        </w:rPr>
        <w:t>analyses</w:t>
      </w:r>
      <w:r w:rsidRPr="00913B3E">
        <w:rPr>
          <w:rFonts w:asciiTheme="minorBidi" w:hAnsiTheme="minorBidi"/>
          <w:sz w:val="22"/>
          <w:szCs w:val="22"/>
        </w:rPr>
        <w:t xml:space="preserve"> three essential skills required for effective practice under the Care Act </w:t>
      </w:r>
      <w:r w:rsidR="00913B3E" w:rsidRPr="00913B3E">
        <w:rPr>
          <w:rFonts w:asciiTheme="minorBidi" w:hAnsiTheme="minorBidi"/>
          <w:sz w:val="22"/>
          <w:szCs w:val="22"/>
        </w:rPr>
        <w:t>2014 and</w:t>
      </w:r>
      <w:r w:rsidRPr="00913B3E">
        <w:rPr>
          <w:rFonts w:asciiTheme="minorBidi" w:hAnsiTheme="minorBidi"/>
          <w:sz w:val="22"/>
          <w:szCs w:val="22"/>
        </w:rPr>
        <w:t xml:space="preserve"> discusses specific strategies to enhance these professional competencies.</w:t>
      </w:r>
    </w:p>
    <w:p w14:paraId="1C8FF5A8"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59CFDE49" w14:textId="77777777" w:rsidR="00CF19CA" w:rsidRPr="00913B3E" w:rsidRDefault="00CF19CA" w:rsidP="00CF19CA">
      <w:pPr>
        <w:rPr>
          <w:rFonts w:asciiTheme="minorBidi" w:hAnsiTheme="minorBidi"/>
          <w:b/>
          <w:bCs/>
          <w:sz w:val="22"/>
          <w:szCs w:val="22"/>
        </w:rPr>
      </w:pPr>
      <w:r w:rsidRPr="00913B3E">
        <w:rPr>
          <w:rFonts w:asciiTheme="minorBidi" w:hAnsiTheme="minorBidi"/>
          <w:b/>
          <w:bCs/>
          <w:sz w:val="22"/>
          <w:szCs w:val="22"/>
        </w:rPr>
        <w:t>2. Role Description: Adult Social Worker</w:t>
      </w:r>
    </w:p>
    <w:p w14:paraId="168F6F7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17B3CCA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An Adult Social Worker supports vulnerable adults who face complex social, emotional, or physical challenges. Their primary focus is to promote well-being, safeguard individuals from harm, and ensure they have access to the resources needed to live independently (British Association of Social Workers [BASW], 2021).</w:t>
      </w:r>
    </w:p>
    <w:p w14:paraId="67BEBA6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1B028AF7"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Duties and Responsibilities:</w:t>
      </w:r>
    </w:p>
    <w:p w14:paraId="4B99F561"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C67674C"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Statutory Assessments: Conducting Care Act assessments to determine an individual's eligibility for local authority funding and support services.</w:t>
      </w:r>
    </w:p>
    <w:p w14:paraId="55F2BF60"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Safeguarding: Investigating reports of neglect or abuse (Section 42 inquiries) and implementing protection plans to mitigate risks.</w:t>
      </w:r>
    </w:p>
    <w:p w14:paraId="5CA4ADF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Advocacy and Coordination: Acting as a link between the individual and other agencies, such as housing, health services, and the police, to ensure a holistic care package.</w:t>
      </w:r>
    </w:p>
    <w:p w14:paraId="34B22895"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31CBA5C9" w14:textId="77777777" w:rsidR="00CF19CA" w:rsidRPr="00913B3E" w:rsidRDefault="00CF19CA" w:rsidP="00CF19CA">
      <w:pPr>
        <w:rPr>
          <w:rFonts w:asciiTheme="minorBidi" w:hAnsiTheme="minorBidi"/>
          <w:b/>
          <w:bCs/>
          <w:sz w:val="22"/>
          <w:szCs w:val="22"/>
        </w:rPr>
      </w:pPr>
      <w:r w:rsidRPr="00913B3E">
        <w:rPr>
          <w:rFonts w:asciiTheme="minorBidi" w:hAnsiTheme="minorBidi"/>
          <w:b/>
          <w:bCs/>
          <w:sz w:val="22"/>
          <w:szCs w:val="22"/>
        </w:rPr>
        <w:t>3. Essential Skills for the Role</w:t>
      </w:r>
    </w:p>
    <w:p w14:paraId="6CA3D8B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4BD2C35"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3.1 Assessment and Analytical Skills</w:t>
      </w:r>
    </w:p>
    <w:p w14:paraId="4855DDB9"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2127CE5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Social workers must be able to gather vast amounts of information and </w:t>
      </w:r>
      <w:proofErr w:type="spellStart"/>
      <w:r w:rsidRPr="00913B3E">
        <w:rPr>
          <w:rFonts w:asciiTheme="minorBidi" w:hAnsiTheme="minorBidi"/>
          <w:sz w:val="22"/>
          <w:szCs w:val="22"/>
        </w:rPr>
        <w:t>analyze</w:t>
      </w:r>
      <w:proofErr w:type="spellEnd"/>
      <w:r w:rsidRPr="00913B3E">
        <w:rPr>
          <w:rFonts w:asciiTheme="minorBidi" w:hAnsiTheme="minorBidi"/>
          <w:sz w:val="22"/>
          <w:szCs w:val="22"/>
        </w:rPr>
        <w:t xml:space="preserve"> it to make evidence-based decisions.</w:t>
      </w:r>
    </w:p>
    <w:p w14:paraId="0F2381B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Why it is essential: A social worker must determine whether an adult with a learning disability has the "mental capacity" to make a specific decision, such as where they live. Misjudging capacity can lead to a breach of human rights or leave the individual in a dangerous situation.</w:t>
      </w:r>
    </w:p>
    <w:p w14:paraId="60337C4D"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323492B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lastRenderedPageBreak/>
        <w:t>3.2 Communication and Interpersonal Skills</w:t>
      </w:r>
    </w:p>
    <w:p w14:paraId="25EDD3F8"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2FE9A83D"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This involves active listening, empathy, and the ability to adapt communication styles to suit the individual's needs.</w:t>
      </w:r>
    </w:p>
    <w:p w14:paraId="31E7E927"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Why it is essential: In social work, professionals often meet people in crisis. For example, when visiting an older person who is self-neglecting, the social worker must build a rapport to gain consent for help. Without strong interpersonal skills, the individual may refuse necessary support, leading to further deterioration.</w:t>
      </w:r>
    </w:p>
    <w:p w14:paraId="28E85177"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738A02F7"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3.3 Professional Resilience and Self-Management</w:t>
      </w:r>
    </w:p>
    <w:p w14:paraId="10A0BB8A"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01474FB7" w14:textId="5DFC2421"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Resilience is the ability to maintain professional standards and personal well-being despite high-pressure environments and emotional </w:t>
      </w:r>
      <w:r w:rsidR="00913B3E" w:rsidRPr="00913B3E">
        <w:rPr>
          <w:rFonts w:asciiTheme="minorBidi" w:hAnsiTheme="minorBidi"/>
          <w:sz w:val="22"/>
          <w:szCs w:val="22"/>
        </w:rPr>
        <w:t>labour</w:t>
      </w:r>
      <w:r w:rsidRPr="00913B3E">
        <w:rPr>
          <w:rFonts w:asciiTheme="minorBidi" w:hAnsiTheme="minorBidi"/>
          <w:sz w:val="22"/>
          <w:szCs w:val="22"/>
        </w:rPr>
        <w:t>.</w:t>
      </w:r>
    </w:p>
    <w:p w14:paraId="27C9C3E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Why it is essential: Social workers often deal with heavy caseloads and traumatic stories of abuse. Without resilience, a worker may suffer from "burnout," which directly impacts their ability to make safe, clear-headed clinical judgments for their clients (Social Work England, 2020).</w:t>
      </w:r>
    </w:p>
    <w:p w14:paraId="026D0CAD"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2C8BF7B8" w14:textId="77777777" w:rsidR="00CF19CA" w:rsidRPr="00913B3E" w:rsidRDefault="00CF19CA" w:rsidP="00CF19CA">
      <w:pPr>
        <w:rPr>
          <w:rFonts w:asciiTheme="minorBidi" w:hAnsiTheme="minorBidi"/>
          <w:b/>
          <w:bCs/>
          <w:sz w:val="22"/>
          <w:szCs w:val="22"/>
        </w:rPr>
      </w:pPr>
      <w:r w:rsidRPr="00913B3E">
        <w:rPr>
          <w:rFonts w:asciiTheme="minorBidi" w:hAnsiTheme="minorBidi"/>
          <w:b/>
          <w:bCs/>
          <w:sz w:val="22"/>
          <w:szCs w:val="22"/>
        </w:rPr>
        <w:t>4. Development Strategies</w:t>
      </w:r>
    </w:p>
    <w:p w14:paraId="10AB05C9"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0C0997C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4.1 Critical Reflective Supervision</w:t>
      </w:r>
    </w:p>
    <w:p w14:paraId="6710350C"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73CFF2B2"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Engaging in structured, regular supervision sessions with a senior practitioner to reflect on practice.</w:t>
      </w:r>
    </w:p>
    <w:p w14:paraId="0B9E9D6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How it helps: By discussing a specific case—such as a difficult safeguarding intervention—the social worker can identify their own biases or knowledge gaps. This develops analytical skills by forcing the worker to look at the evidence from multiple perspectives before finalizing a care plan.</w:t>
      </w:r>
    </w:p>
    <w:p w14:paraId="5F08A911"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A4AE3AA"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4.2 Continued Professional Development (CPD) in Legal Frameworks</w:t>
      </w:r>
    </w:p>
    <w:p w14:paraId="560CDF9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46E9FD0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Attending specialized training sessions on updated legislation, such as the Mental Capacity Act (2005) or Liberty Protection Safeguards.</w:t>
      </w:r>
    </w:p>
    <w:p w14:paraId="199D6564" w14:textId="63BEA943" w:rsidR="00CF19CA" w:rsidRPr="00913B3E" w:rsidRDefault="00CF19CA" w:rsidP="00CF19CA">
      <w:pPr>
        <w:rPr>
          <w:rFonts w:asciiTheme="minorBidi" w:hAnsiTheme="minorBidi"/>
          <w:sz w:val="22"/>
          <w:szCs w:val="22"/>
        </w:rPr>
      </w:pPr>
      <w:r w:rsidRPr="00913B3E">
        <w:rPr>
          <w:rFonts w:asciiTheme="minorBidi" w:hAnsiTheme="minorBidi"/>
          <w:sz w:val="22"/>
          <w:szCs w:val="22"/>
        </w:rPr>
        <w:lastRenderedPageBreak/>
        <w:t xml:space="preserve">How it helps: This strategy strengthens assessment skills. By staying legally literate, a social worker ensures their decisions are legally defensible and </w:t>
      </w:r>
      <w:r w:rsidR="00913B3E" w:rsidRPr="00913B3E">
        <w:rPr>
          <w:rFonts w:asciiTheme="minorBidi" w:hAnsiTheme="minorBidi"/>
          <w:sz w:val="22"/>
          <w:szCs w:val="22"/>
        </w:rPr>
        <w:t>cantered</w:t>
      </w:r>
      <w:r w:rsidRPr="00913B3E">
        <w:rPr>
          <w:rFonts w:asciiTheme="minorBidi" w:hAnsiTheme="minorBidi"/>
          <w:sz w:val="22"/>
          <w:szCs w:val="22"/>
        </w:rPr>
        <w:t xml:space="preserve"> on the rights of the individual, reducing the risk of professional error in complex cases.</w:t>
      </w:r>
    </w:p>
    <w:p w14:paraId="4647715D"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3DD4D3ED"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4.3 Peer Support Networks and Emotional Intelligence Training</w:t>
      </w:r>
    </w:p>
    <w:p w14:paraId="28D30E74"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43DE4C6F"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Participating in peer-led support groups or workshops focused on developing emotional intelligence (EI).</w:t>
      </w:r>
    </w:p>
    <w:p w14:paraId="4227256D" w14:textId="16062EA4"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How it helps: These groups provide a safe space to decompress and learn coping mechanisms. Improving EI helps a worker recognize when their own stress is affecting their communication, allowing them to remain calm and empathetic even when faced with hostile or challenging </w:t>
      </w:r>
      <w:r w:rsidR="00913B3E" w:rsidRPr="00913B3E">
        <w:rPr>
          <w:rFonts w:asciiTheme="minorBidi" w:hAnsiTheme="minorBidi"/>
          <w:sz w:val="22"/>
          <w:szCs w:val="22"/>
        </w:rPr>
        <w:t>behaviour</w:t>
      </w:r>
      <w:r w:rsidRPr="00913B3E">
        <w:rPr>
          <w:rFonts w:asciiTheme="minorBidi" w:hAnsiTheme="minorBidi"/>
          <w:sz w:val="22"/>
          <w:szCs w:val="22"/>
        </w:rPr>
        <w:t xml:space="preserve"> from service users.</w:t>
      </w:r>
    </w:p>
    <w:p w14:paraId="72D39E09"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3B62BE80" w14:textId="77777777" w:rsidR="00CF19CA" w:rsidRPr="00913B3E" w:rsidRDefault="00CF19CA" w:rsidP="00CF19CA">
      <w:pPr>
        <w:rPr>
          <w:rFonts w:asciiTheme="minorBidi" w:hAnsiTheme="minorBidi"/>
          <w:b/>
          <w:bCs/>
          <w:sz w:val="22"/>
          <w:szCs w:val="22"/>
        </w:rPr>
      </w:pPr>
      <w:r w:rsidRPr="00913B3E">
        <w:rPr>
          <w:rFonts w:asciiTheme="minorBidi" w:hAnsiTheme="minorBidi"/>
          <w:b/>
          <w:bCs/>
          <w:sz w:val="22"/>
          <w:szCs w:val="22"/>
        </w:rPr>
        <w:t>5. Conclusion</w:t>
      </w:r>
    </w:p>
    <w:p w14:paraId="5632F84F"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7C6CD74C" w14:textId="2F667791" w:rsidR="00CF19CA" w:rsidRPr="00913B3E" w:rsidRDefault="00CF19CA" w:rsidP="00CF19CA">
      <w:pPr>
        <w:rPr>
          <w:rFonts w:asciiTheme="minorBidi" w:hAnsiTheme="minorBidi"/>
          <w:sz w:val="22"/>
          <w:szCs w:val="22"/>
        </w:rPr>
      </w:pPr>
      <w:r w:rsidRPr="00913B3E">
        <w:rPr>
          <w:rFonts w:asciiTheme="minorBidi" w:hAnsiTheme="minorBidi"/>
          <w:sz w:val="22"/>
          <w:szCs w:val="22"/>
        </w:rPr>
        <w:t>The Adult Social Worker role is vital for upholding the rights and safety of vulnerable members of society. Success in this field requires a combination of sharp analytical thinking, compassionate communication, and robust personal resilience. Through continuous reflection and legal training, social workers can ensure they provide the highest standard of person-</w:t>
      </w:r>
      <w:r w:rsidR="00913B3E" w:rsidRPr="00913B3E">
        <w:rPr>
          <w:rFonts w:asciiTheme="minorBidi" w:hAnsiTheme="minorBidi"/>
          <w:sz w:val="22"/>
          <w:szCs w:val="22"/>
        </w:rPr>
        <w:t>cantered</w:t>
      </w:r>
      <w:r w:rsidRPr="00913B3E">
        <w:rPr>
          <w:rFonts w:asciiTheme="minorBidi" w:hAnsiTheme="minorBidi"/>
          <w:sz w:val="22"/>
          <w:szCs w:val="22"/>
        </w:rPr>
        <w:t xml:space="preserve"> care.</w:t>
      </w:r>
    </w:p>
    <w:p w14:paraId="768C6E53"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04715FC4"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w:t>
      </w:r>
    </w:p>
    <w:p w14:paraId="0C738E31"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482292D1" w14:textId="3D1A58FF" w:rsidR="00CF19CA" w:rsidRPr="00913B3E" w:rsidRDefault="00CF19CA" w:rsidP="00CF19CA">
      <w:pPr>
        <w:rPr>
          <w:rFonts w:asciiTheme="minorBidi" w:hAnsiTheme="minorBidi"/>
          <w:b/>
          <w:bCs/>
          <w:sz w:val="22"/>
          <w:szCs w:val="22"/>
        </w:rPr>
      </w:pPr>
      <w:r w:rsidRPr="00913B3E">
        <w:rPr>
          <w:rFonts w:asciiTheme="minorBidi" w:hAnsiTheme="minorBidi"/>
          <w:b/>
          <w:bCs/>
          <w:sz w:val="22"/>
          <w:szCs w:val="22"/>
        </w:rPr>
        <w:t>6. Reference List</w:t>
      </w:r>
      <w:r w:rsidR="00913B3E">
        <w:rPr>
          <w:rFonts w:asciiTheme="minorBidi" w:hAnsiTheme="minorBidi"/>
          <w:b/>
          <w:bCs/>
          <w:sz w:val="22"/>
          <w:szCs w:val="22"/>
        </w:rPr>
        <w:t>:</w:t>
      </w:r>
    </w:p>
    <w:p w14:paraId="71672B6C"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1DF9C3B9"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Bark, H. (2023) ‘Resilience as Part of Recovery: The Views of Those with Experiences of Psychosis, and Learning for British Mental Health Social Work Practice. A Scoping Review’, The British Journal of Social Work, 53(8), pp. 3627–3646.</w:t>
      </w:r>
    </w:p>
    <w:p w14:paraId="11D662D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89B2C72"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British Association of Social Workers (2021) The Professional Capabilities Framework for Social Work in England. Birmingham: BASW.</w:t>
      </w:r>
    </w:p>
    <w:p w14:paraId="2404F6CB"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6D7C9A5E"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lastRenderedPageBreak/>
        <w:t>Care Act 2014, c. 23. Available at: https://www.legislation.gov.uk/ukpga/2014/23/contents (Accessed: 15 March 2026).</w:t>
      </w:r>
    </w:p>
    <w:p w14:paraId="603AF312"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508BDB2C"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Hallinan, P. and McMahon, A. (2024) ‘Supporting relational, trauma-informed social care work with autistic adults: evaluation of a reflective supervision group pilot’, The British Journal of Social Work, 54(1), pp. 3–21.</w:t>
      </w:r>
    </w:p>
    <w:p w14:paraId="2063F476" w14:textId="77777777" w:rsidR="00CF19CA" w:rsidRPr="00913B3E" w:rsidRDefault="00CF19CA" w:rsidP="00CF19CA">
      <w:pPr>
        <w:rPr>
          <w:rFonts w:asciiTheme="minorBidi" w:hAnsiTheme="minorBidi"/>
          <w:sz w:val="22"/>
          <w:szCs w:val="22"/>
        </w:rPr>
      </w:pPr>
      <w:r w:rsidRPr="00913B3E">
        <w:rPr>
          <w:rFonts w:asciiTheme="minorBidi" w:hAnsiTheme="minorBidi"/>
          <w:sz w:val="22"/>
          <w:szCs w:val="22"/>
        </w:rPr>
        <w:t xml:space="preserve"> </w:t>
      </w:r>
    </w:p>
    <w:p w14:paraId="35A625AA" w14:textId="77777777" w:rsidR="00CF19CA" w:rsidRPr="00913B3E" w:rsidRDefault="00CF19CA">
      <w:pPr>
        <w:rPr>
          <w:rFonts w:asciiTheme="minorBidi" w:hAnsiTheme="minorBidi"/>
          <w:sz w:val="22"/>
          <w:szCs w:val="22"/>
        </w:rPr>
      </w:pPr>
      <w:r w:rsidRPr="00913B3E">
        <w:rPr>
          <w:rFonts w:asciiTheme="minorBidi" w:hAnsiTheme="minorBidi"/>
          <w:sz w:val="22"/>
          <w:szCs w:val="22"/>
        </w:rPr>
        <w:t>Social Work England (2020) Professional Standards. Sheffield: Social Work England.</w:t>
      </w:r>
    </w:p>
    <w:sectPr w:rsidR="00CF19CA" w:rsidRPr="00913B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CA"/>
    <w:rsid w:val="00665A14"/>
    <w:rsid w:val="00913B3E"/>
    <w:rsid w:val="00A2531E"/>
    <w:rsid w:val="00CF19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01C347B"/>
  <w15:chartTrackingRefBased/>
  <w15:docId w15:val="{547AE186-1826-BD43-89EC-6DCBB42D9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9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9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9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9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9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9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9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9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9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9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9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9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9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9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9CA"/>
    <w:rPr>
      <w:rFonts w:eastAsiaTheme="majorEastAsia" w:cstheme="majorBidi"/>
      <w:color w:val="272727" w:themeColor="text1" w:themeTint="D8"/>
    </w:rPr>
  </w:style>
  <w:style w:type="paragraph" w:styleId="Title">
    <w:name w:val="Title"/>
    <w:basedOn w:val="Normal"/>
    <w:next w:val="Normal"/>
    <w:link w:val="TitleChar"/>
    <w:uiPriority w:val="10"/>
    <w:qFormat/>
    <w:rsid w:val="00CF1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9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9CA"/>
    <w:pPr>
      <w:spacing w:before="160"/>
      <w:jc w:val="center"/>
    </w:pPr>
    <w:rPr>
      <w:i/>
      <w:iCs/>
      <w:color w:val="404040" w:themeColor="text1" w:themeTint="BF"/>
    </w:rPr>
  </w:style>
  <w:style w:type="character" w:customStyle="1" w:styleId="QuoteChar">
    <w:name w:val="Quote Char"/>
    <w:basedOn w:val="DefaultParagraphFont"/>
    <w:link w:val="Quote"/>
    <w:uiPriority w:val="29"/>
    <w:rsid w:val="00CF19CA"/>
    <w:rPr>
      <w:i/>
      <w:iCs/>
      <w:color w:val="404040" w:themeColor="text1" w:themeTint="BF"/>
    </w:rPr>
  </w:style>
  <w:style w:type="paragraph" w:styleId="ListParagraph">
    <w:name w:val="List Paragraph"/>
    <w:basedOn w:val="Normal"/>
    <w:uiPriority w:val="34"/>
    <w:qFormat/>
    <w:rsid w:val="00CF19CA"/>
    <w:pPr>
      <w:ind w:left="720"/>
      <w:contextualSpacing/>
    </w:pPr>
  </w:style>
  <w:style w:type="character" w:styleId="IntenseEmphasis">
    <w:name w:val="Intense Emphasis"/>
    <w:basedOn w:val="DefaultParagraphFont"/>
    <w:uiPriority w:val="21"/>
    <w:qFormat/>
    <w:rsid w:val="00CF19CA"/>
    <w:rPr>
      <w:i/>
      <w:iCs/>
      <w:color w:val="0F4761" w:themeColor="accent1" w:themeShade="BF"/>
    </w:rPr>
  </w:style>
  <w:style w:type="paragraph" w:styleId="IntenseQuote">
    <w:name w:val="Intense Quote"/>
    <w:basedOn w:val="Normal"/>
    <w:next w:val="Normal"/>
    <w:link w:val="IntenseQuoteChar"/>
    <w:uiPriority w:val="30"/>
    <w:qFormat/>
    <w:rsid w:val="00CF1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9CA"/>
    <w:rPr>
      <w:i/>
      <w:iCs/>
      <w:color w:val="0F4761" w:themeColor="accent1" w:themeShade="BF"/>
    </w:rPr>
  </w:style>
  <w:style w:type="character" w:styleId="IntenseReference">
    <w:name w:val="Intense Reference"/>
    <w:basedOn w:val="DefaultParagraphFont"/>
    <w:uiPriority w:val="32"/>
    <w:qFormat/>
    <w:rsid w:val="00CF19CA"/>
    <w:rPr>
      <w:b/>
      <w:bCs/>
      <w:smallCaps/>
      <w:color w:val="0F4761" w:themeColor="accent1" w:themeShade="BF"/>
      <w:spacing w:val="5"/>
    </w:rPr>
  </w:style>
  <w:style w:type="character" w:customStyle="1" w:styleId="apple-converted-space">
    <w:name w:val="apple-converted-space"/>
    <w:basedOn w:val="DefaultParagraphFont"/>
    <w:rsid w:val="00913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904</Words>
  <Characters>5153</Characters>
  <Application>Microsoft Office Word</Application>
  <DocSecurity>0</DocSecurity>
  <Lines>42</Lines>
  <Paragraphs>12</Paragraphs>
  <ScaleCrop>false</ScaleCrop>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Hisham L.Homsi</dc:creator>
  <cp:keywords/>
  <dc:description/>
  <cp:lastModifiedBy>Hisham Al Homsi (2530548)</cp:lastModifiedBy>
  <cp:revision>3</cp:revision>
  <dcterms:created xsi:type="dcterms:W3CDTF">2026-03-15T17:28:00Z</dcterms:created>
  <dcterms:modified xsi:type="dcterms:W3CDTF">2026-03-15T17:37:00Z</dcterms:modified>
</cp:coreProperties>
</file>