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i w:val="0"/>
          <w:smallCaps w:val="0"/>
          <w:strike w:val="0"/>
          <w:color w:val="000000"/>
          <w:sz w:val="21"/>
          <w:szCs w:val="21"/>
          <w:u w:val="none"/>
          <w:shd w:fill="auto" w:val="clear"/>
          <w:vertAlign w:val="baseline"/>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Assignment coversheet &amp; feedback form</w:t>
      </w:r>
      <w:r w:rsidDel="00000000" w:rsidR="00000000" w:rsidRPr="00000000">
        <w:rPr>
          <w:rtl w:val="0"/>
        </w:rPr>
      </w:r>
    </w:p>
    <w:p w:rsidR="00000000" w:rsidDel="00000000" w:rsidP="00000000" w:rsidRDefault="00000000" w:rsidRPr="00000000" w14:paraId="00000006">
      <w:pPr>
        <w:rPr>
          <w:rFonts w:ascii="Arial" w:cs="Arial" w:eastAsia="Arial" w:hAnsi="Arial"/>
          <w:sz w:val="28"/>
          <w:szCs w:val="28"/>
          <w:vertAlign w:val="baseline"/>
        </w:rPr>
      </w:pPr>
      <w:r w:rsidDel="00000000" w:rsidR="00000000" w:rsidRPr="00000000">
        <w:rPr>
          <w:rtl w:val="0"/>
        </w:rPr>
      </w:r>
    </w:p>
    <w:p w:rsidR="00000000" w:rsidDel="00000000" w:rsidP="00000000" w:rsidRDefault="00000000" w:rsidRPr="00000000" w14:paraId="00000007">
      <w:pPr>
        <w:pStyle w:val="Heading3"/>
        <w:ind w:firstLine="720"/>
        <w:jc w:val="center"/>
        <w:rPr>
          <w:vertAlign w:val="baseline"/>
        </w:rPr>
      </w:pPr>
      <w:r w:rsidDel="00000000" w:rsidR="00000000" w:rsidRPr="00000000">
        <w:rPr>
          <w:b w:val="1"/>
          <w:vertAlign w:val="baseline"/>
          <w:rtl w:val="0"/>
        </w:rPr>
        <w:t xml:space="preserve">THIS SHEET MUST BE THE FIRST PAGE OF THE ASSIGNMENT YOU ARE SUBMITTING  (DO NOT SEND AS A SEPARATE FILE)</w:t>
      </w:r>
      <w:r w:rsidDel="00000000" w:rsidR="00000000" w:rsidRPr="00000000">
        <w:rPr>
          <w:rtl w:val="0"/>
        </w:rPr>
      </w:r>
    </w:p>
    <w:p w:rsidR="00000000" w:rsidDel="00000000" w:rsidP="00000000" w:rsidRDefault="00000000" w:rsidRPr="00000000" w14:paraId="00000008">
      <w:pPr>
        <w:pStyle w:val="Heading3"/>
        <w:ind w:firstLine="720"/>
        <w:jc w:val="center"/>
        <w:rPr>
          <w:rFonts w:ascii="Trebuchet MS" w:cs="Trebuchet MS" w:eastAsia="Trebuchet MS" w:hAnsi="Trebuchet MS"/>
          <w:vertAlign w:val="baseline"/>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the student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Name: </w:t>
            </w:r>
            <w:r w:rsidDel="00000000" w:rsidR="00000000" w:rsidRPr="00000000">
              <w:rPr>
                <w:rFonts w:ascii="Arial" w:cs="Arial" w:eastAsia="Arial" w:hAnsi="Arial"/>
                <w:sz w:val="22"/>
                <w:szCs w:val="22"/>
                <w:rtl w:val="0"/>
              </w:rPr>
              <w:t xml:space="preserve">India Sweeting</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University</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Email: 1803400@student.uwtsd.ac.uk</w:t>
            </w:r>
          </w:p>
        </w:tc>
      </w:tr>
      <w:tr>
        <w:trPr>
          <w:cantSplit w:val="0"/>
          <w:trHeight w:val="849" w:hRule="atLeast"/>
          <w:tblHeader w:val="0"/>
        </w:trPr>
        <w:tc>
          <w:tcPr>
            <w:vAlign w:val="top"/>
          </w:tcPr>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code:HPCA7031</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title:</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Astrology, History, Spirit and Soul</w:t>
            </w:r>
            <w:r w:rsidDel="00000000" w:rsidR="00000000" w:rsidRPr="00000000">
              <w:rPr>
                <w:rtl w:val="0"/>
              </w:rPr>
            </w:r>
          </w:p>
        </w:tc>
        <w:tc>
          <w:tcPr>
            <w:gridSpan w:val="3"/>
            <w:vAlign w:val="top"/>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ID number:</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1803400</w:t>
            </w:r>
          </w:p>
        </w:tc>
        <w:tc>
          <w:tcPr>
            <w:vAlign w:val="top"/>
          </w:tcPr>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yellow"/>
                <w:u w:val="none"/>
                <w:vertAlign w:val="baseline"/>
                <w:rtl w:val="0"/>
              </w:rPr>
              <w:t xml:space="preserve">Yes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title: Assignment Title:</w:t>
            </w:r>
          </w:p>
          <w:p w:rsidR="00000000" w:rsidDel="00000000" w:rsidP="00000000" w:rsidRDefault="00000000" w:rsidRPr="00000000" w14:paraId="00000021">
            <w:pPr>
              <w:ind w:right="34"/>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4500 word essay written on a topic within the subject area</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due date: 4th January/ 18th January 2024</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A">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This assignment is for the       1</w:t>
            </w:r>
            <w:r w:rsidDel="00000000" w:rsidR="00000000" w:rsidRPr="00000000">
              <w:rPr>
                <w:rFonts w:ascii="Arial" w:cs="Arial" w:eastAsia="Arial" w:hAnsi="Arial"/>
                <w:sz w:val="22"/>
                <w:szCs w:val="22"/>
                <w:vertAlign w:val="superscript"/>
                <w:rtl w:val="0"/>
              </w:rPr>
              <w:t xml:space="preserve">st </w:t>
            </w:r>
            <w:bookmarkStart w:colFirst="0" w:colLast="0" w:name="gjdgxs" w:id="0"/>
            <w:bookmarkEnd w:id="0"/>
            <w:r w:rsidDel="00000000" w:rsidR="00000000" w:rsidRPr="00000000">
              <w:rPr>
                <w:rFonts w:ascii="Arial" w:cs="Arial" w:eastAsia="Arial" w:hAnsi="Arial"/>
                <w:sz w:val="22"/>
                <w:szCs w:val="22"/>
                <w:vertAlign w:val="baseline"/>
                <w:rtl w:val="0"/>
              </w:rPr>
              <w:t xml:space="preserve">☐    2</w:t>
            </w:r>
            <w:r w:rsidDel="00000000" w:rsidR="00000000" w:rsidRPr="00000000">
              <w:rPr>
                <w:rFonts w:ascii="Arial" w:cs="Arial" w:eastAsia="Arial" w:hAnsi="Arial"/>
                <w:sz w:val="22"/>
                <w:szCs w:val="22"/>
                <w:vertAlign w:val="superscript"/>
                <w:rtl w:val="0"/>
              </w:rPr>
              <w:t xml:space="preserve">nd</w:t>
            </w:r>
            <w:r w:rsidDel="00000000" w:rsidR="00000000" w:rsidRPr="00000000">
              <w:rPr>
                <w:rFonts w:ascii="Arial" w:cs="Arial" w:eastAsia="Arial" w:hAnsi="Arial"/>
                <w:sz w:val="22"/>
                <w:szCs w:val="22"/>
                <w:vertAlign w:val="baseline"/>
                <w:rtl w:val="0"/>
              </w:rPr>
              <w:t xml:space="preserve">  </w:t>
            </w:r>
            <w:bookmarkStart w:colFirst="0" w:colLast="0" w:name="30j0zll" w:id="1"/>
            <w:bookmarkEnd w:id="1"/>
            <w:r w:rsidDel="00000000" w:rsidR="00000000" w:rsidRPr="00000000">
              <w:rPr>
                <w:rFonts w:ascii="Arial" w:cs="Arial" w:eastAsia="Arial" w:hAnsi="Arial"/>
                <w:sz w:val="22"/>
                <w:szCs w:val="22"/>
                <w:vertAlign w:val="baseline"/>
                <w:rtl w:val="0"/>
              </w:rPr>
              <w:t xml:space="preserve">☐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vertAlign w:val="baseline"/>
                <w:rtl w:val="0"/>
              </w:rPr>
              <w:t xml:space="preserve">  </w:t>
            </w:r>
            <w:bookmarkStart w:colFirst="0" w:colLast="0" w:name="1fob9te" w:id="2"/>
            <w:bookmarkEnd w:id="2"/>
            <w:r w:rsidDel="00000000" w:rsidR="00000000" w:rsidRPr="00000000">
              <w:rPr>
                <w:rFonts w:ascii="Arial" w:cs="Arial" w:eastAsia="Arial" w:hAnsi="Arial"/>
                <w:sz w:val="22"/>
                <w:szCs w:val="22"/>
                <w:vertAlign w:val="baseline"/>
                <w:rtl w:val="0"/>
              </w:rPr>
              <w:t xml:space="preserve">☐      </w:t>
            </w:r>
            <w:r w:rsidDel="00000000" w:rsidR="00000000" w:rsidRPr="00000000">
              <w:rPr>
                <w:rFonts w:ascii="Arial" w:cs="Arial" w:eastAsia="Arial" w:hAnsi="Arial"/>
                <w:sz w:val="22"/>
                <w:szCs w:val="22"/>
                <w:highlight w:val="yellow"/>
                <w:vertAlign w:val="baseline"/>
                <w:rtl w:val="0"/>
              </w:rPr>
              <w:t xml:space="preserve">4</w:t>
            </w:r>
            <w:r w:rsidDel="00000000" w:rsidR="00000000" w:rsidRPr="00000000">
              <w:rPr>
                <w:rFonts w:ascii="Arial" w:cs="Arial" w:eastAsia="Arial" w:hAnsi="Arial"/>
                <w:sz w:val="22"/>
                <w:szCs w:val="22"/>
                <w:highlight w:val="yellow"/>
                <w:vertAlign w:val="superscript"/>
                <w:rtl w:val="0"/>
              </w:rPr>
              <w:t xml:space="preserve">th</w:t>
            </w:r>
            <w:r w:rsidDel="00000000" w:rsidR="00000000" w:rsidRPr="00000000">
              <w:rPr>
                <w:rFonts w:ascii="Arial" w:cs="Arial" w:eastAsia="Arial" w:hAnsi="Arial"/>
                <w:sz w:val="22"/>
                <w:szCs w:val="22"/>
                <w:highlight w:val="yellow"/>
                <w:vertAlign w:val="baseline"/>
                <w:rtl w:val="0"/>
              </w:rPr>
              <w:t xml:space="preserve"> </w:t>
            </w:r>
            <w:bookmarkStart w:colFirst="0" w:colLast="0" w:name="3znysh7" w:id="3"/>
            <w:bookmarkEnd w:id="3"/>
            <w:r w:rsidDel="00000000" w:rsidR="00000000" w:rsidRPr="00000000">
              <w:rPr>
                <w:rFonts w:ascii="Arial" w:cs="Arial" w:eastAsia="Arial" w:hAnsi="Arial"/>
                <w:sz w:val="22"/>
                <w:szCs w:val="22"/>
                <w:highlight w:val="yellow"/>
                <w:vertAlign w:val="baseline"/>
                <w:rtl w:val="0"/>
              </w:rPr>
              <w:t xml:space="preserve">☐  </w:t>
            </w:r>
            <w:r w:rsidDel="00000000" w:rsidR="00000000" w:rsidRPr="00000000">
              <w:rPr>
                <w:rFonts w:ascii="Arial" w:cs="Arial" w:eastAsia="Arial" w:hAnsi="Arial"/>
                <w:sz w:val="22"/>
                <w:szCs w:val="22"/>
                <w:vertAlign w:val="baseline"/>
                <w:rtl w:val="0"/>
              </w:rPr>
              <w:t xml:space="preserve">    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2et92p0" w:id="4"/>
            <w:bookmarkEnd w:id="4"/>
            <w:r w:rsidDel="00000000" w:rsidR="00000000" w:rsidRPr="00000000">
              <w:rPr>
                <w:rFonts w:ascii="Arial" w:cs="Arial" w:eastAsia="Arial" w:hAnsi="Arial"/>
                <w:sz w:val="22"/>
                <w:szCs w:val="22"/>
                <w:vertAlign w:val="baseline"/>
                <w:rtl w:val="0"/>
              </w:rPr>
              <w:t xml:space="preserve">☐      6</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tyjcwt" w:id="5"/>
            <w:bookmarkEnd w:id="5"/>
            <w:r w:rsidDel="00000000" w:rsidR="00000000" w:rsidRPr="00000000">
              <w:rPr>
                <w:rFonts w:ascii="Arial" w:cs="Arial" w:eastAsia="Arial" w:hAnsi="Arial"/>
                <w:sz w:val="22"/>
                <w:szCs w:val="22"/>
                <w:vertAlign w:val="baseline"/>
                <w:rtl w:val="0"/>
              </w:rPr>
              <w:t xml:space="preserve">☐</w:t>
            </w:r>
            <w:r w:rsidDel="00000000" w:rsidR="00000000" w:rsidRPr="00000000">
              <w:rPr>
                <w:rFonts w:ascii="Arial" w:cs="Arial" w:eastAsia="Arial" w:hAnsi="Arial"/>
                <w:b w:val="1"/>
                <w:sz w:val="22"/>
                <w:szCs w:val="22"/>
                <w:vertAlign w:val="baseline"/>
                <w:rtl w:val="0"/>
              </w:rPr>
              <w:t xml:space="preserve">   </w:t>
            </w:r>
            <w:r w:rsidDel="00000000" w:rsidR="00000000" w:rsidRPr="00000000">
              <w:rPr>
                <w:rFonts w:ascii="Arial" w:cs="Arial" w:eastAsia="Arial" w:hAnsi="Arial"/>
                <w:sz w:val="22"/>
                <w:szCs w:val="22"/>
                <w:vertAlign w:val="baseline"/>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Signed …………India Swee</w:t>
            </w:r>
            <w:r w:rsidDel="00000000" w:rsidR="00000000" w:rsidRPr="00000000">
              <w:rPr>
                <w:rFonts w:ascii="Arial" w:cs="Arial" w:eastAsia="Arial" w:hAnsi="Arial"/>
                <w:sz w:val="22"/>
                <w:szCs w:val="22"/>
                <w:rtl w:val="0"/>
              </w:rPr>
              <w:t xml:space="preserve">ting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Email submission:if you are submitting this form via email, please tick this box </w:t>
            </w:r>
            <w:r w:rsidDel="00000000" w:rsidR="00000000" w:rsidRPr="00000000">
              <w:rPr>
                <w:rFonts w:ascii="Calibri" w:cs="Calibri" w:eastAsia="Calibri" w:hAnsi="Calibri"/>
                <w:b w:val="1"/>
                <w:i w:val="0"/>
                <w:smallCaps w:val="0"/>
                <w:strike w:val="0"/>
                <w:color w:val="000000"/>
                <w:sz w:val="44"/>
                <w:szCs w:val="4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7">
            <w:pPr>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38">
            <w:pPr>
              <w:rPr>
                <w:rFonts w:ascii="Arial" w:cs="Arial" w:eastAsia="Arial" w:hAnsi="Arial"/>
                <w:vertAlign w:val="baseline"/>
              </w:rPr>
            </w:pPr>
            <w:r w:rsidDel="00000000" w:rsidR="00000000" w:rsidRPr="00000000">
              <w:rPr>
                <w:rFonts w:ascii="Arial" w:cs="Arial" w:eastAsia="Arial" w:hAnsi="Arial"/>
                <w:b w:val="1"/>
                <w:vertAlign w:val="baseline"/>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9">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A">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vertAlign w:val="baseline"/>
                      <w:rtl w:val="0"/>
                    </w:rPr>
                    <w:t xml:space="preserve"> Marker’s Provisional mark</w:t>
                  </w:r>
                </w:p>
              </w:tc>
              <w:tc>
                <w:tcPr>
                  <w:vAlign w:val="top"/>
                </w:tcPr>
                <w:p w:rsidR="00000000" w:rsidDel="00000000" w:rsidP="00000000" w:rsidRDefault="00000000" w:rsidRPr="00000000" w14:paraId="0000003B">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C">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D">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vertAlign w:val="baseline"/>
                      <w:rtl w:val="0"/>
                    </w:rPr>
                    <w:t xml:space="preserve"> Marker’s/Moderator’s provisional mark</w:t>
                  </w:r>
                </w:p>
              </w:tc>
              <w:tc>
                <w:tcPr>
                  <w:vAlign w:val="top"/>
                </w:tcPr>
                <w:p w:rsidR="00000000" w:rsidDel="00000000" w:rsidP="00000000" w:rsidRDefault="00000000" w:rsidRPr="00000000" w14:paraId="0000003E">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0">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External Examiner’s mark (if relevant)</w:t>
                  </w:r>
                </w:p>
              </w:tc>
              <w:tc>
                <w:tcPr>
                  <w:vAlign w:val="top"/>
                </w:tcPr>
                <w:p w:rsidR="00000000" w:rsidDel="00000000" w:rsidP="00000000" w:rsidRDefault="00000000" w:rsidRPr="00000000" w14:paraId="00000041">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3">
                  <w:pPr>
                    <w:rPr>
                      <w:rFonts w:ascii="Arial" w:cs="Arial" w:eastAsia="Arial" w:hAnsi="Arial"/>
                      <w:b w:val="0"/>
                      <w:sz w:val="20"/>
                      <w:szCs w:val="20"/>
                      <w:vertAlign w:val="baseline"/>
                    </w:rPr>
                  </w:pPr>
                  <w:r w:rsidDel="00000000" w:rsidR="00000000" w:rsidRPr="00000000">
                    <w:rPr>
                      <w:rFonts w:ascii="Arial" w:cs="Arial" w:eastAsia="Arial" w:hAnsi="Arial"/>
                      <w:b w:val="1"/>
                      <w:sz w:val="20"/>
                      <w:szCs w:val="20"/>
                      <w:vertAlign w:val="baseline"/>
                      <w:rtl w:val="0"/>
                    </w:rPr>
                    <w:t xml:space="preserve">Final Mark</w:t>
                  </w:r>
                  <w:r w:rsidDel="00000000" w:rsidR="00000000" w:rsidRPr="00000000">
                    <w:rPr>
                      <w:rtl w:val="0"/>
                    </w:rPr>
                  </w:r>
                </w:p>
                <w:p w:rsidR="00000000" w:rsidDel="00000000" w:rsidP="00000000" w:rsidRDefault="00000000" w:rsidRPr="00000000" w14:paraId="00000044">
                  <w:pPr>
                    <w:rPr>
                      <w:rFonts w:ascii="Arial" w:cs="Arial" w:eastAsia="Arial" w:hAnsi="Arial"/>
                      <w:sz w:val="20"/>
                      <w:szCs w:val="20"/>
                      <w:vertAlign w:val="baseline"/>
                    </w:rPr>
                  </w:pPr>
                  <w:r w:rsidDel="00000000" w:rsidR="00000000" w:rsidRPr="00000000">
                    <w:rPr>
                      <w:rtl w:val="0"/>
                    </w:rPr>
                  </w:r>
                </w:p>
              </w:tc>
              <w:tc>
                <w:tcPr>
                  <w:vAlign w:val="top"/>
                </w:tcPr>
                <w:p w:rsidR="00000000" w:rsidDel="00000000" w:rsidP="00000000" w:rsidRDefault="00000000" w:rsidRPr="00000000" w14:paraId="00000045">
                  <w:pPr>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NB.</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All marks are provisional until confirmed by the Final Examination Board.</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1 :</w:t>
            </w: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2"/>
            <w:vAlign w:val="top"/>
          </w:tcPr>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blHeader w:val="0"/>
        </w:trPr>
        <w:tc>
          <w:tcPr>
            <w:gridSpan w:val="5"/>
            <w:vAlign w:val="top"/>
          </w:tcPr>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3"/>
            <w:vAlign w:val="top"/>
          </w:tcPr>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2">
            <w:pPr>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2">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External Examiner’s Signature:</w:t>
            </w:r>
          </w:p>
        </w:tc>
        <w:tc>
          <w:tcPr>
            <w:gridSpan w:val="3"/>
            <w:vAlign w:val="top"/>
          </w:tcPr>
          <w:p w:rsidR="00000000" w:rsidDel="00000000" w:rsidP="00000000" w:rsidRDefault="00000000" w:rsidRPr="00000000" w14:paraId="00000084">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Date:</w:t>
            </w:r>
          </w:p>
        </w:tc>
      </w:tr>
    </w:tbl>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sectPr>
          <w:headerReference r:id="rId8" w:type="default"/>
          <w:headerReference r:id="rId9" w:type="first"/>
          <w:footerReference r:id="rId10" w:type="default"/>
          <w:footerReference r:id="rId11" w:type="first"/>
          <w:pgSz w:h="15840" w:w="12240" w:orient="portrait"/>
          <w:pgMar w:bottom="567" w:top="567" w:left="1797" w:right="1797" w:header="567" w:footer="720"/>
          <w:pgNumType w:start="1"/>
        </w:sect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4">
      <w:pPr>
        <w:spacing w:line="360"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3. Taking one period of astrology, consider whether it assumed that the future was negotiable or fixed? </w:t>
      </w:r>
    </w:p>
    <w:p w:rsidR="00000000" w:rsidDel="00000000" w:rsidP="00000000" w:rsidRDefault="00000000" w:rsidRPr="00000000" w14:paraId="00000095">
      <w:pPr>
        <w:spacing w:line="360"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6">
      <w:pPr>
        <w:spacing w:line="360" w:lineRule="auto"/>
        <w:ind w:firstLine="720"/>
        <w:rPr>
          <w:rFonts w:ascii="Arial" w:cs="Arial" w:eastAsia="Arial" w:hAnsi="Arial"/>
          <w:i w:val="1"/>
          <w:sz w:val="22"/>
          <w:szCs w:val="22"/>
        </w:rPr>
      </w:pPr>
      <w:r w:rsidDel="00000000" w:rsidR="00000000" w:rsidRPr="00000000">
        <w:rPr>
          <w:rFonts w:ascii="Arial" w:cs="Arial" w:eastAsia="Arial" w:hAnsi="Arial"/>
          <w:sz w:val="22"/>
          <w:szCs w:val="22"/>
          <w:rtl w:val="0"/>
        </w:rPr>
        <w:t xml:space="preserve">The 'Abbasid Era, spanning from the 8th to the 13th centuries</w:t>
      </w:r>
      <w:r w:rsidDel="00000000" w:rsidR="00000000" w:rsidRPr="00000000">
        <w:rPr>
          <w:rFonts w:ascii="Arial" w:cs="Arial" w:eastAsia="Arial" w:hAnsi="Arial"/>
          <w:sz w:val="22"/>
          <w:szCs w:val="22"/>
          <w:vertAlign w:val="superscript"/>
        </w:rPr>
        <w:footnoteReference w:customMarkFollows="0" w:id="0"/>
      </w:r>
      <w:r w:rsidDel="00000000" w:rsidR="00000000" w:rsidRPr="00000000">
        <w:rPr>
          <w:rFonts w:ascii="Arial" w:cs="Arial" w:eastAsia="Arial" w:hAnsi="Arial"/>
          <w:sz w:val="22"/>
          <w:szCs w:val="22"/>
          <w:rtl w:val="0"/>
        </w:rPr>
        <w:t xml:space="preserve">, stands as a pivotal period in Islamic history, recognised for its intellectual and cultural endeavours. This era witnessed an influx of diverse philosophical traditions, notably the infusion of Greek thought through mass translations of imported text. In this intellectual melting pot, the study and practice of astrology emerged, reflecting the culturally diverse nature of the scholarship during this time.  According to Nicholas Campion, “Astrology assumes that there is a significant relationship between the stars or planets and affairs on earth.” or “the assumption that the stars and planets possess, or impart, meaning”.</w:t>
      </w:r>
      <w:r w:rsidDel="00000000" w:rsidR="00000000" w:rsidRPr="00000000">
        <w:rPr>
          <w:rFonts w:ascii="Arial" w:cs="Arial" w:eastAsia="Arial" w:hAnsi="Arial"/>
          <w:sz w:val="22"/>
          <w:szCs w:val="22"/>
          <w:vertAlign w:val="superscript"/>
        </w:rPr>
        <w:footnoteReference w:customMarkFollows="0" w:id="1"/>
      </w:r>
      <w:r w:rsidDel="00000000" w:rsidR="00000000" w:rsidRPr="00000000">
        <w:rPr>
          <w:rFonts w:ascii="Arial" w:cs="Arial" w:eastAsia="Arial" w:hAnsi="Arial"/>
          <w:sz w:val="22"/>
          <w:szCs w:val="22"/>
          <w:rtl w:val="0"/>
        </w:rPr>
        <w:t xml:space="preserve"> In brief, Astrology can be defined as a practice that studies the link between celestial movements, and its effect on the lives of humans. He continued, “Every form of astrology begins by posing a level of fate, in which human beings assume a lack of control over their lives but then set out to create choice, negotiate with nature, and enter into a dialogue with time”.</w:t>
      </w:r>
      <w:r w:rsidDel="00000000" w:rsidR="00000000" w:rsidRPr="00000000">
        <w:rPr>
          <w:rFonts w:ascii="Arial" w:cs="Arial" w:eastAsia="Arial" w:hAnsi="Arial"/>
          <w:sz w:val="22"/>
          <w:szCs w:val="22"/>
          <w:vertAlign w:val="superscript"/>
        </w:rPr>
        <w:footnoteReference w:customMarkFollows="0" w:id="2"/>
      </w:r>
      <w:r w:rsidDel="00000000" w:rsidR="00000000" w:rsidRPr="00000000">
        <w:rPr>
          <w:rFonts w:ascii="Arial" w:cs="Arial" w:eastAsia="Arial" w:hAnsi="Arial"/>
          <w:sz w:val="22"/>
          <w:szCs w:val="22"/>
          <w:rtl w:val="0"/>
        </w:rPr>
        <w:t xml:space="preserve"> As a result, this essay explores whether astrology in the 'Abbasid period viewed fate as fixed or negotiable. With the influence of Hellenistic thought, the ideas of fate found in classical Greek texts will be compared to the ideas of ‘Abbasid astrologers. The goal is to demonstrate that the astrology that emerged in this period, and its thoughts on fate, were derived from Hellenisitc traditions. This essay will examine key texts such as Abū Maʿšar's </w:t>
      </w:r>
      <w:r w:rsidDel="00000000" w:rsidR="00000000" w:rsidRPr="00000000">
        <w:rPr>
          <w:rFonts w:ascii="Arial" w:cs="Arial" w:eastAsia="Arial" w:hAnsi="Arial"/>
          <w:i w:val="1"/>
          <w:sz w:val="22"/>
          <w:szCs w:val="22"/>
          <w:rtl w:val="0"/>
        </w:rPr>
        <w:t xml:space="preserve">The Introduction to</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Astrology </w:t>
      </w:r>
      <w:r w:rsidDel="00000000" w:rsidR="00000000" w:rsidRPr="00000000">
        <w:rPr>
          <w:rFonts w:ascii="Arial" w:cs="Arial" w:eastAsia="Arial" w:hAnsi="Arial"/>
          <w:sz w:val="22"/>
          <w:szCs w:val="22"/>
          <w:rtl w:val="0"/>
        </w:rPr>
        <w:t xml:space="preserve">and the influential, </w:t>
      </w:r>
      <w:r w:rsidDel="00000000" w:rsidR="00000000" w:rsidRPr="00000000">
        <w:rPr>
          <w:rFonts w:ascii="Arial" w:cs="Arial" w:eastAsia="Arial" w:hAnsi="Arial"/>
          <w:i w:val="1"/>
          <w:sz w:val="22"/>
          <w:szCs w:val="22"/>
          <w:rtl w:val="0"/>
        </w:rPr>
        <w:t xml:space="preserve">Picatrix.</w:t>
      </w:r>
    </w:p>
    <w:p w:rsidR="00000000" w:rsidDel="00000000" w:rsidP="00000000" w:rsidRDefault="00000000" w:rsidRPr="00000000" w14:paraId="0000009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spacing w:line="360" w:lineRule="auto"/>
        <w:jc w:val="center"/>
        <w:rPr>
          <w:rFonts w:ascii="Arial" w:cs="Arial" w:eastAsia="Arial" w:hAnsi="Arial"/>
          <w:sz w:val="22"/>
          <w:szCs w:val="22"/>
          <w:u w:val="single"/>
        </w:rPr>
      </w:pPr>
      <w:r w:rsidDel="00000000" w:rsidR="00000000" w:rsidRPr="00000000">
        <w:rPr>
          <w:rFonts w:ascii="Arial" w:cs="Arial" w:eastAsia="Arial" w:hAnsi="Arial"/>
          <w:sz w:val="22"/>
          <w:szCs w:val="22"/>
          <w:rtl w:val="0"/>
        </w:rPr>
        <w:tab/>
      </w:r>
      <w:r w:rsidDel="00000000" w:rsidR="00000000" w:rsidRPr="00000000">
        <w:rPr>
          <w:rFonts w:ascii="Arial" w:cs="Arial" w:eastAsia="Arial" w:hAnsi="Arial"/>
          <w:sz w:val="22"/>
          <w:szCs w:val="22"/>
          <w:u w:val="single"/>
          <w:rtl w:val="0"/>
        </w:rPr>
        <w:t xml:space="preserve">Historical Context of the ‘Abbasid Era and the Golden Age</w:t>
      </w:r>
    </w:p>
    <w:p w:rsidR="00000000" w:rsidDel="00000000" w:rsidP="00000000" w:rsidRDefault="00000000" w:rsidRPr="00000000" w14:paraId="00000099">
      <w:pPr>
        <w:spacing w:line="360" w:lineRule="auto"/>
        <w:jc w:val="cente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A">
      <w:pPr>
        <w:spacing w:line="36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the attitudes toward fate in the ‘Abbasid Era, the socio-political context behind it must be considered. According to Amira K. Bennison, the ‘Abbasid era, “considered the classical age of Islamic civilization”, emerged after the “‘Abbasid revolution in 750”.</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Fonts w:ascii="Arial" w:cs="Arial" w:eastAsia="Arial" w:hAnsi="Arial"/>
          <w:sz w:val="22"/>
          <w:szCs w:val="22"/>
          <w:rtl w:val="0"/>
        </w:rPr>
        <w:t xml:space="preserve"> She noted that upon the replacement of their predecessors, the ‘Abbasid caliphs constructed the city of Baghdad which grew to be the centre of their empire. </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Fonts w:ascii="Arial" w:cs="Arial" w:eastAsia="Arial" w:hAnsi="Arial"/>
          <w:sz w:val="22"/>
          <w:szCs w:val="22"/>
          <w:rtl w:val="0"/>
        </w:rPr>
        <w:t xml:space="preserve"> She asserts that this era ends in “1258 when the Mongols marched into Baghdad and killed the last caliph”.</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In summary, the ‘Abbasid era spread from 750 with the foundation of Baghdad until 1258, the 8th through the 13th centuries. Bennison stated that the beginning of the ‘Abbasid era developed “Baghdad’s ‘Golden Age’”, where “Muslims built on the Arabo-Islamic intellectual foundations laid by the Umayyads to develop numerous branches of learning and practical expertise”. </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This noteworthy age in Islamic history can be attributed to a succession of rulership that was invested in the advancement of learning, “beginning with al-Mansur (754–75). His successors included al-Mahdi (775–785), who founded schools and patronised the arts; Harun al-Rashid (786–809), who signalled his respect for pagan learning by ordering a collection of original Greek manuscripts; and al-Mamun (813–33),</w:t>
      </w:r>
    </w:p>
    <w:p w:rsidR="00000000" w:rsidDel="00000000" w:rsidP="00000000" w:rsidRDefault="00000000" w:rsidRPr="00000000" w14:paraId="0000009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who set up the Bait al-Hikma (House of Wisdom) in Baghdad, as a deliberate attempt to bring scholars together to translate Greek, Syriac, Persian, and Sanskrit works into Arabic and, among other areas, to exchange ideas about the nature of the cosmos.” </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 In brief, The ‘Golden age’ of learning was fueled through the investment of a succession of rulers during </w:t>
      </w:r>
      <w:r w:rsidDel="00000000" w:rsidR="00000000" w:rsidRPr="00000000">
        <w:rPr>
          <w:rFonts w:ascii="Arial" w:cs="Arial" w:eastAsia="Arial" w:hAnsi="Arial"/>
          <w:sz w:val="22"/>
          <w:szCs w:val="22"/>
          <w:rtl w:val="0"/>
        </w:rPr>
        <w:t xml:space="preserve">the ‘Abbasid</w:t>
      </w:r>
      <w:r w:rsidDel="00000000" w:rsidR="00000000" w:rsidRPr="00000000">
        <w:rPr>
          <w:rFonts w:ascii="Arial" w:cs="Arial" w:eastAsia="Arial" w:hAnsi="Arial"/>
          <w:sz w:val="22"/>
          <w:szCs w:val="22"/>
          <w:rtl w:val="0"/>
        </w:rPr>
        <w:t xml:space="preserve"> period. This mass call for Arabic translation was also referred to as the ‘translation movement’. According to Dimitri Gutas, this movement two-century long movement ensured “almost all scientific and philosophical secular Greek works that were available in late antiquity, including such diverse topics as astrology, alchemy, physics, mathematics, medicine, and philosophy had been translated into Arabic” </w:t>
      </w:r>
      <w:r w:rsidDel="00000000" w:rsidR="00000000" w:rsidRPr="00000000">
        <w:rPr>
          <w:rFonts w:ascii="Arial" w:cs="Arial" w:eastAsia="Arial" w:hAnsi="Arial"/>
          <w:sz w:val="22"/>
          <w:szCs w:val="22"/>
          <w:vertAlign w:val="superscript"/>
        </w:rPr>
        <w:footnoteReference w:customMarkFollows="0" w:id="8"/>
      </w:r>
      <w:r w:rsidDel="00000000" w:rsidR="00000000" w:rsidRPr="00000000">
        <w:rPr>
          <w:rFonts w:ascii="Arial" w:cs="Arial" w:eastAsia="Arial" w:hAnsi="Arial"/>
          <w:sz w:val="22"/>
          <w:szCs w:val="22"/>
          <w:rtl w:val="0"/>
        </w:rPr>
        <w:t xml:space="preserve"> Although an array of texts were translated during this period, Sonja Brentjes and Robert G. Morrison argued that many scholars consider the main focus of the translation movement were Greek texts, scholars primarily “focused upon writings by leading Greek and Hellenistic scholars such as Hippocrates, Plato, Aristotle, Archimedes, Euclid, Apollonius, Diophantus, Ptolemy, Galen and Dioscorid”</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This indicates that the scholastic climate in the ‘Abbasid period was a ripe breeding ground for a resurgence of Hellenistic ideas in the area, which becomes evident as we look at the astrology emerging in this time period. Seyyed Hossein Nasr asserted that this mass translation of texts into Arabic was a catalyst for new schools of thought that incorporated “non-Islamic sources” into their work.</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 Greek thought was so embedded in the scholarship of the time, Edith Jachimowicz wrote that “Islam is entirely indebted to Greece for its scientific knowledge of the cosmos, in so far as Islamic learning on the subject was derived from Greek ideas which found their way  to the early Islamic Scholastic centres in Damascus and Baghdad’.</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Through this, it can be assumed that the presence of Greek ideas in Islamic scholarship was so prevalent that the presence of original Islamic philosophies comes into question. </w:t>
      </w:r>
    </w:p>
    <w:p w:rsidR="00000000" w:rsidDel="00000000" w:rsidP="00000000" w:rsidRDefault="00000000" w:rsidRPr="00000000" w14:paraId="0000009C">
      <w:pPr>
        <w:spacing w:line="36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The prevalence of Greek ideas in the Golden Age becomes relevant when discussing Islamic Astrology and its viewpoint on the flexibility of fate. First of all, Gutas provided that “There is no indication of a pre-Islamic or early Islamic astrology in Arab society; and although there are some indications that astrology was already present in the court of caliphs in late Umayyad times, it appears that it became dominant only during al-Manur’s reign”. </w:t>
      </w:r>
      <w:r w:rsidDel="00000000" w:rsidR="00000000" w:rsidRPr="00000000">
        <w:rPr>
          <w:rFonts w:ascii="Arial" w:cs="Arial" w:eastAsia="Arial" w:hAnsi="Arial"/>
          <w:sz w:val="22"/>
          <w:szCs w:val="22"/>
          <w:vertAlign w:val="superscript"/>
        </w:rPr>
        <w:footnoteReference w:customMarkFollows="0" w:id="12"/>
      </w:r>
      <w:r w:rsidDel="00000000" w:rsidR="00000000" w:rsidRPr="00000000">
        <w:rPr>
          <w:rFonts w:ascii="Arial" w:cs="Arial" w:eastAsia="Arial" w:hAnsi="Arial"/>
          <w:sz w:val="22"/>
          <w:szCs w:val="22"/>
          <w:rtl w:val="0"/>
        </w:rPr>
        <w:t xml:space="preserve"> With this, it contextualises Islamic astrology as emerging within the Golden Age. Naturally, it can be concluded that the astrology in the ‘Abbasid period was heavily infused with Hellenisitc thought, with the foundations Islamic Astrology being directly imported from Hellenistic astrology through translated manuscripts. Evidently, according to Campion, the “transmission of Hellenistic astrology” contributed </w:t>
      </w:r>
      <w:r w:rsidDel="00000000" w:rsidR="00000000" w:rsidRPr="00000000">
        <w:rPr>
          <w:rFonts w:ascii="Arial" w:cs="Arial" w:eastAsia="Arial" w:hAnsi="Arial"/>
          <w:sz w:val="22"/>
          <w:szCs w:val="22"/>
          <w:rtl w:val="0"/>
        </w:rPr>
        <w:t xml:space="preserve">a “profound</w:t>
      </w:r>
      <w:r w:rsidDel="00000000" w:rsidR="00000000" w:rsidRPr="00000000">
        <w:rPr>
          <w:rFonts w:ascii="Arial" w:cs="Arial" w:eastAsia="Arial" w:hAnsi="Arial"/>
          <w:sz w:val="22"/>
          <w:szCs w:val="22"/>
          <w:rtl w:val="0"/>
        </w:rPr>
        <w:t xml:space="preserve"> impact on the astrology of the Islamic Golden age”.</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Furthermore, Campion noted that “The astrology of the Islamic world drew on two major sources: the textual corpus of the judicial astrological texts derived from the Hellenistic, Near Eastern, and Indian worlds, and the “folk astronomy” inherited in part from the calendrical and prognostic practices of pre-Islamic Arabia”. </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This shows that the Astrology of this period was significantly influenced by outside cultures, notably Greek texts, thanks to the translation movement.  This further proves that the astrology emerging within this time frame would reflect Hellenistic ideologies. In conclusion, The ‘Abbasid period, which spanned from the 8th to 13th centuries in Mesopotamia, saw a great influx of Greek ideas through the translation movement. A succession of rulers during this period invested in scholarship and mass translation which led to a revival of Greek and other cultural traditions in Baghdad known as the ‘Golden Age’. This led to a large importation of Greek ideas that influenced the astrology that was simultaneously emerging. </w:t>
      </w:r>
    </w:p>
    <w:p w:rsidR="00000000" w:rsidDel="00000000" w:rsidP="00000000" w:rsidRDefault="00000000" w:rsidRPr="00000000" w14:paraId="0000009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ab/>
      </w:r>
    </w:p>
    <w:p w:rsidR="00000000" w:rsidDel="00000000" w:rsidP="00000000" w:rsidRDefault="00000000" w:rsidRPr="00000000" w14:paraId="0000009E">
      <w:pPr>
        <w:spacing w:line="360"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Abu Ma’shar</w:t>
      </w:r>
    </w:p>
    <w:p w:rsidR="00000000" w:rsidDel="00000000" w:rsidP="00000000" w:rsidRDefault="00000000" w:rsidRPr="00000000" w14:paraId="0000009F">
      <w:pPr>
        <w:spacing w:line="36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A0">
      <w:pPr>
        <w:spacing w:line="360" w:lineRule="auto"/>
        <w:rPr>
          <w:rFonts w:ascii="Arial" w:cs="Arial" w:eastAsia="Arial" w:hAnsi="Arial"/>
          <w:sz w:val="22"/>
          <w:szCs w:val="22"/>
          <w:u w:val="single"/>
        </w:rPr>
      </w:pPr>
      <w:r w:rsidDel="00000000" w:rsidR="00000000" w:rsidRPr="00000000">
        <w:rPr>
          <w:rFonts w:ascii="Arial" w:cs="Arial" w:eastAsia="Arial" w:hAnsi="Arial"/>
          <w:sz w:val="22"/>
          <w:szCs w:val="22"/>
          <w:rtl w:val="0"/>
        </w:rPr>
        <w:tab/>
        <w:t xml:space="preserve">In order to understand the viewpoints of fate by astrologers at this time, it is vital to take a look at sources emerging during the ‘Abbasid period. Firstly, the works of astrologer and scholar Abū Maʿšar can be examined in order to gain insight into the philosophies held by practising Arab astrologers. According to Keiji Yamamoto and Charles Burnett, “Abū Maʿšar Ǧaʿfar ibn Muḥammad ibn ʿUmar al-Balḫī was the best-known astrologer of the Middle Ages”. His popularity speaks volume to his influence on other astrologers of the time, and therefore, his work can be looked at as a reflection of a majority of other astrologers at this time as well. Yamamoto and Burnett continued by saying, “He was born in Balḫ, in the Eastern Persian province of Ḫurāsān (now in Afghanistan) in AD787 and died in al-Wāsiṭ in central Iraq in AD886. He apparently spent most of his life in Baghdad, where he lived by the Ḫurāsān Gate”.</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Due to his time period and location in the city of Baghdad, this shows that he was classified as an Arab astrologer during the ’Abbasid period. His notable works include “(1) The Introduction to Astrology ; (2) The Book of Religions and Dynasties, also known as ‘On Conjunctions’” and “(3) The Book on the Revolutions of the Years of the Nativities”.</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For the purpose of this essay, </w:t>
      </w:r>
      <w:r w:rsidDel="00000000" w:rsidR="00000000" w:rsidRPr="00000000">
        <w:rPr>
          <w:rFonts w:ascii="Arial" w:cs="Arial" w:eastAsia="Arial" w:hAnsi="Arial"/>
          <w:i w:val="1"/>
          <w:sz w:val="22"/>
          <w:szCs w:val="22"/>
          <w:rtl w:val="0"/>
        </w:rPr>
        <w:t xml:space="preserve">The Introduction to Astrology</w:t>
      </w:r>
      <w:r w:rsidDel="00000000" w:rsidR="00000000" w:rsidRPr="00000000">
        <w:rPr>
          <w:rFonts w:ascii="Arial" w:cs="Arial" w:eastAsia="Arial" w:hAnsi="Arial"/>
          <w:i w:val="1"/>
          <w:sz w:val="22"/>
          <w:szCs w:val="22"/>
          <w:vertAlign w:val="superscript"/>
        </w:rPr>
        <w:footnoteReference w:customMarkFollows="0" w:id="17"/>
      </w:r>
      <w:r w:rsidDel="00000000" w:rsidR="00000000" w:rsidRPr="00000000">
        <w:rPr>
          <w:rFonts w:ascii="Arial" w:cs="Arial" w:eastAsia="Arial" w:hAnsi="Arial"/>
          <w:sz w:val="22"/>
          <w:szCs w:val="22"/>
          <w:rtl w:val="0"/>
        </w:rPr>
        <w:t xml:space="preserve"> text will be referenced in order to determine the thoughts on fate in Arab astrology of the ‘Abbasid period. </w:t>
      </w:r>
      <w:r w:rsidDel="00000000" w:rsidR="00000000" w:rsidRPr="00000000">
        <w:rPr>
          <w:rtl w:val="0"/>
        </w:rPr>
      </w:r>
    </w:p>
    <w:p w:rsidR="00000000" w:rsidDel="00000000" w:rsidP="00000000" w:rsidRDefault="00000000" w:rsidRPr="00000000" w14:paraId="000000A1">
      <w:pPr>
        <w:spacing w:line="360" w:lineRule="auto"/>
        <w:ind w:firstLine="72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Yamamoto and Burnett noted that “Abū Maʿšar shows himself to be proud to rely on the Greek heritage of Ptolemy the astronomer and Aristotle the philosopher”.</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Furthermore, it is noted that Abū Maʿšar included notions from Greek astrology, notably “Ptolemy’s Tetrabiblos, Dorotheus’s Carmen Astrologicum, Vettius Valens’s Anthologiae, and a text on astrological lots attributed to Hermes”</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in his work. One example of his use of inspiration gained from Ptolemy’s </w:t>
      </w:r>
      <w:r w:rsidDel="00000000" w:rsidR="00000000" w:rsidRPr="00000000">
        <w:rPr>
          <w:rFonts w:ascii="Arial" w:cs="Arial" w:eastAsia="Arial" w:hAnsi="Arial"/>
          <w:i w:val="1"/>
          <w:sz w:val="22"/>
          <w:szCs w:val="22"/>
          <w:rtl w:val="0"/>
        </w:rPr>
        <w:t xml:space="preserve">Tetrabiblos</w:t>
      </w:r>
      <w:r w:rsidDel="00000000" w:rsidR="00000000" w:rsidRPr="00000000">
        <w:rPr>
          <w:rFonts w:ascii="Arial" w:cs="Arial" w:eastAsia="Arial" w:hAnsi="Arial"/>
          <w:sz w:val="22"/>
          <w:szCs w:val="22"/>
          <w:rtl w:val="0"/>
        </w:rPr>
        <w:t xml:space="preserve"> can be found in chapter two of </w:t>
      </w:r>
      <w:r w:rsidDel="00000000" w:rsidR="00000000" w:rsidRPr="00000000">
        <w:rPr>
          <w:rFonts w:ascii="Arial" w:cs="Arial" w:eastAsia="Arial" w:hAnsi="Arial"/>
          <w:i w:val="1"/>
          <w:sz w:val="22"/>
          <w:szCs w:val="22"/>
          <w:rtl w:val="0"/>
        </w:rPr>
        <w:t xml:space="preserve">The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Introduction.</w:t>
      </w:r>
      <w:r w:rsidDel="00000000" w:rsidR="00000000" w:rsidRPr="00000000">
        <w:rPr>
          <w:rFonts w:ascii="Arial" w:cs="Arial" w:eastAsia="Arial" w:hAnsi="Arial"/>
          <w:sz w:val="22"/>
          <w:szCs w:val="22"/>
          <w:rtl w:val="0"/>
        </w:rPr>
        <w:t xml:space="preserve"> For example, Abū Maʿšar wrote, “As for sowers, they know the time at which sowing is best for plants and brings most profit and growth; so they sow at this time”. </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In a very similar point, Ptolemy wrote, “The more observant farmers and herdsmen, indeed, conjecture, from the winds prevailing at the time of impregnation and of the sowing of the seed, the quality of what will result; and in general we see that the more important consequences signified by the more obvious configurations of sun, moon, and stars are usually known beforehand”.</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Fonts w:ascii="Arial" w:cs="Arial" w:eastAsia="Arial" w:hAnsi="Arial"/>
          <w:sz w:val="22"/>
          <w:szCs w:val="22"/>
          <w:rtl w:val="0"/>
        </w:rPr>
        <w:t xml:space="preserve"> Similarly, Abū Maʿšar pointed out that, “ Sailors and ship-masters know when the sea is disturbed because of the blowing of winds and the surge of the waves, and when it is calm, and the time of the year at which each wind blows, and they refrain from seafaring when they know that the sea is disturbed by bad winds and waves, and they go to sea at the times of the year when they know that the wind is with them and not harming them”,</w:t>
      </w:r>
      <w:r w:rsidDel="00000000" w:rsidR="00000000" w:rsidRPr="00000000">
        <w:rPr>
          <w:rFonts w:ascii="Arial" w:cs="Arial" w:eastAsia="Arial" w:hAnsi="Arial"/>
          <w:sz w:val="22"/>
          <w:szCs w:val="22"/>
          <w:vertAlign w:val="superscript"/>
        </w:rPr>
        <w:footnoteReference w:customMarkFollows="0" w:id="22"/>
      </w:r>
      <w:r w:rsidDel="00000000" w:rsidR="00000000" w:rsidRPr="00000000">
        <w:rPr>
          <w:rFonts w:ascii="Arial" w:cs="Arial" w:eastAsia="Arial" w:hAnsi="Arial"/>
          <w:sz w:val="22"/>
          <w:szCs w:val="22"/>
          <w:rtl w:val="0"/>
        </w:rPr>
        <w:t xml:space="preserve"> while Ptolemy argued “sailors know the special signs of storms and winds that arise periodically by reason of the aspects of the moon and fixed stars to the sun”.</w:t>
      </w:r>
      <w:r w:rsidDel="00000000" w:rsidR="00000000" w:rsidRPr="00000000">
        <w:rPr>
          <w:rFonts w:ascii="Arial" w:cs="Arial" w:eastAsia="Arial" w:hAnsi="Arial"/>
          <w:sz w:val="22"/>
          <w:szCs w:val="22"/>
          <w:vertAlign w:val="superscript"/>
        </w:rPr>
        <w:footnoteReference w:customMarkFollows="0" w:id="23"/>
      </w:r>
      <w:r w:rsidDel="00000000" w:rsidR="00000000" w:rsidRPr="00000000">
        <w:rPr>
          <w:rFonts w:ascii="Arial" w:cs="Arial" w:eastAsia="Arial" w:hAnsi="Arial"/>
          <w:sz w:val="22"/>
          <w:szCs w:val="22"/>
          <w:rtl w:val="0"/>
        </w:rPr>
        <w:t xml:space="preserve"> Through these examples, it can be seen that both Ptolemy and Abū Maʿšar shared similar views on the practical use and importance of astrology, but more importantly, these parallels provide us with the authentication that Abū Maʿšar drew knowledge from Greek sources. Abū Maʿšar’s usage of Greek thought, notably, Ptolemy is evident. As a result, the way in which Ptolemy viewed fate in the </w:t>
      </w:r>
      <w:r w:rsidDel="00000000" w:rsidR="00000000" w:rsidRPr="00000000">
        <w:rPr>
          <w:rFonts w:ascii="Arial" w:cs="Arial" w:eastAsia="Arial" w:hAnsi="Arial"/>
          <w:i w:val="1"/>
          <w:sz w:val="22"/>
          <w:szCs w:val="22"/>
          <w:rtl w:val="0"/>
        </w:rPr>
        <w:t xml:space="preserve">Tetrabiblos </w:t>
      </w:r>
      <w:r w:rsidDel="00000000" w:rsidR="00000000" w:rsidRPr="00000000">
        <w:rPr>
          <w:rFonts w:ascii="Arial" w:cs="Arial" w:eastAsia="Arial" w:hAnsi="Arial"/>
          <w:sz w:val="22"/>
          <w:szCs w:val="22"/>
          <w:rtl w:val="0"/>
        </w:rPr>
        <w:t xml:space="preserve">will be discussed as it relates to Abū Maʿšar’s </w:t>
      </w:r>
      <w:r w:rsidDel="00000000" w:rsidR="00000000" w:rsidRPr="00000000">
        <w:rPr>
          <w:rFonts w:ascii="Arial" w:cs="Arial" w:eastAsia="Arial" w:hAnsi="Arial"/>
          <w:i w:val="1"/>
          <w:sz w:val="22"/>
          <w:szCs w:val="22"/>
          <w:rtl w:val="0"/>
        </w:rPr>
        <w:t xml:space="preserve">The Introduction</w:t>
      </w:r>
      <w:r w:rsidDel="00000000" w:rsidR="00000000" w:rsidRPr="00000000">
        <w:rPr>
          <w:rFonts w:ascii="Arial" w:cs="Arial" w:eastAsia="Arial" w:hAnsi="Arial"/>
          <w:sz w:val="22"/>
          <w:szCs w:val="22"/>
          <w:rtl w:val="0"/>
        </w:rPr>
        <w:t xml:space="preserve"> in order to draw conclusions on views of fate in ‘Abbasid astrology. </w:t>
      </w:r>
      <w:r w:rsidDel="00000000" w:rsidR="00000000" w:rsidRPr="00000000">
        <w:rPr>
          <w:rtl w:val="0"/>
        </w:rPr>
      </w:r>
    </w:p>
    <w:p w:rsidR="00000000" w:rsidDel="00000000" w:rsidP="00000000" w:rsidRDefault="00000000" w:rsidRPr="00000000" w14:paraId="000000A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According to Campion, prior to the ‘Abbasid era, the Greeks coined different types of ‘fate’. For example, “</w:t>
      </w:r>
      <w:r w:rsidDel="00000000" w:rsidR="00000000" w:rsidRPr="00000000">
        <w:rPr>
          <w:rFonts w:ascii="Arial" w:cs="Arial" w:eastAsia="Arial" w:hAnsi="Arial"/>
          <w:i w:val="1"/>
          <w:sz w:val="22"/>
          <w:szCs w:val="22"/>
          <w:rtl w:val="0"/>
        </w:rPr>
        <w:t xml:space="preserve">heimamene</w:t>
      </w:r>
      <w:r w:rsidDel="00000000" w:rsidR="00000000" w:rsidRPr="00000000">
        <w:rPr>
          <w:rFonts w:ascii="Arial" w:cs="Arial" w:eastAsia="Arial" w:hAnsi="Arial"/>
          <w:sz w:val="22"/>
          <w:szCs w:val="22"/>
          <w:rtl w:val="0"/>
        </w:rPr>
        <w:t xml:space="preserve">, a fate that could be negotiated, or </w:t>
      </w:r>
      <w:r w:rsidDel="00000000" w:rsidR="00000000" w:rsidRPr="00000000">
        <w:rPr>
          <w:rFonts w:ascii="Arial" w:cs="Arial" w:eastAsia="Arial" w:hAnsi="Arial"/>
          <w:i w:val="1"/>
          <w:sz w:val="22"/>
          <w:szCs w:val="22"/>
          <w:rtl w:val="0"/>
        </w:rPr>
        <w:t xml:space="preserve">ananke</w:t>
      </w:r>
      <w:r w:rsidDel="00000000" w:rsidR="00000000" w:rsidRPr="00000000">
        <w:rPr>
          <w:rFonts w:ascii="Arial" w:cs="Arial" w:eastAsia="Arial" w:hAnsi="Arial"/>
          <w:sz w:val="22"/>
          <w:szCs w:val="22"/>
          <w:rtl w:val="0"/>
        </w:rPr>
        <w:t xml:space="preserve">, inevitable events (such as death) to which all people are subject” were two types of fate recognised in classical Greece. Furthermore, Campion commented, “While fate is evident in the repetitive, unavoidable order of celestial motions, choice is still apparent in the legacy of the soul’s initial decision to incarnate at a particular moment, and in each person’s use of reason in order to alter their lives''.</w:t>
      </w:r>
      <w:r w:rsidDel="00000000" w:rsidR="00000000" w:rsidRPr="00000000">
        <w:rPr>
          <w:rFonts w:ascii="Arial" w:cs="Arial" w:eastAsia="Arial" w:hAnsi="Arial"/>
          <w:sz w:val="22"/>
          <w:szCs w:val="22"/>
          <w:vertAlign w:val="superscript"/>
        </w:rPr>
        <w:footnoteReference w:customMarkFollows="0" w:id="24"/>
      </w:r>
      <w:r w:rsidDel="00000000" w:rsidR="00000000" w:rsidRPr="00000000">
        <w:rPr>
          <w:rFonts w:ascii="Arial" w:cs="Arial" w:eastAsia="Arial" w:hAnsi="Arial"/>
          <w:sz w:val="22"/>
          <w:szCs w:val="22"/>
          <w:rtl w:val="0"/>
        </w:rPr>
        <w:t xml:space="preserve">   Through this information, it can be gathered that different forms of fate existed in classical Greece, however there was a level of negotiability concerned with fate that could be accessed through the use of reason and choice. Though here, Campion relates this notion mainly with Platonic philosophy, this basis is also reflected in Ptolemy’s </w:t>
      </w:r>
      <w:r w:rsidDel="00000000" w:rsidR="00000000" w:rsidRPr="00000000">
        <w:rPr>
          <w:rFonts w:ascii="Arial" w:cs="Arial" w:eastAsia="Arial" w:hAnsi="Arial"/>
          <w:i w:val="1"/>
          <w:sz w:val="22"/>
          <w:szCs w:val="22"/>
          <w:rtl w:val="0"/>
        </w:rPr>
        <w:t xml:space="preserve">Tetrabiblos, </w:t>
      </w:r>
      <w:r w:rsidDel="00000000" w:rsidR="00000000" w:rsidRPr="00000000">
        <w:rPr>
          <w:rFonts w:ascii="Arial" w:cs="Arial" w:eastAsia="Arial" w:hAnsi="Arial"/>
          <w:sz w:val="22"/>
          <w:szCs w:val="22"/>
          <w:rtl w:val="0"/>
        </w:rPr>
        <w:t xml:space="preserve">as well as in </w:t>
      </w:r>
      <w:r w:rsidDel="00000000" w:rsidR="00000000" w:rsidRPr="00000000">
        <w:rPr>
          <w:rFonts w:ascii="Arial" w:cs="Arial" w:eastAsia="Arial" w:hAnsi="Arial"/>
          <w:i w:val="1"/>
          <w:sz w:val="22"/>
          <w:szCs w:val="22"/>
          <w:rtl w:val="0"/>
        </w:rPr>
        <w:t xml:space="preserve">The Introduction</w:t>
      </w:r>
      <w:r w:rsidDel="00000000" w:rsidR="00000000" w:rsidRPr="00000000">
        <w:rPr>
          <w:rFonts w:ascii="Arial" w:cs="Arial" w:eastAsia="Arial" w:hAnsi="Arial"/>
          <w:sz w:val="22"/>
          <w:szCs w:val="22"/>
          <w:rtl w:val="0"/>
        </w:rPr>
        <w:t xml:space="preserve">. Firstly, Abū Maʿšar argued that astrology serves as a form of proof to the existence of negotiable fate. He wrote, “ If things were only either necessary or impossible, and if the necessary and the impossible were inevitably ⟨as they are⟩, then people would neither need to deliberate nor to seek advice”, “there is the possibility of choice” </w:t>
      </w:r>
      <w:r w:rsidDel="00000000" w:rsidR="00000000" w:rsidRPr="00000000">
        <w:rPr>
          <w:rFonts w:ascii="Arial" w:cs="Arial" w:eastAsia="Arial" w:hAnsi="Arial"/>
          <w:sz w:val="22"/>
          <w:szCs w:val="22"/>
          <w:vertAlign w:val="superscript"/>
        </w:rPr>
        <w:footnoteReference w:customMarkFollows="0" w:id="25"/>
      </w:r>
      <w:r w:rsidDel="00000000" w:rsidR="00000000" w:rsidRPr="00000000">
        <w:rPr>
          <w:rFonts w:ascii="Arial" w:cs="Arial" w:eastAsia="Arial" w:hAnsi="Arial"/>
          <w:sz w:val="22"/>
          <w:szCs w:val="22"/>
          <w:rtl w:val="0"/>
        </w:rPr>
        <w:t xml:space="preserve"> Here, Abū Maʿšar justifies the existence of negotiable fate, or ‘</w:t>
      </w:r>
      <w:r w:rsidDel="00000000" w:rsidR="00000000" w:rsidRPr="00000000">
        <w:rPr>
          <w:rFonts w:ascii="Arial" w:cs="Arial" w:eastAsia="Arial" w:hAnsi="Arial"/>
          <w:i w:val="1"/>
          <w:sz w:val="22"/>
          <w:szCs w:val="22"/>
          <w:rtl w:val="0"/>
        </w:rPr>
        <w:t xml:space="preserve">heimamene</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by differentiating it from instances of ‘</w:t>
      </w:r>
      <w:r w:rsidDel="00000000" w:rsidR="00000000" w:rsidRPr="00000000">
        <w:rPr>
          <w:rFonts w:ascii="Arial" w:cs="Arial" w:eastAsia="Arial" w:hAnsi="Arial"/>
          <w:i w:val="1"/>
          <w:sz w:val="22"/>
          <w:szCs w:val="22"/>
          <w:rtl w:val="0"/>
        </w:rPr>
        <w:t xml:space="preserve">ananke’</w:t>
      </w:r>
      <w:r w:rsidDel="00000000" w:rsidR="00000000" w:rsidRPr="00000000">
        <w:rPr>
          <w:rFonts w:ascii="Arial" w:cs="Arial" w:eastAsia="Arial" w:hAnsi="Arial"/>
          <w:sz w:val="22"/>
          <w:szCs w:val="22"/>
          <w:rtl w:val="0"/>
        </w:rPr>
        <w:t xml:space="preserve"> (inevitable fate)</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The differentiation is the possibiity of choice. Additionally, Abū Maʿšar highlights the fact that astrology can be an important tool in making choices associated with </w:t>
      </w:r>
      <w:r w:rsidDel="00000000" w:rsidR="00000000" w:rsidRPr="00000000">
        <w:rPr>
          <w:rFonts w:ascii="Arial" w:cs="Arial" w:eastAsia="Arial" w:hAnsi="Arial"/>
          <w:i w:val="1"/>
          <w:sz w:val="22"/>
          <w:szCs w:val="22"/>
          <w:rtl w:val="0"/>
        </w:rPr>
        <w:t xml:space="preserve">heimamene</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Ultimately, Abū Maʿšar’s position on the existence of a negotiable fate, but also the recognition of fixed fate, displays that astrology in the ‘Abbasid period included the different forms of fate that were popularised in classical Greek philosophy. This shows that fate was viewed as negotiable to a certain extent , depending on the form, and also reaffirms the ideas that the astrology of this time was heavily influenced by Hellenistic thought. Secondly, Abū Maʿšar aligns his ideas with Ptolemy again when discussing how astrology can be used as a tool to provide insight into future events, in order to be presented with the choice that may turn an otherwise non-negotiable, fated event into a more mutable one. Yamamoto and Burnett noted that , Abū Maʿšar “identified five types of future events, including,  “1) the first is an event that affects the people as a whole; 2) the second is an individual harm which a man can totally avoid; 3) the third harm he can partially avoid; 4) the fourth will occur, but it has limited duration; 5) the fifth he cannot avoid at all”.</w:t>
      </w:r>
      <w:r w:rsidDel="00000000" w:rsidR="00000000" w:rsidRPr="00000000">
        <w:rPr>
          <w:rFonts w:ascii="Arial" w:cs="Arial" w:eastAsia="Arial" w:hAnsi="Arial"/>
          <w:sz w:val="22"/>
          <w:szCs w:val="22"/>
          <w:vertAlign w:val="superscript"/>
        </w:rPr>
        <w:footnoteReference w:customMarkFollows="0" w:id="26"/>
      </w:r>
      <w:r w:rsidDel="00000000" w:rsidR="00000000" w:rsidRPr="00000000">
        <w:rPr>
          <w:rFonts w:ascii="Arial" w:cs="Arial" w:eastAsia="Arial" w:hAnsi="Arial"/>
          <w:sz w:val="22"/>
          <w:szCs w:val="22"/>
          <w:rtl w:val="0"/>
        </w:rPr>
        <w:t xml:space="preserve"> This further shows that Abū Maʿšar subscribes to the idea of more than one type of ‘fate’. Additionally, to him, the fore-knowledge of negative events can aid in man’s handling of fate, regardless of the type. For example, he noted. “Anyone with discernment may use foreknowledge of things which it is possible for them to know and protection from the distress they fear from them. If they do not have power to fend off the event itself, they fend off from themselves, as far as they can, much of the harm and distress which afflicts them from that event”.</w:t>
      </w:r>
      <w:r w:rsidDel="00000000" w:rsidR="00000000" w:rsidRPr="00000000">
        <w:rPr>
          <w:rFonts w:ascii="Arial" w:cs="Arial" w:eastAsia="Arial" w:hAnsi="Arial"/>
          <w:sz w:val="22"/>
          <w:szCs w:val="22"/>
          <w:vertAlign w:val="superscript"/>
        </w:rPr>
        <w:footnoteReference w:customMarkFollows="0" w:id="27"/>
      </w:r>
      <w:r w:rsidDel="00000000" w:rsidR="00000000" w:rsidRPr="00000000">
        <w:rPr>
          <w:rFonts w:ascii="Arial" w:cs="Arial" w:eastAsia="Arial" w:hAnsi="Arial"/>
          <w:sz w:val="22"/>
          <w:szCs w:val="22"/>
          <w:rtl w:val="0"/>
        </w:rPr>
        <w:t xml:space="preserve"> To continue, he wrote, “ No one of the common crowd gets rid of the event itself and its occurrence, but when they know by experience over a length of time, or they know through some (other) reasons, the times of events which harm them, they take precautions with that through which they might remove their harms from them”.</w:t>
      </w:r>
      <w:r w:rsidDel="00000000" w:rsidR="00000000" w:rsidRPr="00000000">
        <w:rPr>
          <w:rFonts w:ascii="Arial" w:cs="Arial" w:eastAsia="Arial" w:hAnsi="Arial"/>
          <w:sz w:val="22"/>
          <w:szCs w:val="22"/>
          <w:vertAlign w:val="superscript"/>
        </w:rPr>
        <w:footnoteReference w:customMarkFollows="0" w:id="28"/>
      </w:r>
      <w:r w:rsidDel="00000000" w:rsidR="00000000" w:rsidRPr="00000000">
        <w:rPr>
          <w:rFonts w:ascii="Arial" w:cs="Arial" w:eastAsia="Arial" w:hAnsi="Arial"/>
          <w:sz w:val="22"/>
          <w:szCs w:val="22"/>
          <w:rtl w:val="0"/>
        </w:rPr>
        <w:t xml:space="preserve"> Abū Maʿšar’s argument here is that even though the event will inevitably happen, knowledge of the event can provide the opportunity to prepare and thus, gives the opportunity for an amendment of the outcome the event. This shows a continuation of his viewpoint of the existence of different types of fate, as he incorporated a combination of both fixed and negotiable fate here. Additionally, this point serves to add that the negotiable aspect of fate is not the fated event itself, but only the reaction to or outcome of the fated event. To add, Abū Maʿšar commented, “When he does not have foreknowledge concerning the occurrence of this event, and then it happens, his anguish at the time of the arrival of that discomfort is severe, and he cannot devise a means to remove it from him”.</w:t>
      </w:r>
      <w:r w:rsidDel="00000000" w:rsidR="00000000" w:rsidRPr="00000000">
        <w:rPr>
          <w:rFonts w:ascii="Arial" w:cs="Arial" w:eastAsia="Arial" w:hAnsi="Arial"/>
          <w:sz w:val="22"/>
          <w:szCs w:val="22"/>
          <w:vertAlign w:val="superscript"/>
        </w:rPr>
        <w:footnoteReference w:customMarkFollows="0" w:id="29"/>
      </w:r>
      <w:r w:rsidDel="00000000" w:rsidR="00000000" w:rsidRPr="00000000">
        <w:rPr>
          <w:rFonts w:ascii="Arial" w:cs="Arial" w:eastAsia="Arial" w:hAnsi="Arial"/>
          <w:sz w:val="22"/>
          <w:szCs w:val="22"/>
          <w:rtl w:val="0"/>
        </w:rPr>
        <w:t xml:space="preserve"> This point indicates that the event will happen regardless, however, the knowledge beforehand gives one the opportunity to remove suffering that otherwise would not be an option. Abū Maʿšar provides solid evidence for the attitudes of fate in ‘Abbasid astrology. However, these notions also seem to be borrowed from Ptolemy’s </w:t>
      </w:r>
      <w:r w:rsidDel="00000000" w:rsidR="00000000" w:rsidRPr="00000000">
        <w:rPr>
          <w:rFonts w:ascii="Arial" w:cs="Arial" w:eastAsia="Arial" w:hAnsi="Arial"/>
          <w:i w:val="1"/>
          <w:sz w:val="22"/>
          <w:szCs w:val="22"/>
          <w:rtl w:val="0"/>
        </w:rPr>
        <w:t xml:space="preserve">Tetrabiblos</w:t>
      </w:r>
      <w:r w:rsidDel="00000000" w:rsidR="00000000" w:rsidRPr="00000000">
        <w:rPr>
          <w:rFonts w:ascii="Arial" w:cs="Arial" w:eastAsia="Arial" w:hAnsi="Arial"/>
          <w:sz w:val="22"/>
          <w:szCs w:val="22"/>
          <w:rtl w:val="0"/>
        </w:rPr>
        <w:t xml:space="preserve">. Firstly, Ptolemy wrote, “if future happenings to men are not known, or if they are known and the remedies are not applied, they will by all means follow the course of primary nature; but if they are recognized ahead of time and remedies are provided, again quite in accord with nature and fate, they either do not occur at all or are rendered less severe”.</w:t>
      </w:r>
      <w:r w:rsidDel="00000000" w:rsidR="00000000" w:rsidRPr="00000000">
        <w:rPr>
          <w:rFonts w:ascii="Arial" w:cs="Arial" w:eastAsia="Arial" w:hAnsi="Arial"/>
          <w:sz w:val="22"/>
          <w:szCs w:val="22"/>
          <w:vertAlign w:val="superscript"/>
        </w:rPr>
        <w:footnoteReference w:customMarkFollows="0" w:id="30"/>
      </w:r>
      <w:r w:rsidDel="00000000" w:rsidR="00000000" w:rsidRPr="00000000">
        <w:rPr>
          <w:rFonts w:ascii="Arial" w:cs="Arial" w:eastAsia="Arial" w:hAnsi="Arial"/>
          <w:sz w:val="22"/>
          <w:szCs w:val="22"/>
          <w:rtl w:val="0"/>
        </w:rPr>
        <w:t xml:space="preserve"> Similar to Abū Maʿšar, Ptolemy accounts that certain events are inevitable, but foreknowledge can lessen the severity of the outcome. Also, He accounted that, “even with events that will necessarily take place their unexpectedness is very apt to cause excessive panic and delirious joy, while foreknowledge accustoms and calms the soul by experience of distant events as though they were present, and prepares it to greet with calm and steadiness whatever comes”.</w:t>
      </w:r>
      <w:r w:rsidDel="00000000" w:rsidR="00000000" w:rsidRPr="00000000">
        <w:rPr>
          <w:rFonts w:ascii="Arial" w:cs="Arial" w:eastAsia="Arial" w:hAnsi="Arial"/>
          <w:sz w:val="22"/>
          <w:szCs w:val="22"/>
          <w:vertAlign w:val="superscript"/>
        </w:rPr>
        <w:footnoteReference w:customMarkFollows="0" w:id="31"/>
      </w:r>
      <w:r w:rsidDel="00000000" w:rsidR="00000000" w:rsidRPr="00000000">
        <w:rPr>
          <w:rFonts w:ascii="Arial" w:cs="Arial" w:eastAsia="Arial" w:hAnsi="Arial"/>
          <w:sz w:val="22"/>
          <w:szCs w:val="22"/>
          <w:rtl w:val="0"/>
        </w:rPr>
        <w:t xml:space="preserve"> Again, Ptolemy and Abū Maʿšar make similar points in that they both testified to the negotiable part of fate existing in the outcome or reaction to an event and not necessarily the event itself. To conclude, Abū Maʿšar's perspectives were influenced by Greek thought, notably Ptolemy. His ideas on fate reflect classical Greek notions by highlighting different types of fate, underscoring the existence of malleable fate ('</w:t>
      </w:r>
      <w:r w:rsidDel="00000000" w:rsidR="00000000" w:rsidRPr="00000000">
        <w:rPr>
          <w:rFonts w:ascii="Arial" w:cs="Arial" w:eastAsia="Arial" w:hAnsi="Arial"/>
          <w:sz w:val="22"/>
          <w:szCs w:val="22"/>
          <w:rtl w:val="0"/>
        </w:rPr>
        <w:t xml:space="preserve">heimamene</w:t>
      </w:r>
      <w:r w:rsidDel="00000000" w:rsidR="00000000" w:rsidRPr="00000000">
        <w:rPr>
          <w:rFonts w:ascii="Arial" w:cs="Arial" w:eastAsia="Arial" w:hAnsi="Arial"/>
          <w:sz w:val="22"/>
          <w:szCs w:val="22"/>
          <w:rtl w:val="0"/>
        </w:rPr>
        <w:t xml:space="preserve">'), and asserting the role of choice provided by astrology in changing outcomes. Abū Maʿšar's shared arguments with Ptolemy underscores the interconnectedness of 'Abbasid astrology and Hellenistic thought, highlighting the influence of Greek ideas on the understanding of fate in this period. Ultimately, Abū Maʿšar provided evidence to support the idea that fate was viewed as multifaceted and a semi-negotiable force in astrology during the ‘Abbasid period.</w:t>
      </w:r>
    </w:p>
    <w:p w:rsidR="00000000" w:rsidDel="00000000" w:rsidP="00000000" w:rsidRDefault="00000000" w:rsidRPr="00000000" w14:paraId="000000A3">
      <w:pPr>
        <w:spacing w:line="36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A4">
      <w:pPr>
        <w:spacing w:line="360"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Picatrix </w:t>
      </w:r>
    </w:p>
    <w:p w:rsidR="00000000" w:rsidDel="00000000" w:rsidP="00000000" w:rsidRDefault="00000000" w:rsidRPr="00000000" w14:paraId="000000A5">
      <w:pPr>
        <w:spacing w:line="36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A6">
      <w:pPr>
        <w:spacing w:line="36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Abū Maʿšar is noted as being “the first astrologer to fully integrate Greek and Persian traditions of astrology”.</w:t>
      </w:r>
      <w:r w:rsidDel="00000000" w:rsidR="00000000" w:rsidRPr="00000000">
        <w:rPr>
          <w:rFonts w:ascii="Arial" w:cs="Arial" w:eastAsia="Arial" w:hAnsi="Arial"/>
          <w:sz w:val="22"/>
          <w:szCs w:val="22"/>
          <w:vertAlign w:val="superscript"/>
        </w:rPr>
        <w:footnoteReference w:customMarkFollows="0" w:id="32"/>
      </w:r>
      <w:r w:rsidDel="00000000" w:rsidR="00000000" w:rsidRPr="00000000">
        <w:rPr>
          <w:rFonts w:ascii="Arial" w:cs="Arial" w:eastAsia="Arial" w:hAnsi="Arial"/>
          <w:sz w:val="22"/>
          <w:szCs w:val="22"/>
          <w:rtl w:val="0"/>
        </w:rPr>
        <w:t xml:space="preserve"> Yamamoto and Burnett added that works of Abū Maʿšar seems to be “the revealer of a common heritage of ancient wisdom, which was passed down through different nations by a succession of three Hermes”,</w:t>
      </w:r>
      <w:r w:rsidDel="00000000" w:rsidR="00000000" w:rsidRPr="00000000">
        <w:rPr>
          <w:rFonts w:ascii="Arial" w:cs="Arial" w:eastAsia="Arial" w:hAnsi="Arial"/>
          <w:sz w:val="22"/>
          <w:szCs w:val="22"/>
          <w:vertAlign w:val="superscript"/>
        </w:rPr>
        <w:footnoteReference w:customMarkFollows="0" w:id="33"/>
      </w:r>
      <w:r w:rsidDel="00000000" w:rsidR="00000000" w:rsidRPr="00000000">
        <w:rPr>
          <w:rFonts w:ascii="Arial" w:cs="Arial" w:eastAsia="Arial" w:hAnsi="Arial"/>
          <w:sz w:val="22"/>
          <w:szCs w:val="22"/>
          <w:rtl w:val="0"/>
        </w:rPr>
        <w:t xml:space="preserve"> further showing his influences on other astrologers in terms of implementing Greek thought into their work similarly. We can see this continuation of inspiration through another ‘Abbasid period text, the </w:t>
      </w:r>
      <w:r w:rsidDel="00000000" w:rsidR="00000000" w:rsidRPr="00000000">
        <w:rPr>
          <w:rFonts w:ascii="Arial" w:cs="Arial" w:eastAsia="Arial" w:hAnsi="Arial"/>
          <w:i w:val="1"/>
          <w:sz w:val="22"/>
          <w:szCs w:val="22"/>
          <w:rtl w:val="0"/>
        </w:rPr>
        <w:t xml:space="preserve">Ghayat al-Hakim</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Like, </w:t>
      </w:r>
      <w:r w:rsidDel="00000000" w:rsidR="00000000" w:rsidRPr="00000000">
        <w:rPr>
          <w:rFonts w:ascii="Arial" w:cs="Arial" w:eastAsia="Arial" w:hAnsi="Arial"/>
          <w:i w:val="1"/>
          <w:sz w:val="22"/>
          <w:szCs w:val="22"/>
          <w:rtl w:val="0"/>
        </w:rPr>
        <w:t xml:space="preserve">The Introduction,</w:t>
      </w:r>
      <w:r w:rsidDel="00000000" w:rsidR="00000000" w:rsidRPr="00000000">
        <w:rPr>
          <w:rFonts w:ascii="Arial" w:cs="Arial" w:eastAsia="Arial" w:hAnsi="Arial"/>
          <w:sz w:val="22"/>
          <w:szCs w:val="22"/>
          <w:rtl w:val="0"/>
        </w:rPr>
        <w:t xml:space="preserve">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is an astrological text that arose during the ‘Abbasid era and showed clear connections to Hellenistic ideas. This text was written around the “ninth century by an anonymous Arab wizard in North Africa or Spain”.</w:t>
      </w:r>
      <w:r w:rsidDel="00000000" w:rsidR="00000000" w:rsidRPr="00000000">
        <w:rPr>
          <w:rFonts w:ascii="Arial" w:cs="Arial" w:eastAsia="Arial" w:hAnsi="Arial"/>
          <w:sz w:val="22"/>
          <w:szCs w:val="22"/>
          <w:vertAlign w:val="superscript"/>
        </w:rPr>
        <w:footnoteReference w:customMarkFollows="0" w:id="34"/>
      </w:r>
      <w:r w:rsidDel="00000000" w:rsidR="00000000" w:rsidRPr="00000000">
        <w:rPr>
          <w:rFonts w:ascii="Arial" w:cs="Arial" w:eastAsia="Arial" w:hAnsi="Arial"/>
          <w:sz w:val="22"/>
          <w:szCs w:val="22"/>
          <w:rtl w:val="0"/>
        </w:rPr>
        <w:t xml:space="preserve"> This classifies this text as an Arabic astrology text of the ‘Abbasid period.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is a compilation of four books. Peter J. Forshaw provided, “ Book 1 concerns the heavens and their effect on account of the images (</w:t>
      </w:r>
      <w:r w:rsidDel="00000000" w:rsidR="00000000" w:rsidRPr="00000000">
        <w:rPr>
          <w:rFonts w:ascii="Arial" w:cs="Arial" w:eastAsia="Arial" w:hAnsi="Arial"/>
          <w:sz w:val="22"/>
          <w:szCs w:val="22"/>
          <w:rtl w:val="0"/>
        </w:rPr>
        <w:t xml:space="preserve">ymagines</w:t>
      </w:r>
      <w:r w:rsidDel="00000000" w:rsidR="00000000" w:rsidRPr="00000000">
        <w:rPr>
          <w:rFonts w:ascii="Arial" w:cs="Arial" w:eastAsia="Arial" w:hAnsi="Arial"/>
          <w:sz w:val="22"/>
          <w:szCs w:val="22"/>
          <w:rtl w:val="0"/>
        </w:rPr>
        <w:t xml:space="preserve">) in them; Book 2 speaks in general of the figures of heaven (figuris </w:t>
      </w:r>
      <w:r w:rsidDel="00000000" w:rsidR="00000000" w:rsidRPr="00000000">
        <w:rPr>
          <w:rFonts w:ascii="Arial" w:cs="Arial" w:eastAsia="Arial" w:hAnsi="Arial"/>
          <w:sz w:val="22"/>
          <w:szCs w:val="22"/>
          <w:rtl w:val="0"/>
        </w:rPr>
        <w:t xml:space="preserve">celi</w:t>
      </w:r>
      <w:r w:rsidDel="00000000" w:rsidR="00000000" w:rsidRPr="00000000">
        <w:rPr>
          <w:rFonts w:ascii="Arial" w:cs="Arial" w:eastAsia="Arial" w:hAnsi="Arial"/>
          <w:sz w:val="22"/>
          <w:szCs w:val="22"/>
          <w:rtl w:val="0"/>
        </w:rPr>
        <w:t xml:space="preserve">) and the motion of the eight spheres and their effects in this world; Book 3 considers the properties of the planets and signs, and of their figures and forms (figuras et formas) and how it is possible to speak with the spirits of the planets and “of other </w:t>
      </w:r>
      <w:r w:rsidDel="00000000" w:rsidR="00000000" w:rsidRPr="00000000">
        <w:rPr>
          <w:rFonts w:ascii="Arial" w:cs="Arial" w:eastAsia="Arial" w:hAnsi="Arial"/>
          <w:sz w:val="22"/>
          <w:szCs w:val="22"/>
          <w:rtl w:val="0"/>
        </w:rPr>
        <w:t xml:space="preserve">nigromantic</w:t>
      </w:r>
      <w:r w:rsidDel="00000000" w:rsidR="00000000" w:rsidRPr="00000000">
        <w:rPr>
          <w:rFonts w:ascii="Arial" w:cs="Arial" w:eastAsia="Arial" w:hAnsi="Arial"/>
          <w:sz w:val="22"/>
          <w:szCs w:val="22"/>
          <w:rtl w:val="0"/>
        </w:rPr>
        <w:t xml:space="preserve"> things”; Book 4 speaks of the properties of spirits, things that should be observed in the art, and how it is helped by images (</w:t>
      </w:r>
      <w:r w:rsidDel="00000000" w:rsidR="00000000" w:rsidRPr="00000000">
        <w:rPr>
          <w:rFonts w:ascii="Arial" w:cs="Arial" w:eastAsia="Arial" w:hAnsi="Arial"/>
          <w:sz w:val="22"/>
          <w:szCs w:val="22"/>
          <w:rtl w:val="0"/>
        </w:rPr>
        <w:t xml:space="preserve">ymaginibus</w:t>
      </w:r>
      <w:r w:rsidDel="00000000" w:rsidR="00000000" w:rsidRPr="00000000">
        <w:rPr>
          <w:rFonts w:ascii="Arial" w:cs="Arial" w:eastAsia="Arial" w:hAnsi="Arial"/>
          <w:sz w:val="22"/>
          <w:szCs w:val="22"/>
          <w:rtl w:val="0"/>
        </w:rPr>
        <w:t xml:space="preserve">), suffumigation and other activities”.</w:t>
      </w:r>
      <w:r w:rsidDel="00000000" w:rsidR="00000000" w:rsidRPr="00000000">
        <w:rPr>
          <w:rFonts w:ascii="Arial" w:cs="Arial" w:eastAsia="Arial" w:hAnsi="Arial"/>
          <w:sz w:val="22"/>
          <w:szCs w:val="22"/>
          <w:vertAlign w:val="superscript"/>
        </w:rPr>
        <w:footnoteReference w:customMarkFollows="0" w:id="35"/>
      </w:r>
      <w:r w:rsidDel="00000000" w:rsidR="00000000" w:rsidRPr="00000000">
        <w:rPr>
          <w:rFonts w:ascii="Arial" w:cs="Arial" w:eastAsia="Arial" w:hAnsi="Arial"/>
          <w:sz w:val="22"/>
          <w:szCs w:val="22"/>
          <w:rtl w:val="0"/>
        </w:rPr>
        <w:t xml:space="preserve"> In brief,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is a collection of books containing Arab astrological magic theory and its efficacy.  Continuing, “The Picatrix contains practices from both main branches of astral magic, the talismanic and the liturgical, the former intent on drawing down celestial spirits or virtues into material objects so that they become imbued with magical powers; the latter making use of elaborate formulas to induce the planetary deities to send angels to fulfil the magician’s requests”.</w:t>
      </w:r>
      <w:r w:rsidDel="00000000" w:rsidR="00000000" w:rsidRPr="00000000">
        <w:rPr>
          <w:rFonts w:ascii="Arial" w:cs="Arial" w:eastAsia="Arial" w:hAnsi="Arial"/>
          <w:sz w:val="22"/>
          <w:szCs w:val="22"/>
          <w:vertAlign w:val="superscript"/>
        </w:rPr>
        <w:footnoteReference w:customMarkFollows="0" w:id="36"/>
      </w:r>
      <w:r w:rsidDel="00000000" w:rsidR="00000000" w:rsidRPr="00000000">
        <w:rPr>
          <w:rFonts w:ascii="Arial" w:cs="Arial" w:eastAsia="Arial" w:hAnsi="Arial"/>
          <w:sz w:val="22"/>
          <w:szCs w:val="22"/>
          <w:rtl w:val="0"/>
        </w:rPr>
        <w:t xml:space="preserve"> This information, paired with the previous, makes it clear that this text outlines how to use knowledge of astrology in order to conduct theurgical rituals and elicit power from the celestial spheres.The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is esteemed as being “the most thorough exposition of celestial magic in Arabic”.</w:t>
      </w:r>
      <w:r w:rsidDel="00000000" w:rsidR="00000000" w:rsidRPr="00000000">
        <w:rPr>
          <w:rFonts w:ascii="Arial" w:cs="Arial" w:eastAsia="Arial" w:hAnsi="Arial"/>
          <w:sz w:val="22"/>
          <w:szCs w:val="22"/>
          <w:vertAlign w:val="superscript"/>
        </w:rPr>
        <w:footnoteReference w:customMarkFollows="0" w:id="37"/>
      </w:r>
      <w:r w:rsidDel="00000000" w:rsidR="00000000" w:rsidRPr="00000000">
        <w:rPr>
          <w:rFonts w:ascii="Arial" w:cs="Arial" w:eastAsia="Arial" w:hAnsi="Arial"/>
          <w:sz w:val="22"/>
          <w:szCs w:val="22"/>
          <w:rtl w:val="0"/>
        </w:rPr>
        <w:t xml:space="preserve"> Warnock and Greer concur and wrote, “it is in fact the most extensive treatise on the philosophy of magic to be written anywhere west of India between Iamblicus’ On The Mysteries of the fourth century on Cornelius Agrippa's Three Books of Occult Philosophy of the sixteenth”.</w:t>
      </w:r>
      <w:r w:rsidDel="00000000" w:rsidR="00000000" w:rsidRPr="00000000">
        <w:rPr>
          <w:rFonts w:ascii="Arial" w:cs="Arial" w:eastAsia="Arial" w:hAnsi="Arial"/>
          <w:sz w:val="22"/>
          <w:szCs w:val="22"/>
          <w:vertAlign w:val="superscript"/>
        </w:rPr>
        <w:footnoteReference w:customMarkFollows="0" w:id="38"/>
      </w:r>
      <w:r w:rsidDel="00000000" w:rsidR="00000000" w:rsidRPr="00000000">
        <w:rPr>
          <w:rFonts w:ascii="Arial" w:cs="Arial" w:eastAsia="Arial" w:hAnsi="Arial"/>
          <w:sz w:val="22"/>
          <w:szCs w:val="22"/>
          <w:rtl w:val="0"/>
        </w:rPr>
        <w:t xml:space="preserve"> This shows us that this text, like </w:t>
      </w:r>
      <w:r w:rsidDel="00000000" w:rsidR="00000000" w:rsidRPr="00000000">
        <w:rPr>
          <w:rFonts w:ascii="Arial" w:cs="Arial" w:eastAsia="Arial" w:hAnsi="Arial"/>
          <w:i w:val="1"/>
          <w:sz w:val="22"/>
          <w:szCs w:val="22"/>
          <w:rtl w:val="0"/>
        </w:rPr>
        <w:t xml:space="preserve">The Introduction</w:t>
      </w:r>
      <w:r w:rsidDel="00000000" w:rsidR="00000000" w:rsidRPr="00000000">
        <w:rPr>
          <w:rFonts w:ascii="Arial" w:cs="Arial" w:eastAsia="Arial" w:hAnsi="Arial"/>
          <w:sz w:val="22"/>
          <w:szCs w:val="22"/>
          <w:rtl w:val="0"/>
        </w:rPr>
        <w:t xml:space="preserve">, was highly extensive, detailed and respected. Because of this, this text is a natural choice to be examined when analysing the views of fate among ‘Abbasid astrologers. </w:t>
      </w:r>
    </w:p>
    <w:p w:rsidR="00000000" w:rsidDel="00000000" w:rsidP="00000000" w:rsidRDefault="00000000" w:rsidRPr="00000000" w14:paraId="000000A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As previously mentioned, like </w:t>
      </w:r>
      <w:r w:rsidDel="00000000" w:rsidR="00000000" w:rsidRPr="00000000">
        <w:rPr>
          <w:rFonts w:ascii="Arial" w:cs="Arial" w:eastAsia="Arial" w:hAnsi="Arial"/>
          <w:i w:val="1"/>
          <w:sz w:val="22"/>
          <w:szCs w:val="22"/>
          <w:rtl w:val="0"/>
        </w:rPr>
        <w:t xml:space="preserve">The Introduction,</w:t>
      </w:r>
      <w:r w:rsidDel="00000000" w:rsidR="00000000" w:rsidRPr="00000000">
        <w:rPr>
          <w:rFonts w:ascii="Arial" w:cs="Arial" w:eastAsia="Arial" w:hAnsi="Arial"/>
          <w:sz w:val="22"/>
          <w:szCs w:val="22"/>
          <w:rtl w:val="0"/>
        </w:rPr>
        <w:t xml:space="preserve">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was written on philosophical foundations that were Hellenistic. Liana Saif explained that the text’s notions are “essentially non-Islamic; they rather derive from the Neoplatonic esoteric conceptions”.</w:t>
      </w:r>
      <w:r w:rsidDel="00000000" w:rsidR="00000000" w:rsidRPr="00000000">
        <w:rPr>
          <w:rFonts w:ascii="Arial" w:cs="Arial" w:eastAsia="Arial" w:hAnsi="Arial"/>
          <w:sz w:val="22"/>
          <w:szCs w:val="22"/>
          <w:vertAlign w:val="superscript"/>
        </w:rPr>
        <w:footnoteReference w:customMarkFollows="0" w:id="39"/>
      </w:r>
      <w:r w:rsidDel="00000000" w:rsidR="00000000" w:rsidRPr="00000000">
        <w:rPr>
          <w:rFonts w:ascii="Arial" w:cs="Arial" w:eastAsia="Arial" w:hAnsi="Arial"/>
          <w:sz w:val="22"/>
          <w:szCs w:val="22"/>
          <w:rtl w:val="0"/>
        </w:rPr>
        <w:t xml:space="preserve"> According to Campion, the Neoplatonists were a “series of philosophers—Plotinus, Iamblichus, Proclus, and Porphyry—one of whose primary concerns was the return of the soul to the divine, located in or beyond the stars, through virtuous living, scholarship, and magical practices known as theurgy (literally God-work)”.</w:t>
      </w:r>
      <w:r w:rsidDel="00000000" w:rsidR="00000000" w:rsidRPr="00000000">
        <w:rPr>
          <w:rFonts w:ascii="Arial" w:cs="Arial" w:eastAsia="Arial" w:hAnsi="Arial"/>
          <w:sz w:val="22"/>
          <w:szCs w:val="22"/>
          <w:vertAlign w:val="superscript"/>
        </w:rPr>
        <w:footnoteReference w:customMarkFollows="0" w:id="40"/>
      </w:r>
      <w:r w:rsidDel="00000000" w:rsidR="00000000" w:rsidRPr="00000000">
        <w:rPr>
          <w:rFonts w:ascii="Arial" w:cs="Arial" w:eastAsia="Arial" w:hAnsi="Arial"/>
          <w:sz w:val="22"/>
          <w:szCs w:val="22"/>
          <w:rtl w:val="0"/>
        </w:rPr>
        <w:t xml:space="preserve"> Warnock and Greer attested to the fact that “To Neoplatanists… the world was a hierarchy of levels of being, down which currents of influence cascaded from the divine unity at its summit. The work of the magician consisted of learning the ways of these currents, and drawing upon them to perform magical works when they were at their strongest”.</w:t>
      </w:r>
      <w:r w:rsidDel="00000000" w:rsidR="00000000" w:rsidRPr="00000000">
        <w:rPr>
          <w:rFonts w:ascii="Arial" w:cs="Arial" w:eastAsia="Arial" w:hAnsi="Arial"/>
          <w:sz w:val="22"/>
          <w:szCs w:val="22"/>
          <w:vertAlign w:val="superscript"/>
        </w:rPr>
        <w:footnoteReference w:customMarkFollows="0" w:id="41"/>
      </w:r>
      <w:r w:rsidDel="00000000" w:rsidR="00000000" w:rsidRPr="00000000">
        <w:rPr>
          <w:rFonts w:ascii="Arial" w:cs="Arial" w:eastAsia="Arial" w:hAnsi="Arial"/>
          <w:sz w:val="22"/>
          <w:szCs w:val="22"/>
          <w:rtl w:val="0"/>
        </w:rPr>
        <w:t xml:space="preserve"> As it was concluded that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‘outlines how to use knowledge of astrology in order to conduct theurgical rituals and elicit power from the celestial spheres’, one can see that the basis of the text aligns with the overview of Neoplatonic ideology. More importantly, the author of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outlined the structure of the universe in their understanding by saying “All things in the world are ordered in grades according to the things that govern them. that first of all things of this world, nobler, higher, and more perfect than anything found in the world, is God himself, who is the shaper and creator of all. there follow in order consciousness or intellect; after consciousness, spirit; and after spirit”. They continue describing the descending spheres, “down to the sphere of the Moon”.</w:t>
      </w:r>
      <w:r w:rsidDel="00000000" w:rsidR="00000000" w:rsidRPr="00000000">
        <w:rPr>
          <w:rFonts w:ascii="Arial" w:cs="Arial" w:eastAsia="Arial" w:hAnsi="Arial"/>
          <w:sz w:val="22"/>
          <w:szCs w:val="22"/>
          <w:vertAlign w:val="superscript"/>
        </w:rPr>
        <w:footnoteReference w:customMarkFollows="0" w:id="42"/>
      </w:r>
      <w:r w:rsidDel="00000000" w:rsidR="00000000" w:rsidRPr="00000000">
        <w:rPr>
          <w:rFonts w:ascii="Arial" w:cs="Arial" w:eastAsia="Arial" w:hAnsi="Arial"/>
          <w:sz w:val="22"/>
          <w:szCs w:val="22"/>
          <w:rtl w:val="0"/>
        </w:rPr>
        <w:t xml:space="preserve"> This excerpt is clear evidence that the author of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adopted the universal model of Neoplatonism.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s connection to Neoplationistic ideas is also rather evident among scholars. Willy Hartner agreed by pointing out The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“is based mainly on Neoplatonic views, though interwoven with all kinds of conceptions and superstitions hailing from other parts of the world or borrowed from other religions”.</w:t>
      </w:r>
      <w:r w:rsidDel="00000000" w:rsidR="00000000" w:rsidRPr="00000000">
        <w:rPr>
          <w:rFonts w:ascii="Arial" w:cs="Arial" w:eastAsia="Arial" w:hAnsi="Arial"/>
          <w:sz w:val="22"/>
          <w:szCs w:val="22"/>
          <w:vertAlign w:val="superscript"/>
        </w:rPr>
        <w:footnoteReference w:customMarkFollows="0" w:id="43"/>
      </w:r>
      <w:r w:rsidDel="00000000" w:rsidR="00000000" w:rsidRPr="00000000">
        <w:rPr>
          <w:rFonts w:ascii="Arial" w:cs="Arial" w:eastAsia="Arial" w:hAnsi="Arial"/>
          <w:sz w:val="22"/>
          <w:szCs w:val="22"/>
          <w:rtl w:val="0"/>
        </w:rPr>
        <w:t xml:space="preserve"> Additionally, Warnock and Greer wrote, “The philosophy that grounds the magic of Picatrix is … theurgic Neoplatonism”.</w:t>
      </w:r>
      <w:r w:rsidDel="00000000" w:rsidR="00000000" w:rsidRPr="00000000">
        <w:rPr>
          <w:rFonts w:ascii="Arial" w:cs="Arial" w:eastAsia="Arial" w:hAnsi="Arial"/>
          <w:sz w:val="22"/>
          <w:szCs w:val="22"/>
          <w:vertAlign w:val="superscript"/>
        </w:rPr>
        <w:footnoteReference w:customMarkFollows="0" w:id="44"/>
      </w:r>
      <w:r w:rsidDel="00000000" w:rsidR="00000000" w:rsidRPr="00000000">
        <w:rPr>
          <w:rFonts w:ascii="Arial" w:cs="Arial" w:eastAsia="Arial" w:hAnsi="Arial"/>
          <w:sz w:val="22"/>
          <w:szCs w:val="22"/>
          <w:rtl w:val="0"/>
        </w:rPr>
        <w:t xml:space="preserve"> With these attestations, it is hard to ignore the prevalence of Neoplatonic notions in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Now that the links between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and Neoplatonism have been outlined, how the text looks at fate will be evaluated, further drawing connections between ideas of fate in this period of astrology and Hellenistic ideas. </w:t>
      </w:r>
    </w:p>
    <w:p w:rsidR="00000000" w:rsidDel="00000000" w:rsidP="00000000" w:rsidRDefault="00000000" w:rsidRPr="00000000" w14:paraId="000000A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tab/>
        <w:t xml:space="preserve">Campion asserted that in this period, “Astrology’s most important function was to manage the present and change the future, a goal that could be achieved through magic, by which we mean the manipulation of the sympathies, rays, and correspondences recognized by the Islamic Neoplatonists”.</w:t>
      </w:r>
      <w:r w:rsidDel="00000000" w:rsidR="00000000" w:rsidRPr="00000000">
        <w:rPr>
          <w:rFonts w:ascii="Arial" w:cs="Arial" w:eastAsia="Arial" w:hAnsi="Arial"/>
          <w:sz w:val="22"/>
          <w:szCs w:val="22"/>
          <w:vertAlign w:val="superscript"/>
        </w:rPr>
        <w:footnoteReference w:customMarkFollows="0" w:id="45"/>
      </w:r>
      <w:r w:rsidDel="00000000" w:rsidR="00000000" w:rsidRPr="00000000">
        <w:rPr>
          <w:rFonts w:ascii="Arial" w:cs="Arial" w:eastAsia="Arial" w:hAnsi="Arial"/>
          <w:sz w:val="22"/>
          <w:szCs w:val="22"/>
          <w:rtl w:val="0"/>
        </w:rPr>
        <w:t xml:space="preserve"> He further argued that the magic outlined in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“is an attempt to change the world by actively engaging with the sympathies that link everything, including words, thoughts, objects, plants, animals, planets, angels—literally everything. These aims can be achieved through sound, through music and incantations, through words and images written down or inscribed. The central tool of such magic was the talisman”. </w:t>
      </w:r>
      <w:r w:rsidDel="00000000" w:rsidR="00000000" w:rsidRPr="00000000">
        <w:rPr>
          <w:rFonts w:ascii="Arial" w:cs="Arial" w:eastAsia="Arial" w:hAnsi="Arial"/>
          <w:sz w:val="22"/>
          <w:szCs w:val="22"/>
          <w:vertAlign w:val="superscript"/>
        </w:rPr>
        <w:footnoteReference w:customMarkFollows="0" w:id="46"/>
      </w:r>
      <w:r w:rsidDel="00000000" w:rsidR="00000000" w:rsidRPr="00000000">
        <w:rPr>
          <w:rFonts w:ascii="Arial" w:cs="Arial" w:eastAsia="Arial" w:hAnsi="Arial"/>
          <w:sz w:val="22"/>
          <w:szCs w:val="22"/>
          <w:rtl w:val="0"/>
        </w:rPr>
        <w:t xml:space="preserve"> Briefly,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used Neopationic theory in conjunction with astrology and magic in order to provide solutions to fate. As a result,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s foundations in Neoplatonic philosophy becomes a central point in how fate was approached in astrology of the Abbasid period. Firstly, </w:t>
      </w:r>
      <w:r w:rsidDel="00000000" w:rsidR="00000000" w:rsidRPr="00000000">
        <w:rPr>
          <w:rFonts w:ascii="Arial" w:cs="Arial" w:eastAsia="Arial" w:hAnsi="Arial"/>
          <w:i w:val="1"/>
          <w:sz w:val="22"/>
          <w:szCs w:val="22"/>
          <w:rtl w:val="0"/>
        </w:rPr>
        <w:t xml:space="preserve">Picatrix’s </w:t>
      </w:r>
      <w:r w:rsidDel="00000000" w:rsidR="00000000" w:rsidRPr="00000000">
        <w:rPr>
          <w:rFonts w:ascii="Arial" w:cs="Arial" w:eastAsia="Arial" w:hAnsi="Arial"/>
          <w:sz w:val="22"/>
          <w:szCs w:val="22"/>
          <w:rtl w:val="0"/>
        </w:rPr>
        <w:t xml:space="preserve">author wrote “when the substance of the material body is disposed to receive the influence of the aforesaid celestial bodies or planets, and the celestial body likewise is disposed to influence the material body of the magical image, that image will be more powerful and more disposed to bring about the effect we seek and desire”.</w:t>
      </w:r>
      <w:r w:rsidDel="00000000" w:rsidR="00000000" w:rsidRPr="00000000">
        <w:rPr>
          <w:rFonts w:ascii="Arial" w:cs="Arial" w:eastAsia="Arial" w:hAnsi="Arial"/>
          <w:sz w:val="22"/>
          <w:szCs w:val="22"/>
          <w:vertAlign w:val="superscript"/>
        </w:rPr>
        <w:footnoteReference w:customMarkFollows="0" w:id="47"/>
      </w:r>
      <w:r w:rsidDel="00000000" w:rsidR="00000000" w:rsidRPr="00000000">
        <w:rPr>
          <w:rFonts w:ascii="Arial" w:cs="Arial" w:eastAsia="Arial" w:hAnsi="Arial"/>
          <w:sz w:val="22"/>
          <w:szCs w:val="22"/>
          <w:rtl w:val="0"/>
        </w:rPr>
        <w:t xml:space="preserve"> Here, we can see that the author supported the notion of attracting power down from the higher spheres in order to bend the will of fate to the desires of the practitioner. This affirms that the text aligns with the notion of a negotiable fate that can be accessed through </w:t>
      </w:r>
      <w:r w:rsidDel="00000000" w:rsidR="00000000" w:rsidRPr="00000000">
        <w:rPr>
          <w:rFonts w:ascii="Arial" w:cs="Arial" w:eastAsia="Arial" w:hAnsi="Arial"/>
          <w:sz w:val="22"/>
          <w:szCs w:val="22"/>
          <w:rtl w:val="0"/>
        </w:rPr>
        <w:t xml:space="preserve">theurgy</w:t>
      </w:r>
      <w:r w:rsidDel="00000000" w:rsidR="00000000" w:rsidRPr="00000000">
        <w:rPr>
          <w:rFonts w:ascii="Arial" w:cs="Arial" w:eastAsia="Arial" w:hAnsi="Arial"/>
          <w:sz w:val="22"/>
          <w:szCs w:val="22"/>
          <w:rtl w:val="0"/>
        </w:rPr>
        <w:t xml:space="preserve"> and knowledge. Additionally, this further draws from the hierarchical universe structure that we established existed in the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 Furthermore, this idea of attaining a pass from fate through certain knowledge is an idea that can be found in the works of Iamblichus. He wrote that, “The great mass of men, on the one hand, is subject to the domination of nature, and is ruled by natural forces, and directs its gaze downwards towards the works of nature, and fulfils the decrees of fate, and takes upon itself the order of what is brought about by fate, and always employs practical reasoning solely about natural phenomena. A certain few individuals, on the other hand, employing an intellectual power which is beyond the natural, have disengaged themselves from nature, and turned towards the transcendent and pure intellect, at the same time rendering themselves superior to natural forces”.</w:t>
      </w:r>
      <w:r w:rsidDel="00000000" w:rsidR="00000000" w:rsidRPr="00000000">
        <w:rPr>
          <w:rFonts w:ascii="Arial" w:cs="Arial" w:eastAsia="Arial" w:hAnsi="Arial"/>
          <w:sz w:val="22"/>
          <w:szCs w:val="22"/>
          <w:vertAlign w:val="superscript"/>
        </w:rPr>
        <w:footnoteReference w:customMarkFollows="0" w:id="48"/>
      </w:r>
      <w:r w:rsidDel="00000000" w:rsidR="00000000" w:rsidRPr="00000000">
        <w:rPr>
          <w:rFonts w:ascii="Arial" w:cs="Arial" w:eastAsia="Arial" w:hAnsi="Arial"/>
          <w:sz w:val="22"/>
          <w:szCs w:val="22"/>
          <w:rtl w:val="0"/>
        </w:rPr>
        <w:t xml:space="preserve"> Similar to the ideas put forth in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Iamblichus points out that most men will be subject to fate, however, through intellect a select few persons will be able to supersede the decrees of fate. Additionally, like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Iamblichus reaffirms this is only possible with the hierarchical structure of the universe, in which one may ascend up beyond fate’s influence. </w:t>
      </w:r>
      <w:r w:rsidDel="00000000" w:rsidR="00000000" w:rsidRPr="00000000">
        <w:rPr>
          <w:rFonts w:ascii="Arial" w:cs="Arial" w:eastAsia="Arial" w:hAnsi="Arial"/>
          <w:sz w:val="22"/>
          <w:szCs w:val="22"/>
          <w:rtl w:val="0"/>
        </w:rPr>
        <w:t xml:space="preserve">Secondly, the majority of the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outlines rituals and recipes that seem to have no regard for fate. The author tells of making “figures” that willmake “any man which you wish to quickly come to you”,</w:t>
      </w:r>
      <w:r w:rsidDel="00000000" w:rsidR="00000000" w:rsidRPr="00000000">
        <w:rPr>
          <w:rFonts w:ascii="Arial" w:cs="Arial" w:eastAsia="Arial" w:hAnsi="Arial"/>
          <w:sz w:val="22"/>
          <w:szCs w:val="22"/>
          <w:vertAlign w:val="superscript"/>
        </w:rPr>
        <w:footnoteReference w:customMarkFollows="0" w:id="49"/>
      </w:r>
      <w:r w:rsidDel="00000000" w:rsidR="00000000" w:rsidRPr="00000000">
        <w:rPr>
          <w:rFonts w:ascii="Arial" w:cs="Arial" w:eastAsia="Arial" w:hAnsi="Arial"/>
          <w:sz w:val="22"/>
          <w:szCs w:val="22"/>
          <w:rtl w:val="0"/>
        </w:rPr>
        <w:t xml:space="preserve">“an image to receive honor from a lord”,</w:t>
      </w:r>
      <w:r w:rsidDel="00000000" w:rsidR="00000000" w:rsidRPr="00000000">
        <w:rPr>
          <w:rFonts w:ascii="Arial" w:cs="Arial" w:eastAsia="Arial" w:hAnsi="Arial"/>
          <w:sz w:val="22"/>
          <w:szCs w:val="22"/>
          <w:vertAlign w:val="superscript"/>
        </w:rPr>
        <w:footnoteReference w:customMarkFollows="0" w:id="50"/>
      </w:r>
      <w:r w:rsidDel="00000000" w:rsidR="00000000" w:rsidRPr="00000000">
        <w:rPr>
          <w:rFonts w:ascii="Arial" w:cs="Arial" w:eastAsia="Arial" w:hAnsi="Arial"/>
          <w:sz w:val="22"/>
          <w:szCs w:val="22"/>
          <w:rtl w:val="0"/>
        </w:rPr>
        <w:t xml:space="preserve"> “an image to gain the love of another”</w:t>
      </w:r>
      <w:r w:rsidDel="00000000" w:rsidR="00000000" w:rsidRPr="00000000">
        <w:rPr>
          <w:rFonts w:ascii="Arial" w:cs="Arial" w:eastAsia="Arial" w:hAnsi="Arial"/>
          <w:sz w:val="22"/>
          <w:szCs w:val="22"/>
          <w:vertAlign w:val="superscript"/>
        </w:rPr>
        <w:footnoteReference w:customMarkFollows="0" w:id="51"/>
      </w:r>
      <w:r w:rsidDel="00000000" w:rsidR="00000000" w:rsidRPr="00000000">
        <w:rPr>
          <w:rFonts w:ascii="Arial" w:cs="Arial" w:eastAsia="Arial" w:hAnsi="Arial"/>
          <w:sz w:val="22"/>
          <w:szCs w:val="22"/>
          <w:rtl w:val="0"/>
        </w:rPr>
        <w:t xml:space="preserve">, among numerous other rituals. The outlining of these rituals show that the author believes in the fact that the knowledge of astrology can be used not only to alter your fate, but to be able to create your own. This displays the idea that through the hierarchical structure of the Neoplatonic model, a practitioner could elicit enough power through talismans that they could ascend the decrees of fate and shape it to their own desire. To conclude,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displays that fate is negotiable. The text advocates for using knowledge, talismans and rituals in order to receive higher powers that will allow you to bend fate to your will. In addition, the next shares the author's belief that through knowledge and reason, man is able to ascend the Neoplatonic model of a hierarchical universe, in order to be out of fate’s reach. Through </w:t>
      </w:r>
      <w:r w:rsidDel="00000000" w:rsidR="00000000" w:rsidRPr="00000000">
        <w:rPr>
          <w:rFonts w:ascii="Arial" w:cs="Arial" w:eastAsia="Arial" w:hAnsi="Arial"/>
          <w:i w:val="1"/>
          <w:sz w:val="22"/>
          <w:szCs w:val="22"/>
          <w:rtl w:val="0"/>
        </w:rPr>
        <w:t xml:space="preserve">Picatrix’s</w:t>
      </w:r>
      <w:r w:rsidDel="00000000" w:rsidR="00000000" w:rsidRPr="00000000">
        <w:rPr>
          <w:rFonts w:ascii="Arial" w:cs="Arial" w:eastAsia="Arial" w:hAnsi="Arial"/>
          <w:sz w:val="22"/>
          <w:szCs w:val="22"/>
          <w:rtl w:val="0"/>
        </w:rPr>
        <w:t xml:space="preserve"> views, it can be concluded additionally, that a lot of the text’s views on fate stem from Neoplatonism, further proving the point that the ideas of fate in ‘Abbasid astrology are borrowed from Hellenistic thought.</w:t>
      </w:r>
    </w:p>
    <w:p w:rsidR="00000000" w:rsidDel="00000000" w:rsidP="00000000" w:rsidRDefault="00000000" w:rsidRPr="00000000" w14:paraId="000000A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spacing w:line="360"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Conclusion </w:t>
      </w:r>
    </w:p>
    <w:p w:rsidR="00000000" w:rsidDel="00000000" w:rsidP="00000000" w:rsidRDefault="00000000" w:rsidRPr="00000000" w14:paraId="000000AB">
      <w:pPr>
        <w:spacing w:line="36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AC">
      <w:pPr>
        <w:spacing w:line="36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in 'Abbasid astrology, the cross section between fate and negotiation becomes evident through the lenses of Abū Maʿšar and the author of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Abū Maʿšar, a prominent astrologer of the era, displayed inspiration from Greek traditions, notably borrowing from Ptolemy's </w:t>
      </w:r>
      <w:r w:rsidDel="00000000" w:rsidR="00000000" w:rsidRPr="00000000">
        <w:rPr>
          <w:rFonts w:ascii="Arial" w:cs="Arial" w:eastAsia="Arial" w:hAnsi="Arial"/>
          <w:i w:val="1"/>
          <w:sz w:val="22"/>
          <w:szCs w:val="22"/>
          <w:rtl w:val="0"/>
        </w:rPr>
        <w:t xml:space="preserve">Tetrabiblos</w:t>
      </w:r>
      <w:r w:rsidDel="00000000" w:rsidR="00000000" w:rsidRPr="00000000">
        <w:rPr>
          <w:rFonts w:ascii="Arial" w:cs="Arial" w:eastAsia="Arial" w:hAnsi="Arial"/>
          <w:sz w:val="22"/>
          <w:szCs w:val="22"/>
          <w:rtl w:val="0"/>
        </w:rPr>
        <w:t xml:space="preserve">. His discussion of fate highlighted the coexistence of fixed and negotiable elements within fate. He signalled that astrology served as a tool for having a degree of control over inevitabilities. On the other hand,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was deeply rooted in Neoplatonic philosophy, notably Iamblichus.The text presented a viewpoint where theurgy and magical practices aim to harness celestial powers, overcoming the limitations of fate. The text called for an involvement in the cosmic hierarchy and suggested that through knowledge and rituals, man can create their fate. By analysing both </w:t>
      </w:r>
      <w:r w:rsidDel="00000000" w:rsidR="00000000" w:rsidRPr="00000000">
        <w:rPr>
          <w:rFonts w:ascii="Arial" w:cs="Arial" w:eastAsia="Arial" w:hAnsi="Arial"/>
          <w:i w:val="1"/>
          <w:sz w:val="22"/>
          <w:szCs w:val="22"/>
          <w:rtl w:val="0"/>
        </w:rPr>
        <w:t xml:space="preserve">The Introduction </w:t>
      </w:r>
      <w:r w:rsidDel="00000000" w:rsidR="00000000" w:rsidRPr="00000000">
        <w:rPr>
          <w:rFonts w:ascii="Arial" w:cs="Arial" w:eastAsia="Arial" w:hAnsi="Arial"/>
          <w:sz w:val="22"/>
          <w:szCs w:val="22"/>
          <w:rtl w:val="0"/>
        </w:rPr>
        <w:t xml:space="preserve">and</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the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their ideas bring an understanding of fate in this period of astrology. Firstly, they both gave evidence to the fact that the notion of fate in ‘Abbasid astrology, was drawn from classical Greek thought. Ultimately, though through slightly different means, these texts both highlighted the belief in a negotiable fate within 'Abbasid astrology.</w:t>
      </w:r>
    </w:p>
    <w:p w:rsidR="00000000" w:rsidDel="00000000" w:rsidP="00000000" w:rsidRDefault="00000000" w:rsidRPr="00000000" w14:paraId="000000A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Word count: </w:t>
      </w:r>
      <w:r w:rsidDel="00000000" w:rsidR="00000000" w:rsidRPr="00000000">
        <w:rPr>
          <w:rFonts w:ascii="Roboto" w:cs="Roboto" w:eastAsia="Roboto" w:hAnsi="Roboto"/>
          <w:color w:val="3c4043"/>
          <w:sz w:val="21"/>
          <w:szCs w:val="21"/>
          <w:highlight w:val="white"/>
          <w:rtl w:val="0"/>
        </w:rPr>
        <w:t xml:space="preserve">4505</w:t>
      </w:r>
      <w:r w:rsidDel="00000000" w:rsidR="00000000" w:rsidRPr="00000000">
        <w:rPr>
          <w:rtl w:val="0"/>
        </w:rPr>
      </w:r>
    </w:p>
    <w:p w:rsidR="00000000" w:rsidDel="00000000" w:rsidP="00000000" w:rsidRDefault="00000000" w:rsidRPr="00000000" w14:paraId="000000B0">
      <w:pPr>
        <w:spacing w:line="360"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Bibliography</w:t>
      </w:r>
    </w:p>
    <w:p w:rsidR="00000000" w:rsidDel="00000000" w:rsidP="00000000" w:rsidRDefault="00000000" w:rsidRPr="00000000" w14:paraId="000000B1">
      <w:pPr>
        <w:spacing w:line="360"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B2">
      <w:pPr>
        <w:spacing w:line="360"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Primary Sources </w:t>
      </w:r>
    </w:p>
    <w:p w:rsidR="00000000" w:rsidDel="00000000" w:rsidP="00000000" w:rsidRDefault="00000000" w:rsidRPr="00000000" w14:paraId="000000B3">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4">
      <w:pPr>
        <w:widowControl w:val="0"/>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Abū Maʿšar, The Great Introduction to Astrology by Abū Maʿšar , ed. by Keiji Yamamoto and Charles Burnett, Islamic Philosophy, Theology and Science, ed. by Hans Daiber, Anna Akasoy and Emilie Savage-Smith, 1 vols (Boston: Brill, ). </w:t>
      </w:r>
    </w:p>
    <w:p w:rsidR="00000000" w:rsidDel="00000000" w:rsidP="00000000" w:rsidRDefault="00000000" w:rsidRPr="00000000" w14:paraId="000000B5">
      <w:pPr>
        <w:widowControl w:val="0"/>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Anon, </w:t>
      </w:r>
      <w:r w:rsidDel="00000000" w:rsidR="00000000" w:rsidRPr="00000000">
        <w:rPr>
          <w:rFonts w:ascii="Arial" w:cs="Arial" w:eastAsia="Arial" w:hAnsi="Arial"/>
          <w:i w:val="1"/>
          <w:sz w:val="22"/>
          <w:szCs w:val="22"/>
          <w:rtl w:val="0"/>
        </w:rPr>
        <w:t xml:space="preserve">The Complete Picatrix: The Occult Classic of Astrological Magic Liber Atratus Edition</w:t>
      </w:r>
      <w:r w:rsidDel="00000000" w:rsidR="00000000" w:rsidRPr="00000000">
        <w:rPr>
          <w:rFonts w:ascii="Arial" w:cs="Arial" w:eastAsia="Arial" w:hAnsi="Arial"/>
          <w:sz w:val="22"/>
          <w:szCs w:val="22"/>
          <w:rtl w:val="0"/>
        </w:rPr>
        <w:t xml:space="preserve">, trans. by John Michael Greer and Christopher Warnock (Adocentyn Press, 2011)</w:t>
      </w:r>
    </w:p>
    <w:p w:rsidR="00000000" w:rsidDel="00000000" w:rsidP="00000000" w:rsidRDefault="00000000" w:rsidRPr="00000000" w14:paraId="000000B6">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Iamblichus,, Clarke, Emma C., Dillon, John M., Hershbell,Jackson P.,, </w:t>
      </w:r>
      <w:r w:rsidDel="00000000" w:rsidR="00000000" w:rsidRPr="00000000">
        <w:rPr>
          <w:rFonts w:ascii="Arial" w:cs="Arial" w:eastAsia="Arial" w:hAnsi="Arial"/>
          <w:i w:val="1"/>
          <w:sz w:val="22"/>
          <w:szCs w:val="22"/>
          <w:rtl w:val="0"/>
        </w:rPr>
        <w:t xml:space="preserve">De Mysteriis</w:t>
      </w:r>
      <w:r w:rsidDel="00000000" w:rsidR="00000000" w:rsidRPr="00000000">
        <w:rPr>
          <w:rFonts w:ascii="Arial" w:cs="Arial" w:eastAsia="Arial" w:hAnsi="Arial"/>
          <w:sz w:val="22"/>
          <w:szCs w:val="22"/>
          <w:rtl w:val="0"/>
        </w:rPr>
        <w:t xml:space="preserve"> (Atlanta: Society of Biblical Literature, 2003)</w:t>
      </w:r>
      <w:r w:rsidDel="00000000" w:rsidR="00000000" w:rsidRPr="00000000">
        <w:rPr>
          <w:rFonts w:ascii="Arial" w:cs="Arial" w:eastAsia="Arial" w:hAnsi="Arial"/>
          <w:i w:val="1"/>
          <w:sz w:val="22"/>
          <w:szCs w:val="22"/>
          <w:rtl w:val="0"/>
        </w:rPr>
        <w:t xml:space="preserve">, in /</w:t>
      </w:r>
      <w:r w:rsidDel="00000000" w:rsidR="00000000" w:rsidRPr="00000000">
        <w:rPr>
          <w:rFonts w:ascii="Arial" w:cs="Arial" w:eastAsia="Arial" w:hAnsi="Arial"/>
          <w:i w:val="1"/>
          <w:sz w:val="22"/>
          <w:szCs w:val="22"/>
          <w:rtl w:val="0"/>
        </w:rPr>
        <w:t xml:space="preserve">z-wcorg</w:t>
      </w:r>
      <w:r w:rsidDel="00000000" w:rsidR="00000000" w:rsidRPr="00000000">
        <w:rPr>
          <w:rFonts w:ascii="Arial" w:cs="Arial" w:eastAsia="Arial" w:hAnsi="Arial"/>
          <w:i w:val="1"/>
          <w:sz w:val="22"/>
          <w:szCs w:val="22"/>
          <w:rtl w:val="0"/>
        </w:rPr>
        <w:t xml:space="preserve">/</w:t>
      </w:r>
      <w:r w:rsidDel="00000000" w:rsidR="00000000" w:rsidRPr="00000000">
        <w:rPr>
          <w:rtl w:val="0"/>
        </w:rPr>
      </w:r>
    </w:p>
    <w:p w:rsidR="00000000" w:rsidDel="00000000" w:rsidP="00000000" w:rsidRDefault="00000000" w:rsidRPr="00000000" w14:paraId="000000B7">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Philadelphus, Ptolemy I., </w:t>
      </w:r>
      <w:r w:rsidDel="00000000" w:rsidR="00000000" w:rsidRPr="00000000">
        <w:rPr>
          <w:rFonts w:ascii="Arial" w:cs="Arial" w:eastAsia="Arial" w:hAnsi="Arial"/>
          <w:i w:val="1"/>
          <w:sz w:val="22"/>
          <w:szCs w:val="22"/>
          <w:rtl w:val="0"/>
        </w:rPr>
        <w:t xml:space="preserve">Tetrabiblos</w:t>
      </w:r>
      <w:r w:rsidDel="00000000" w:rsidR="00000000" w:rsidRPr="00000000">
        <w:rPr>
          <w:rFonts w:ascii="Arial" w:cs="Arial" w:eastAsia="Arial" w:hAnsi="Arial"/>
          <w:sz w:val="22"/>
          <w:szCs w:val="22"/>
          <w:rtl w:val="0"/>
        </w:rPr>
        <w:t xml:space="preserve">, trans. by Frank Egleston Robbins (Cambridge, Mass. ;: Harvard University Press, 2001)</w:t>
      </w:r>
    </w:p>
    <w:p w:rsidR="00000000" w:rsidDel="00000000" w:rsidP="00000000" w:rsidRDefault="00000000" w:rsidRPr="00000000" w14:paraId="000000B8">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spacing w:line="360" w:lineRule="auto"/>
        <w:jc w:val="cente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A">
      <w:pPr>
        <w:spacing w:line="360"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Secondary Sources</w:t>
      </w:r>
    </w:p>
    <w:p w:rsidR="00000000" w:rsidDel="00000000" w:rsidP="00000000" w:rsidRDefault="00000000" w:rsidRPr="00000000" w14:paraId="000000B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C">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Bennison, Amira K., </w:t>
      </w:r>
      <w:r w:rsidDel="00000000" w:rsidR="00000000" w:rsidRPr="00000000">
        <w:rPr>
          <w:rFonts w:ascii="Arial" w:cs="Arial" w:eastAsia="Arial" w:hAnsi="Arial"/>
          <w:i w:val="1"/>
          <w:sz w:val="22"/>
          <w:szCs w:val="22"/>
          <w:rtl w:val="0"/>
        </w:rPr>
        <w:t xml:space="preserve">The Great Caliphs, the Golden Age of the Abbasid Empire</w:t>
      </w:r>
      <w:r w:rsidDel="00000000" w:rsidR="00000000" w:rsidRPr="00000000">
        <w:rPr>
          <w:rFonts w:ascii="Arial" w:cs="Arial" w:eastAsia="Arial" w:hAnsi="Arial"/>
          <w:sz w:val="22"/>
          <w:szCs w:val="22"/>
          <w:rtl w:val="0"/>
        </w:rPr>
        <w:t xml:space="preserve"> (New Haven &amp; London: Yale University Press, 2009)</w:t>
      </w:r>
    </w:p>
    <w:p w:rsidR="00000000" w:rsidDel="00000000" w:rsidP="00000000" w:rsidRDefault="00000000" w:rsidRPr="00000000" w14:paraId="000000BD">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Brentjes, Sonja and Robert G. Morrison, 'The Sciences in Islamic Societies', in </w:t>
      </w:r>
      <w:r w:rsidDel="00000000" w:rsidR="00000000" w:rsidRPr="00000000">
        <w:rPr>
          <w:rFonts w:ascii="Arial" w:cs="Arial" w:eastAsia="Arial" w:hAnsi="Arial"/>
          <w:i w:val="1"/>
          <w:sz w:val="22"/>
          <w:szCs w:val="22"/>
          <w:rtl w:val="0"/>
        </w:rPr>
        <w:t xml:space="preserve">The New Cambridge History of Islam</w:t>
      </w:r>
      <w:r w:rsidDel="00000000" w:rsidR="00000000" w:rsidRPr="00000000">
        <w:rPr>
          <w:rFonts w:ascii="Arial" w:cs="Arial" w:eastAsia="Arial" w:hAnsi="Arial"/>
          <w:sz w:val="22"/>
          <w:szCs w:val="22"/>
          <w:rtl w:val="0"/>
        </w:rPr>
        <w:t xml:space="preserve">, ed. by Robert Irwin, 4 vols (Cambridge University Press, 2011)</w:t>
      </w:r>
    </w:p>
    <w:p w:rsidR="00000000" w:rsidDel="00000000" w:rsidP="00000000" w:rsidRDefault="00000000" w:rsidRPr="00000000" w14:paraId="000000BE">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Campion, Nicholas, 'Astrology:; The Celestial Mirror', in </w:t>
      </w:r>
      <w:r w:rsidDel="00000000" w:rsidR="00000000" w:rsidRPr="00000000">
        <w:rPr>
          <w:rFonts w:ascii="Arial" w:cs="Arial" w:eastAsia="Arial" w:hAnsi="Arial"/>
          <w:i w:val="1"/>
          <w:sz w:val="22"/>
          <w:szCs w:val="22"/>
          <w:rtl w:val="0"/>
        </w:rPr>
        <w:t xml:space="preserve">Astrology and Cosmology in the World's Religions</w:t>
      </w:r>
      <w:r w:rsidDel="00000000" w:rsidR="00000000" w:rsidRPr="00000000">
        <w:rPr>
          <w:rFonts w:ascii="Arial" w:cs="Arial" w:eastAsia="Arial" w:hAnsi="Arial"/>
          <w:sz w:val="22"/>
          <w:szCs w:val="22"/>
          <w:rtl w:val="0"/>
        </w:rPr>
        <w:t xml:space="preserve">(NYU Press, 2012a), pp. 11-23</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&lt;http://www.jstor.org/stable/j.ctt9qg5q5.5&gt;</w:t>
      </w:r>
    </w:p>
    <w:p w:rsidR="00000000" w:rsidDel="00000000" w:rsidP="00000000" w:rsidRDefault="00000000" w:rsidRPr="00000000" w14:paraId="000000BF">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---'Classical Greece:; Ascent to the Stars', in </w:t>
      </w:r>
      <w:r w:rsidDel="00000000" w:rsidR="00000000" w:rsidRPr="00000000">
        <w:rPr>
          <w:rFonts w:ascii="Arial" w:cs="Arial" w:eastAsia="Arial" w:hAnsi="Arial"/>
          <w:i w:val="1"/>
          <w:sz w:val="22"/>
          <w:szCs w:val="22"/>
          <w:rtl w:val="0"/>
        </w:rPr>
        <w:t xml:space="preserve">Astrology and Cosmology in the World's Religions</w:t>
      </w:r>
      <w:r w:rsidDel="00000000" w:rsidR="00000000" w:rsidRPr="00000000">
        <w:rPr>
          <w:rFonts w:ascii="Arial" w:cs="Arial" w:eastAsia="Arial" w:hAnsi="Arial"/>
          <w:sz w:val="22"/>
          <w:szCs w:val="22"/>
          <w:rtl w:val="0"/>
        </w:rPr>
        <w:t xml:space="preserve">(NYU Press, 2012b), pp. 148-160</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&lt;http://www.jstor.org/stable/j.ctt9qg5q5.16&gt;</w:t>
      </w:r>
    </w:p>
    <w:p w:rsidR="00000000" w:rsidDel="00000000" w:rsidP="00000000" w:rsidRDefault="00000000" w:rsidRPr="00000000" w14:paraId="000000C0">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---'Islam:; Faith and Reason', in </w:t>
      </w:r>
      <w:r w:rsidDel="00000000" w:rsidR="00000000" w:rsidRPr="00000000">
        <w:rPr>
          <w:rFonts w:ascii="Arial" w:cs="Arial" w:eastAsia="Arial" w:hAnsi="Arial"/>
          <w:i w:val="1"/>
          <w:sz w:val="22"/>
          <w:szCs w:val="22"/>
          <w:rtl w:val="0"/>
        </w:rPr>
        <w:t xml:space="preserve">Astrology and Cosmology in the World's Religions</w:t>
      </w:r>
      <w:r w:rsidDel="00000000" w:rsidR="00000000" w:rsidRPr="00000000">
        <w:rPr>
          <w:rFonts w:ascii="Arial" w:cs="Arial" w:eastAsia="Arial" w:hAnsi="Arial"/>
          <w:sz w:val="22"/>
          <w:szCs w:val="22"/>
          <w:rtl w:val="0"/>
        </w:rPr>
        <w:t xml:space="preserve">(NYU Press, 2012c), pp. 173-187</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&lt;http://www.jstor.org.ezproxy.uwtsd.ac.uk/stable/j.ctt9qg5q5.18&gt;</w:t>
      </w:r>
    </w:p>
    <w:p w:rsidR="00000000" w:rsidDel="00000000" w:rsidP="00000000" w:rsidRDefault="00000000" w:rsidRPr="00000000" w14:paraId="000000C1">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Gutas, Dimitri, </w:t>
      </w:r>
      <w:r w:rsidDel="00000000" w:rsidR="00000000" w:rsidRPr="00000000">
        <w:rPr>
          <w:rFonts w:ascii="Arial" w:cs="Arial" w:eastAsia="Arial" w:hAnsi="Arial"/>
          <w:i w:val="1"/>
          <w:sz w:val="22"/>
          <w:szCs w:val="22"/>
          <w:rtl w:val="0"/>
        </w:rPr>
        <w:t xml:space="preserve"> Greek Thought, Arabic Culture: The Graeco-Arabic Translation Movement in Baghdad and Early Abbasid Society (2nd-4th/8th-10th Centuries)</w:t>
      </w:r>
      <w:r w:rsidDel="00000000" w:rsidR="00000000" w:rsidRPr="00000000">
        <w:rPr>
          <w:rFonts w:ascii="Arial" w:cs="Arial" w:eastAsia="Arial" w:hAnsi="Arial"/>
          <w:sz w:val="22"/>
          <w:szCs w:val="22"/>
          <w:rtl w:val="0"/>
        </w:rPr>
        <w:t xml:space="preserve"> (Routledge, 1998)</w:t>
      </w:r>
    </w:p>
    <w:p w:rsidR="00000000" w:rsidDel="00000000" w:rsidP="00000000" w:rsidRDefault="00000000" w:rsidRPr="00000000" w14:paraId="000000C2">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Hartner, Willy, 'Notes on Picatrix', </w:t>
      </w:r>
      <w:r w:rsidDel="00000000" w:rsidR="00000000" w:rsidRPr="00000000">
        <w:rPr>
          <w:rFonts w:ascii="Arial" w:cs="Arial" w:eastAsia="Arial" w:hAnsi="Arial"/>
          <w:i w:val="1"/>
          <w:sz w:val="22"/>
          <w:szCs w:val="22"/>
          <w:rtl w:val="0"/>
        </w:rPr>
        <w:t xml:space="preserve">Isis, </w:t>
      </w:r>
      <w:r w:rsidDel="00000000" w:rsidR="00000000" w:rsidRPr="00000000">
        <w:rPr>
          <w:rFonts w:ascii="Arial" w:cs="Arial" w:eastAsia="Arial" w:hAnsi="Arial"/>
          <w:sz w:val="22"/>
          <w:szCs w:val="22"/>
          <w:rtl w:val="0"/>
        </w:rPr>
        <w:t xml:space="preserve">56 (1965), 438-451</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&lt;http://www.jstor.org.ezproxy.uwtsd.ac.uk/stable/228772&gt;</w:t>
      </w:r>
    </w:p>
    <w:p w:rsidR="00000000" w:rsidDel="00000000" w:rsidP="00000000" w:rsidRDefault="00000000" w:rsidRPr="00000000" w14:paraId="000000C3">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Jachimowicz, Edith, 'Islamic Cosmology', in </w:t>
      </w:r>
      <w:r w:rsidDel="00000000" w:rsidR="00000000" w:rsidRPr="00000000">
        <w:rPr>
          <w:rFonts w:ascii="Arial" w:cs="Arial" w:eastAsia="Arial" w:hAnsi="Arial"/>
          <w:i w:val="1"/>
          <w:sz w:val="22"/>
          <w:szCs w:val="22"/>
          <w:rtl w:val="0"/>
        </w:rPr>
        <w:t xml:space="preserve">Ancient Cosmologies</w:t>
      </w:r>
      <w:r w:rsidDel="00000000" w:rsidR="00000000" w:rsidRPr="00000000">
        <w:rPr>
          <w:rFonts w:ascii="Arial" w:cs="Arial" w:eastAsia="Arial" w:hAnsi="Arial"/>
          <w:sz w:val="22"/>
          <w:szCs w:val="22"/>
          <w:rtl w:val="0"/>
        </w:rPr>
        <w:t xml:space="preserve">, ed. by Carmen Blacker and Micheal Loewe(London: George Allen &amp; Unwin  Ltd., 1975), pp. 143-172</w:t>
      </w:r>
    </w:p>
    <w:p w:rsidR="00000000" w:rsidDel="00000000" w:rsidP="00000000" w:rsidRDefault="00000000" w:rsidRPr="00000000" w14:paraId="000000C4">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Nasr, Seyyed H., </w:t>
      </w:r>
      <w:r w:rsidDel="00000000" w:rsidR="00000000" w:rsidRPr="00000000">
        <w:rPr>
          <w:rFonts w:ascii="Arial" w:cs="Arial" w:eastAsia="Arial" w:hAnsi="Arial"/>
          <w:i w:val="1"/>
          <w:sz w:val="22"/>
          <w:szCs w:val="22"/>
          <w:rtl w:val="0"/>
        </w:rPr>
        <w:t xml:space="preserve">An Introduction to Islamic Cosmological Doctrines</w:t>
      </w:r>
      <w:r w:rsidDel="00000000" w:rsidR="00000000" w:rsidRPr="00000000">
        <w:rPr>
          <w:rFonts w:ascii="Arial" w:cs="Arial" w:eastAsia="Arial" w:hAnsi="Arial"/>
          <w:sz w:val="22"/>
          <w:szCs w:val="22"/>
          <w:rtl w:val="0"/>
        </w:rPr>
        <w:t xml:space="preserve"> (Albany: State university of New York Press, 1993)</w:t>
      </w:r>
    </w:p>
    <w:p w:rsidR="00000000" w:rsidDel="00000000" w:rsidP="00000000" w:rsidRDefault="00000000" w:rsidRPr="00000000" w14:paraId="000000C5">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Saif, Liana, 'From Ġāyat Al-Ḥakīm to Šams Al-Maʿārif; Ways of Knowing and Paths of Power in Medieval Islam', </w:t>
      </w:r>
      <w:r w:rsidDel="00000000" w:rsidR="00000000" w:rsidRPr="00000000">
        <w:rPr>
          <w:rFonts w:ascii="Arial" w:cs="Arial" w:eastAsia="Arial" w:hAnsi="Arial"/>
          <w:i w:val="1"/>
          <w:sz w:val="22"/>
          <w:szCs w:val="22"/>
          <w:rtl w:val="0"/>
        </w:rPr>
        <w:t xml:space="preserve">Arabica, </w:t>
      </w:r>
      <w:r w:rsidDel="00000000" w:rsidR="00000000" w:rsidRPr="00000000">
        <w:rPr>
          <w:rFonts w:ascii="Arial" w:cs="Arial" w:eastAsia="Arial" w:hAnsi="Arial"/>
          <w:sz w:val="22"/>
          <w:szCs w:val="22"/>
          <w:rtl w:val="0"/>
        </w:rPr>
        <w:t xml:space="preserve">64 (2017), 297-345</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&lt;https://www-jstor-org.ezproxy.uwtsd.ac.uk/stable/26569036&gt;</w:t>
      </w:r>
    </w:p>
    <w:p w:rsidR="00000000" w:rsidDel="00000000" w:rsidP="00000000" w:rsidRDefault="00000000" w:rsidRPr="00000000" w14:paraId="000000C6">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Yamamoto, Keiji and Charles Burnett, 'Introduction', in </w:t>
      </w:r>
      <w:r w:rsidDel="00000000" w:rsidR="00000000" w:rsidRPr="00000000">
        <w:rPr>
          <w:rFonts w:ascii="Arial" w:cs="Arial" w:eastAsia="Arial" w:hAnsi="Arial"/>
          <w:i w:val="1"/>
          <w:sz w:val="22"/>
          <w:szCs w:val="22"/>
          <w:rtl w:val="0"/>
        </w:rPr>
        <w:t xml:space="preserve">The Great Introduction to Astrology by Abū Maʿšar</w:t>
      </w:r>
      <w:r w:rsidDel="00000000" w:rsidR="00000000" w:rsidRPr="00000000">
        <w:rPr>
          <w:rFonts w:ascii="Arial" w:cs="Arial" w:eastAsia="Arial" w:hAnsi="Arial"/>
          <w:sz w:val="22"/>
          <w:szCs w:val="22"/>
          <w:rtl w:val="0"/>
        </w:rPr>
        <w:t xml:space="preserve">(Brill, ), pp. 1-42</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sectPr>
      <w:headerReference r:id="rId12" w:type="first"/>
      <w:type w:val="nextPage"/>
      <w:pgSz w:h="15840" w:w="12240" w:orient="portrait"/>
      <w:pgMar w:bottom="567" w:top="567" w:left="1797" w:right="1797" w:header="283.46456692913387"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tl w:val="0"/>
      </w:rPr>
      <w:t xml:space="preserve"> </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rebuchet MS" w:cs="Trebuchet MS" w:eastAsia="Trebuchet MS" w:hAnsi="Trebuchet MS"/>
        <w:sz w:val="18"/>
        <w:szCs w:val="18"/>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C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Amira K. Bennison, </w:t>
      </w:r>
      <w:r w:rsidDel="00000000" w:rsidR="00000000" w:rsidRPr="00000000">
        <w:rPr>
          <w:rFonts w:ascii="Arial" w:cs="Arial" w:eastAsia="Arial" w:hAnsi="Arial"/>
          <w:i w:val="1"/>
          <w:sz w:val="20"/>
          <w:szCs w:val="20"/>
          <w:rtl w:val="0"/>
        </w:rPr>
        <w:t xml:space="preserve">The Great Caliphs, the Golden Age of the Abbasid Empire</w:t>
      </w:r>
      <w:r w:rsidDel="00000000" w:rsidR="00000000" w:rsidRPr="00000000">
        <w:rPr>
          <w:rFonts w:ascii="Arial" w:cs="Arial" w:eastAsia="Arial" w:hAnsi="Arial"/>
          <w:sz w:val="20"/>
          <w:szCs w:val="20"/>
          <w:rtl w:val="0"/>
        </w:rPr>
        <w:t xml:space="preserve"> (New Haven &amp; London: Yale University Press, 2009).. pg.1.</w:t>
      </w:r>
    </w:p>
  </w:footnote>
  <w:footnote w:id="2">
    <w:p w:rsidR="00000000" w:rsidDel="00000000" w:rsidP="00000000" w:rsidRDefault="00000000" w:rsidRPr="00000000" w14:paraId="000000C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 </w:t>
      </w:r>
      <w:r w:rsidDel="00000000" w:rsidR="00000000" w:rsidRPr="00000000">
        <w:rPr>
          <w:rFonts w:ascii="Arial" w:cs="Arial" w:eastAsia="Arial" w:hAnsi="Arial"/>
          <w:sz w:val="20"/>
          <w:szCs w:val="20"/>
          <w:rtl w:val="0"/>
        </w:rPr>
        <w:t xml:space="preserve">pg.16. </w:t>
      </w:r>
    </w:p>
  </w:footnote>
  <w:footnote w:id="3">
    <w:p w:rsidR="00000000" w:rsidDel="00000000" w:rsidP="00000000" w:rsidRDefault="00000000" w:rsidRPr="00000000" w14:paraId="000000C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Bennison pg. 4. </w:t>
      </w:r>
    </w:p>
  </w:footnote>
  <w:footnote w:id="4">
    <w:p w:rsidR="00000000" w:rsidDel="00000000" w:rsidP="00000000" w:rsidRDefault="00000000" w:rsidRPr="00000000" w14:paraId="000000C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 ibid</w:t>
      </w:r>
      <w:r w:rsidDel="00000000" w:rsidR="00000000" w:rsidRPr="00000000">
        <w:rPr>
          <w:rFonts w:ascii="Arial" w:cs="Arial" w:eastAsia="Arial" w:hAnsi="Arial"/>
          <w:sz w:val="20"/>
          <w:szCs w:val="20"/>
          <w:rtl w:val="0"/>
        </w:rPr>
        <w:t xml:space="preserve"> pg. 5.</w:t>
      </w:r>
    </w:p>
  </w:footnote>
  <w:footnote w:id="5">
    <w:p w:rsidR="00000000" w:rsidDel="00000000" w:rsidP="00000000" w:rsidRDefault="00000000" w:rsidRPr="00000000" w14:paraId="000000C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4. </w:t>
      </w:r>
    </w:p>
  </w:footnote>
  <w:footnote w:id="6">
    <w:p w:rsidR="00000000" w:rsidDel="00000000" w:rsidP="00000000" w:rsidRDefault="00000000" w:rsidRPr="00000000" w14:paraId="000000D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158.</w:t>
      </w:r>
    </w:p>
  </w:footnote>
  <w:footnote w:id="7">
    <w:p w:rsidR="00000000" w:rsidDel="00000000" w:rsidP="00000000" w:rsidRDefault="00000000" w:rsidRPr="00000000" w14:paraId="000000D1">
      <w:pPr>
        <w:rPr>
          <w:rFonts w:ascii="Arial" w:cs="Arial" w:eastAsia="Arial" w:hAnsi="Arial"/>
          <w:sz w:val="22"/>
          <w:szCs w:val="22"/>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Nicholas Campion, 'Islam:; Faith and Reason', in </w:t>
      </w:r>
      <w:r w:rsidDel="00000000" w:rsidR="00000000" w:rsidRPr="00000000">
        <w:rPr>
          <w:rFonts w:ascii="Arial" w:cs="Arial" w:eastAsia="Arial" w:hAnsi="Arial"/>
          <w:i w:val="1"/>
          <w:sz w:val="20"/>
          <w:szCs w:val="20"/>
          <w:rtl w:val="0"/>
        </w:rPr>
        <w:t xml:space="preserve">Astrology and Cosmology in the World's Religions</w:t>
      </w:r>
      <w:r w:rsidDel="00000000" w:rsidR="00000000" w:rsidRPr="00000000">
        <w:rPr>
          <w:rFonts w:ascii="Arial" w:cs="Arial" w:eastAsia="Arial" w:hAnsi="Arial"/>
          <w:sz w:val="20"/>
          <w:szCs w:val="20"/>
          <w:rtl w:val="0"/>
        </w:rPr>
        <w:t xml:space="preserve"> (NYU Press, 2012c), pp. 173-187</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&lt;http://www.jstor.org.ezproxy.uwtsd.ac.uk/stable/j.ctt9qg5q5.18&gt;. Pg 175. </w:t>
      </w:r>
      <w:r w:rsidDel="00000000" w:rsidR="00000000" w:rsidRPr="00000000">
        <w:rPr>
          <w:rtl w:val="0"/>
        </w:rPr>
      </w:r>
    </w:p>
  </w:footnote>
  <w:footnote w:id="8">
    <w:p w:rsidR="00000000" w:rsidDel="00000000" w:rsidP="00000000" w:rsidRDefault="00000000" w:rsidRPr="00000000" w14:paraId="000000D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Dimitri Gutas, </w:t>
      </w:r>
      <w:r w:rsidDel="00000000" w:rsidR="00000000" w:rsidRPr="00000000">
        <w:rPr>
          <w:rFonts w:ascii="Arial" w:cs="Arial" w:eastAsia="Arial" w:hAnsi="Arial"/>
          <w:i w:val="1"/>
          <w:sz w:val="20"/>
          <w:szCs w:val="20"/>
          <w:rtl w:val="0"/>
        </w:rPr>
        <w:t xml:space="preserve"> Greek Thought, Arabic Culture: The Graeco-Arabic Translation Movement in Baghdad and Early Abbasid Society (2nd-4th/8th-10th Centuries)</w:t>
      </w:r>
      <w:r w:rsidDel="00000000" w:rsidR="00000000" w:rsidRPr="00000000">
        <w:rPr>
          <w:rFonts w:ascii="Arial" w:cs="Arial" w:eastAsia="Arial" w:hAnsi="Arial"/>
          <w:sz w:val="20"/>
          <w:szCs w:val="20"/>
          <w:rtl w:val="0"/>
        </w:rPr>
        <w:t xml:space="preserve"> (Routledge, 1998). pg. i.</w:t>
      </w:r>
    </w:p>
  </w:footnote>
  <w:footnote w:id="9">
    <w:p w:rsidR="00000000" w:rsidDel="00000000" w:rsidP="00000000" w:rsidRDefault="00000000" w:rsidRPr="00000000" w14:paraId="000000D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Sonja Brentjes and Robert G. Morrison, 'The Sciences in Islamic Societies', in The New Cambridge History of Islam, ed. by Robert Irwin , 4 vols (Cambridge University Press, 2011). pg. 565.</w:t>
      </w:r>
    </w:p>
  </w:footnote>
  <w:footnote w:id="10">
    <w:p w:rsidR="00000000" w:rsidDel="00000000" w:rsidP="00000000" w:rsidRDefault="00000000" w:rsidRPr="00000000" w14:paraId="000000D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Seyyed Hossein Nasr, </w:t>
      </w:r>
      <w:r w:rsidDel="00000000" w:rsidR="00000000" w:rsidRPr="00000000">
        <w:rPr>
          <w:rFonts w:ascii="Arial" w:cs="Arial" w:eastAsia="Arial" w:hAnsi="Arial"/>
          <w:i w:val="1"/>
          <w:sz w:val="20"/>
          <w:szCs w:val="20"/>
          <w:rtl w:val="0"/>
        </w:rPr>
        <w:t xml:space="preserve">An Introduction to</w:t>
        <w:br w:type="textWrapping"/>
        <w:t xml:space="preserve">Islamic Cosmological</w:t>
        <w:br w:type="textWrapping"/>
        <w:t xml:space="preserve">Doctrines</w:t>
      </w:r>
      <w:r w:rsidDel="00000000" w:rsidR="00000000" w:rsidRPr="00000000">
        <w:rPr>
          <w:rFonts w:ascii="Arial" w:cs="Arial" w:eastAsia="Arial" w:hAnsi="Arial"/>
          <w:sz w:val="20"/>
          <w:szCs w:val="20"/>
          <w:rtl w:val="0"/>
        </w:rPr>
        <w:t xml:space="preserve"> (Albany: State university of New York Press, 1993). pg. 12.</w:t>
      </w:r>
    </w:p>
  </w:footnote>
  <w:footnote w:id="11">
    <w:p w:rsidR="00000000" w:rsidDel="00000000" w:rsidP="00000000" w:rsidRDefault="00000000" w:rsidRPr="00000000" w14:paraId="000000D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Edith Jachimowicz, 'Islamic Cosmology', in </w:t>
      </w:r>
      <w:r w:rsidDel="00000000" w:rsidR="00000000" w:rsidRPr="00000000">
        <w:rPr>
          <w:rFonts w:ascii="Arial" w:cs="Arial" w:eastAsia="Arial" w:hAnsi="Arial"/>
          <w:i w:val="1"/>
          <w:sz w:val="20"/>
          <w:szCs w:val="20"/>
          <w:rtl w:val="0"/>
        </w:rPr>
        <w:t xml:space="preserve">Ancient Cosmologies</w:t>
      </w:r>
      <w:r w:rsidDel="00000000" w:rsidR="00000000" w:rsidRPr="00000000">
        <w:rPr>
          <w:rFonts w:ascii="Arial" w:cs="Arial" w:eastAsia="Arial" w:hAnsi="Arial"/>
          <w:sz w:val="20"/>
          <w:szCs w:val="20"/>
          <w:rtl w:val="0"/>
        </w:rPr>
        <w:t xml:space="preserve">, ed. by Carmen Blacker and Micheal Loewe (London: George Allen &amp; Unwin  Ltd., 1975), pp. 143-172.. pg. 143.</w:t>
      </w:r>
    </w:p>
  </w:footnote>
  <w:footnote w:id="12">
    <w:p w:rsidR="00000000" w:rsidDel="00000000" w:rsidP="00000000" w:rsidRDefault="00000000" w:rsidRPr="00000000" w14:paraId="000000D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Gutas pg. 33. </w:t>
      </w:r>
    </w:p>
  </w:footnote>
  <w:footnote w:id="13">
    <w:p w:rsidR="00000000" w:rsidDel="00000000" w:rsidP="00000000" w:rsidRDefault="00000000" w:rsidRPr="00000000" w14:paraId="000000D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Campion.</w:t>
      </w:r>
      <w:r w:rsidDel="00000000" w:rsidR="00000000" w:rsidRPr="00000000">
        <w:rPr>
          <w:rFonts w:ascii="Arial" w:cs="Arial" w:eastAsia="Arial" w:hAnsi="Arial"/>
          <w:i w:val="1"/>
          <w:sz w:val="20"/>
          <w:szCs w:val="20"/>
          <w:rtl w:val="0"/>
        </w:rPr>
        <w:t xml:space="preserve"> Islam: Faith and Reason</w:t>
      </w:r>
      <w:r w:rsidDel="00000000" w:rsidR="00000000" w:rsidRPr="00000000">
        <w:rPr>
          <w:rFonts w:ascii="Arial" w:cs="Arial" w:eastAsia="Arial" w:hAnsi="Arial"/>
          <w:sz w:val="20"/>
          <w:szCs w:val="20"/>
          <w:rtl w:val="0"/>
        </w:rPr>
        <w:t xml:space="preserve">. pg 174.</w:t>
      </w:r>
    </w:p>
  </w:footnote>
  <w:footnote w:id="14">
    <w:p w:rsidR="00000000" w:rsidDel="00000000" w:rsidP="00000000" w:rsidRDefault="00000000" w:rsidRPr="00000000" w14:paraId="000000D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178. </w:t>
      </w:r>
    </w:p>
  </w:footnote>
  <w:footnote w:id="15">
    <w:p w:rsidR="00000000" w:rsidDel="00000000" w:rsidP="00000000" w:rsidRDefault="00000000" w:rsidRPr="00000000" w14:paraId="000000D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Keiji Yamamoto and Charles Burnett, 'Introduction', in </w:t>
      </w:r>
      <w:r w:rsidDel="00000000" w:rsidR="00000000" w:rsidRPr="00000000">
        <w:rPr>
          <w:rFonts w:ascii="Arial" w:cs="Arial" w:eastAsia="Arial" w:hAnsi="Arial"/>
          <w:i w:val="1"/>
          <w:sz w:val="20"/>
          <w:szCs w:val="20"/>
          <w:rtl w:val="0"/>
        </w:rPr>
        <w:t xml:space="preserve">The Great Introduction to Astrology by Abū Maʿšar</w:t>
      </w:r>
      <w:r w:rsidDel="00000000" w:rsidR="00000000" w:rsidRPr="00000000">
        <w:rPr>
          <w:rFonts w:ascii="Arial" w:cs="Arial" w:eastAsia="Arial" w:hAnsi="Arial"/>
          <w:sz w:val="20"/>
          <w:szCs w:val="20"/>
          <w:rtl w:val="0"/>
        </w:rPr>
        <w:t xml:space="preserve"> (Brill, ), pp. 1-42. pg. 1. </w:t>
      </w:r>
    </w:p>
  </w:footnote>
  <w:footnote w:id="16">
    <w:p w:rsidR="00000000" w:rsidDel="00000000" w:rsidP="00000000" w:rsidRDefault="00000000" w:rsidRPr="00000000" w14:paraId="000000D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2.</w:t>
      </w:r>
    </w:p>
  </w:footnote>
  <w:footnote w:id="17">
    <w:p w:rsidR="00000000" w:rsidDel="00000000" w:rsidP="00000000" w:rsidRDefault="00000000" w:rsidRPr="00000000" w14:paraId="000000D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The Introduction to Astrology will be shortened to “The Introduction” for this essay.</w:t>
      </w:r>
    </w:p>
  </w:footnote>
  <w:footnote w:id="18">
    <w:p w:rsidR="00000000" w:rsidDel="00000000" w:rsidP="00000000" w:rsidRDefault="00000000" w:rsidRPr="00000000" w14:paraId="000000D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29.</w:t>
      </w:r>
    </w:p>
  </w:footnote>
  <w:footnote w:id="19">
    <w:p w:rsidR="00000000" w:rsidDel="00000000" w:rsidP="00000000" w:rsidRDefault="00000000" w:rsidRPr="00000000" w14:paraId="000000D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3. </w:t>
      </w:r>
    </w:p>
  </w:footnote>
  <w:footnote w:id="20">
    <w:p w:rsidR="00000000" w:rsidDel="00000000" w:rsidP="00000000" w:rsidRDefault="00000000" w:rsidRPr="00000000" w14:paraId="000000D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Abū Maʿšar, </w:t>
      </w:r>
      <w:r w:rsidDel="00000000" w:rsidR="00000000" w:rsidRPr="00000000">
        <w:rPr>
          <w:rFonts w:ascii="Arial" w:cs="Arial" w:eastAsia="Arial" w:hAnsi="Arial"/>
          <w:i w:val="1"/>
          <w:sz w:val="20"/>
          <w:szCs w:val="20"/>
          <w:rtl w:val="0"/>
        </w:rPr>
        <w:t xml:space="preserve">The Great Introduction to Astrology by Abū Maʿšar </w:t>
      </w:r>
      <w:r w:rsidDel="00000000" w:rsidR="00000000" w:rsidRPr="00000000">
        <w:rPr>
          <w:rFonts w:ascii="Arial" w:cs="Arial" w:eastAsia="Arial" w:hAnsi="Arial"/>
          <w:sz w:val="20"/>
          <w:szCs w:val="20"/>
          <w:rtl w:val="0"/>
        </w:rPr>
        <w:t xml:space="preserve">, ed. by Keiji Yamamoto and Charles Burnett, Islamic Philosophy, Theology and Science, ed. by Hans Daiber, Anna Akasoy and Emilie Savage-Smith, 1 vols (Boston: Brill, ). </w:t>
      </w:r>
      <w:r w:rsidDel="00000000" w:rsidR="00000000" w:rsidRPr="00000000">
        <w:rPr>
          <w:rFonts w:ascii="Arial" w:cs="Arial" w:eastAsia="Arial" w:hAnsi="Arial"/>
          <w:i w:val="1"/>
          <w:sz w:val="20"/>
          <w:szCs w:val="20"/>
          <w:rtl w:val="0"/>
        </w:rPr>
        <w:t xml:space="preserve">The Introduction</w:t>
      </w:r>
      <w:r w:rsidDel="00000000" w:rsidR="00000000" w:rsidRPr="00000000">
        <w:rPr>
          <w:rFonts w:ascii="Arial" w:cs="Arial" w:eastAsia="Arial" w:hAnsi="Arial"/>
          <w:sz w:val="20"/>
          <w:szCs w:val="20"/>
          <w:rtl w:val="0"/>
        </w:rPr>
        <w:t xml:space="preserve"> 2.13.</w:t>
      </w:r>
    </w:p>
  </w:footnote>
  <w:footnote w:id="21">
    <w:p w:rsidR="00000000" w:rsidDel="00000000" w:rsidP="00000000" w:rsidRDefault="00000000" w:rsidRPr="00000000" w14:paraId="000000D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Ptolemy II Philadelphus, </w:t>
      </w:r>
      <w:r w:rsidDel="00000000" w:rsidR="00000000" w:rsidRPr="00000000">
        <w:rPr>
          <w:rFonts w:ascii="Arial" w:cs="Arial" w:eastAsia="Arial" w:hAnsi="Arial"/>
          <w:i w:val="1"/>
          <w:sz w:val="20"/>
          <w:szCs w:val="20"/>
          <w:rtl w:val="0"/>
        </w:rPr>
        <w:t xml:space="preserve">Tetrabiblos</w:t>
      </w:r>
      <w:r w:rsidDel="00000000" w:rsidR="00000000" w:rsidRPr="00000000">
        <w:rPr>
          <w:rFonts w:ascii="Arial" w:cs="Arial" w:eastAsia="Arial" w:hAnsi="Arial"/>
          <w:sz w:val="20"/>
          <w:szCs w:val="20"/>
          <w:rtl w:val="0"/>
        </w:rPr>
        <w:t xml:space="preserve">, trans. by Frank Egleston Robbins (Cambridge, Mass. ;: Harvard University Press, 2001). 1.2.</w:t>
      </w:r>
    </w:p>
  </w:footnote>
  <w:footnote w:id="22">
    <w:p w:rsidR="00000000" w:rsidDel="00000000" w:rsidP="00000000" w:rsidRDefault="00000000" w:rsidRPr="00000000" w14:paraId="000000E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Introduction.</w:t>
      </w:r>
      <w:r w:rsidDel="00000000" w:rsidR="00000000" w:rsidRPr="00000000">
        <w:rPr>
          <w:rFonts w:ascii="Arial" w:cs="Arial" w:eastAsia="Arial" w:hAnsi="Arial"/>
          <w:sz w:val="20"/>
          <w:szCs w:val="20"/>
          <w:rtl w:val="0"/>
        </w:rPr>
        <w:t xml:space="preserve"> 2.15</w:t>
      </w:r>
    </w:p>
  </w:footnote>
  <w:footnote w:id="23">
    <w:p w:rsidR="00000000" w:rsidDel="00000000" w:rsidP="00000000" w:rsidRDefault="00000000" w:rsidRPr="00000000" w14:paraId="000000E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Tetrabiblos </w:t>
      </w:r>
      <w:r w:rsidDel="00000000" w:rsidR="00000000" w:rsidRPr="00000000">
        <w:rPr>
          <w:rFonts w:ascii="Arial" w:cs="Arial" w:eastAsia="Arial" w:hAnsi="Arial"/>
          <w:sz w:val="20"/>
          <w:szCs w:val="20"/>
          <w:rtl w:val="0"/>
        </w:rPr>
        <w:t xml:space="preserve">1.2.</w:t>
      </w:r>
    </w:p>
  </w:footnote>
  <w:footnote w:id="24">
    <w:p w:rsidR="00000000" w:rsidDel="00000000" w:rsidP="00000000" w:rsidRDefault="00000000" w:rsidRPr="00000000" w14:paraId="000000E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Nicholas Campion, 'Classical Greece:; Ascent to the Stars', in </w:t>
      </w:r>
      <w:r w:rsidDel="00000000" w:rsidR="00000000" w:rsidRPr="00000000">
        <w:rPr>
          <w:rFonts w:ascii="Arial" w:cs="Arial" w:eastAsia="Arial" w:hAnsi="Arial"/>
          <w:i w:val="1"/>
          <w:sz w:val="20"/>
          <w:szCs w:val="20"/>
          <w:rtl w:val="0"/>
        </w:rPr>
        <w:t xml:space="preserve">Astrology and Cosmology in the World's Religions</w:t>
      </w:r>
      <w:r w:rsidDel="00000000" w:rsidR="00000000" w:rsidRPr="00000000">
        <w:rPr>
          <w:rFonts w:ascii="Arial" w:cs="Arial" w:eastAsia="Arial" w:hAnsi="Arial"/>
          <w:sz w:val="20"/>
          <w:szCs w:val="20"/>
          <w:rtl w:val="0"/>
        </w:rPr>
        <w:t xml:space="preserve"> (NYU Press, 2012b), pp. 148-160</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&lt;http://www.jstor.org/stable/j.ctt9qg5q5.16&gt;. pg.153-4. </w:t>
      </w:r>
    </w:p>
  </w:footnote>
  <w:footnote w:id="25">
    <w:p w:rsidR="00000000" w:rsidDel="00000000" w:rsidP="00000000" w:rsidRDefault="00000000" w:rsidRPr="00000000" w14:paraId="000000E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Introduction </w:t>
      </w:r>
      <w:r w:rsidDel="00000000" w:rsidR="00000000" w:rsidRPr="00000000">
        <w:rPr>
          <w:rFonts w:ascii="Arial" w:cs="Arial" w:eastAsia="Arial" w:hAnsi="Arial"/>
          <w:sz w:val="20"/>
          <w:szCs w:val="20"/>
          <w:rtl w:val="0"/>
        </w:rPr>
        <w:t xml:space="preserve">5.13a-b.</w:t>
      </w:r>
    </w:p>
  </w:footnote>
  <w:footnote w:id="26">
    <w:p w:rsidR="00000000" w:rsidDel="00000000" w:rsidP="00000000" w:rsidRDefault="00000000" w:rsidRPr="00000000" w14:paraId="000000E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Yamamoto and Burnett, 'Introduction' pg 15.</w:t>
      </w:r>
    </w:p>
  </w:footnote>
  <w:footnote w:id="27">
    <w:p w:rsidR="00000000" w:rsidDel="00000000" w:rsidP="00000000" w:rsidRDefault="00000000" w:rsidRPr="00000000" w14:paraId="000000E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Introduction</w:t>
      </w:r>
      <w:r w:rsidDel="00000000" w:rsidR="00000000" w:rsidRPr="00000000">
        <w:rPr>
          <w:rFonts w:ascii="Arial" w:cs="Arial" w:eastAsia="Arial" w:hAnsi="Arial"/>
          <w:sz w:val="20"/>
          <w:szCs w:val="20"/>
          <w:rtl w:val="0"/>
        </w:rPr>
        <w:t xml:space="preserve"> 6.2b </w:t>
      </w:r>
    </w:p>
  </w:footnote>
  <w:footnote w:id="28">
    <w:p w:rsidR="00000000" w:rsidDel="00000000" w:rsidP="00000000" w:rsidRDefault="00000000" w:rsidRPr="00000000" w14:paraId="000000E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 </w:t>
      </w:r>
      <w:r w:rsidDel="00000000" w:rsidR="00000000" w:rsidRPr="00000000">
        <w:rPr>
          <w:rFonts w:ascii="Arial" w:cs="Arial" w:eastAsia="Arial" w:hAnsi="Arial"/>
          <w:sz w:val="20"/>
          <w:szCs w:val="20"/>
          <w:rtl w:val="0"/>
        </w:rPr>
        <w:t xml:space="preserve">6.4a. </w:t>
      </w:r>
    </w:p>
  </w:footnote>
  <w:footnote w:id="29">
    <w:p w:rsidR="00000000" w:rsidDel="00000000" w:rsidP="00000000" w:rsidRDefault="00000000" w:rsidRPr="00000000" w14:paraId="000000E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 Ibid. </w:t>
      </w:r>
      <w:r w:rsidDel="00000000" w:rsidR="00000000" w:rsidRPr="00000000">
        <w:rPr>
          <w:rFonts w:ascii="Arial" w:cs="Arial" w:eastAsia="Arial" w:hAnsi="Arial"/>
          <w:sz w:val="20"/>
          <w:szCs w:val="20"/>
          <w:rtl w:val="0"/>
        </w:rPr>
        <w:t xml:space="preserve">6.7a-b</w:t>
      </w:r>
    </w:p>
  </w:footnote>
  <w:footnote w:id="30">
    <w:p w:rsidR="00000000" w:rsidDel="00000000" w:rsidP="00000000" w:rsidRDefault="00000000" w:rsidRPr="00000000" w14:paraId="000000E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Tetrabiblos </w:t>
      </w:r>
      <w:r w:rsidDel="00000000" w:rsidR="00000000" w:rsidRPr="00000000">
        <w:rPr>
          <w:rFonts w:ascii="Arial" w:cs="Arial" w:eastAsia="Arial" w:hAnsi="Arial"/>
          <w:sz w:val="20"/>
          <w:szCs w:val="20"/>
          <w:rtl w:val="0"/>
        </w:rPr>
        <w:t xml:space="preserve">1.3. </w:t>
      </w:r>
    </w:p>
  </w:footnote>
  <w:footnote w:id="31">
    <w:p w:rsidR="00000000" w:rsidDel="00000000" w:rsidP="00000000" w:rsidRDefault="00000000" w:rsidRPr="00000000" w14:paraId="000000E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 </w:t>
      </w:r>
      <w:r w:rsidDel="00000000" w:rsidR="00000000" w:rsidRPr="00000000">
        <w:rPr>
          <w:rFonts w:ascii="Arial" w:cs="Arial" w:eastAsia="Arial" w:hAnsi="Arial"/>
          <w:sz w:val="20"/>
          <w:szCs w:val="20"/>
          <w:rtl w:val="0"/>
        </w:rPr>
        <w:t xml:space="preserve">1.3.</w:t>
      </w:r>
    </w:p>
  </w:footnote>
  <w:footnote w:id="32">
    <w:p w:rsidR="00000000" w:rsidDel="00000000" w:rsidP="00000000" w:rsidRDefault="00000000" w:rsidRPr="00000000" w14:paraId="000000EA">
      <w:pPr>
        <w:rPr>
          <w:rFonts w:ascii="Arial" w:cs="Arial" w:eastAsia="Arial" w:hAnsi="Arial"/>
          <w:sz w:val="18"/>
          <w:szCs w:val="18"/>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Yamamoto and Burnett, 'Introduction', pg. 4.</w:t>
      </w:r>
      <w:r w:rsidDel="00000000" w:rsidR="00000000" w:rsidRPr="00000000">
        <w:rPr>
          <w:rtl w:val="0"/>
        </w:rPr>
      </w:r>
    </w:p>
  </w:footnote>
  <w:footnote w:id="33">
    <w:p w:rsidR="00000000" w:rsidDel="00000000" w:rsidP="00000000" w:rsidRDefault="00000000" w:rsidRPr="00000000" w14:paraId="000000E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pg 3.</w:t>
      </w:r>
    </w:p>
  </w:footnote>
  <w:footnote w:id="34">
    <w:p w:rsidR="00000000" w:rsidDel="00000000" w:rsidP="00000000" w:rsidRDefault="00000000" w:rsidRPr="00000000" w14:paraId="000000E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Christopher Warnock and John Michael Greer, 'Introduction', in </w:t>
      </w:r>
      <w:r w:rsidDel="00000000" w:rsidR="00000000" w:rsidRPr="00000000">
        <w:rPr>
          <w:rFonts w:ascii="Arial" w:cs="Arial" w:eastAsia="Arial" w:hAnsi="Arial"/>
          <w:i w:val="1"/>
          <w:sz w:val="20"/>
          <w:szCs w:val="20"/>
          <w:rtl w:val="0"/>
        </w:rPr>
        <w:t xml:space="preserve">The Complete Picatrix: The Occult Classic of Astrological Magic Liber Atratus Edition</w:t>
      </w:r>
      <w:r w:rsidDel="00000000" w:rsidR="00000000" w:rsidRPr="00000000">
        <w:rPr>
          <w:rFonts w:ascii="Arial" w:cs="Arial" w:eastAsia="Arial" w:hAnsi="Arial"/>
          <w:sz w:val="20"/>
          <w:szCs w:val="20"/>
          <w:rtl w:val="0"/>
        </w:rPr>
        <w:t xml:space="preserve"> (Adocentyn Press, 2011). pg. 11.</w:t>
      </w:r>
    </w:p>
  </w:footnote>
  <w:footnote w:id="35">
    <w:p w:rsidR="00000000" w:rsidDel="00000000" w:rsidP="00000000" w:rsidRDefault="00000000" w:rsidRPr="00000000" w14:paraId="000000E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Peter J. Forshaw, 'From Occult Ekphrasis to Magical Art; Transforming Text into Talismanic Image in the Scriptorium of Alfonso X', in Bild Und Schrift Auf 'Magischen' Artefakten, ed. by Sarah Kiyanrad, Christoffer Theis and Laura Willer , 1 edn (De Gruyter, 2018), pp. 15-48, in JSTOR &lt;http://www.jstor.org.ezproxy.uwtsd.ac.uk/stable/j.ctvbkjz9n.5&gt;. Pg. 18-19.</w:t>
      </w:r>
    </w:p>
  </w:footnote>
  <w:footnote w:id="36">
    <w:p w:rsidR="00000000" w:rsidDel="00000000" w:rsidP="00000000" w:rsidRDefault="00000000" w:rsidRPr="00000000" w14:paraId="000000E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 </w:t>
      </w:r>
      <w:r w:rsidDel="00000000" w:rsidR="00000000" w:rsidRPr="00000000">
        <w:rPr>
          <w:rFonts w:ascii="Arial" w:cs="Arial" w:eastAsia="Arial" w:hAnsi="Arial"/>
          <w:sz w:val="20"/>
          <w:szCs w:val="20"/>
          <w:rtl w:val="0"/>
        </w:rPr>
        <w:t xml:space="preserve">pg. 18-19.</w:t>
      </w:r>
    </w:p>
  </w:footnote>
  <w:footnote w:id="37">
    <w:p w:rsidR="00000000" w:rsidDel="00000000" w:rsidP="00000000" w:rsidRDefault="00000000" w:rsidRPr="00000000" w14:paraId="000000E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 </w:t>
      </w:r>
      <w:r w:rsidDel="00000000" w:rsidR="00000000" w:rsidRPr="00000000">
        <w:rPr>
          <w:rFonts w:ascii="Arial" w:cs="Arial" w:eastAsia="Arial" w:hAnsi="Arial"/>
          <w:sz w:val="20"/>
          <w:szCs w:val="20"/>
          <w:rtl w:val="0"/>
        </w:rPr>
        <w:t xml:space="preserve">pg. 18.</w:t>
      </w:r>
    </w:p>
  </w:footnote>
  <w:footnote w:id="38">
    <w:p w:rsidR="00000000" w:rsidDel="00000000" w:rsidP="00000000" w:rsidRDefault="00000000" w:rsidRPr="00000000" w14:paraId="000000F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Warnock and Greer, 'Introduction', pg 12. </w:t>
      </w:r>
    </w:p>
  </w:footnote>
  <w:footnote w:id="39">
    <w:p w:rsidR="00000000" w:rsidDel="00000000" w:rsidP="00000000" w:rsidRDefault="00000000" w:rsidRPr="00000000" w14:paraId="000000F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Liana Saif, 'From Ġāyat Al-Ḥakīm to Šams Al-Maʿārif; Ways of Knowing and Paths of Power in Medieval Islam', </w:t>
      </w:r>
      <w:r w:rsidDel="00000000" w:rsidR="00000000" w:rsidRPr="00000000">
        <w:rPr>
          <w:rFonts w:ascii="Arial" w:cs="Arial" w:eastAsia="Arial" w:hAnsi="Arial"/>
          <w:i w:val="1"/>
          <w:sz w:val="20"/>
          <w:szCs w:val="20"/>
          <w:rtl w:val="0"/>
        </w:rPr>
        <w:t xml:space="preserve">Arabica, </w:t>
      </w:r>
      <w:r w:rsidDel="00000000" w:rsidR="00000000" w:rsidRPr="00000000">
        <w:rPr>
          <w:rFonts w:ascii="Arial" w:cs="Arial" w:eastAsia="Arial" w:hAnsi="Arial"/>
          <w:sz w:val="20"/>
          <w:szCs w:val="20"/>
          <w:rtl w:val="0"/>
        </w:rPr>
        <w:t xml:space="preserve">64 (2017), 297-345</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&lt;https://www-jstor-org.ezproxy.uwtsd.ac.uk/stable/26569036&gt;. pg. 312.</w:t>
      </w:r>
    </w:p>
  </w:footnote>
  <w:footnote w:id="40">
    <w:p w:rsidR="00000000" w:rsidDel="00000000" w:rsidP="00000000" w:rsidRDefault="00000000" w:rsidRPr="00000000" w14:paraId="000000F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Campion, Classical Greece, pg. 152.</w:t>
      </w:r>
    </w:p>
  </w:footnote>
  <w:footnote w:id="41">
    <w:p w:rsidR="00000000" w:rsidDel="00000000" w:rsidP="00000000" w:rsidRDefault="00000000" w:rsidRPr="00000000" w14:paraId="000000F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Warnock and Greer, 'Introduction' pg 12.</w:t>
      </w:r>
    </w:p>
  </w:footnote>
  <w:footnote w:id="42">
    <w:p w:rsidR="00000000" w:rsidDel="00000000" w:rsidP="00000000" w:rsidRDefault="00000000" w:rsidRPr="00000000" w14:paraId="000000F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Anon, </w:t>
      </w:r>
      <w:r w:rsidDel="00000000" w:rsidR="00000000" w:rsidRPr="00000000">
        <w:rPr>
          <w:rFonts w:ascii="Arial" w:cs="Arial" w:eastAsia="Arial" w:hAnsi="Arial"/>
          <w:i w:val="1"/>
          <w:sz w:val="20"/>
          <w:szCs w:val="20"/>
          <w:rtl w:val="0"/>
        </w:rPr>
        <w:t xml:space="preserve">The Complete Picatrix: The Occult Classic of Astrological Magic Liber Atratus Edition</w:t>
      </w:r>
      <w:r w:rsidDel="00000000" w:rsidR="00000000" w:rsidRPr="00000000">
        <w:rPr>
          <w:rFonts w:ascii="Arial" w:cs="Arial" w:eastAsia="Arial" w:hAnsi="Arial"/>
          <w:sz w:val="20"/>
          <w:szCs w:val="20"/>
          <w:rtl w:val="0"/>
        </w:rPr>
        <w:t xml:space="preserve">, trans. by John Michael Greer and Christopher Warnock (Adocentyn Press, 2011). Picatrix 1.7, pg 56. </w:t>
      </w:r>
    </w:p>
  </w:footnote>
  <w:footnote w:id="43">
    <w:p w:rsidR="00000000" w:rsidDel="00000000" w:rsidP="00000000" w:rsidRDefault="00000000" w:rsidRPr="00000000" w14:paraId="000000F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Willy Hartner, 'Notes on Picatrix', </w:t>
      </w:r>
      <w:r w:rsidDel="00000000" w:rsidR="00000000" w:rsidRPr="00000000">
        <w:rPr>
          <w:rFonts w:ascii="Arial" w:cs="Arial" w:eastAsia="Arial" w:hAnsi="Arial"/>
          <w:i w:val="1"/>
          <w:sz w:val="20"/>
          <w:szCs w:val="20"/>
          <w:rtl w:val="0"/>
        </w:rPr>
        <w:t xml:space="preserve">Isis, </w:t>
      </w:r>
      <w:r w:rsidDel="00000000" w:rsidR="00000000" w:rsidRPr="00000000">
        <w:rPr>
          <w:rFonts w:ascii="Arial" w:cs="Arial" w:eastAsia="Arial" w:hAnsi="Arial"/>
          <w:sz w:val="20"/>
          <w:szCs w:val="20"/>
          <w:rtl w:val="0"/>
        </w:rPr>
        <w:t xml:space="preserve">56 (1965), 438-451</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&lt;http://www.jstor.org.ezproxy.uwtsd.ac.uk/stable/228772&gt;. pg. 440.</w:t>
      </w:r>
    </w:p>
  </w:footnote>
  <w:footnote w:id="44">
    <w:p w:rsidR="00000000" w:rsidDel="00000000" w:rsidP="00000000" w:rsidRDefault="00000000" w:rsidRPr="00000000" w14:paraId="000000F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Warnock and Greer, 'Introduction' pg 12</w:t>
      </w:r>
    </w:p>
  </w:footnote>
  <w:footnote w:id="45">
    <w:p w:rsidR="00000000" w:rsidDel="00000000" w:rsidP="00000000" w:rsidRDefault="00000000" w:rsidRPr="00000000" w14:paraId="000000F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Campion, </w:t>
      </w:r>
      <w:r w:rsidDel="00000000" w:rsidR="00000000" w:rsidRPr="00000000">
        <w:rPr>
          <w:rFonts w:ascii="Arial" w:cs="Arial" w:eastAsia="Arial" w:hAnsi="Arial"/>
          <w:i w:val="1"/>
          <w:sz w:val="20"/>
          <w:szCs w:val="20"/>
          <w:rtl w:val="0"/>
        </w:rPr>
        <w:t xml:space="preserve">Islam</w:t>
      </w:r>
      <w:r w:rsidDel="00000000" w:rsidR="00000000" w:rsidRPr="00000000">
        <w:rPr>
          <w:rFonts w:ascii="Arial" w:cs="Arial" w:eastAsia="Arial" w:hAnsi="Arial"/>
          <w:sz w:val="20"/>
          <w:szCs w:val="20"/>
          <w:rtl w:val="0"/>
        </w:rPr>
        <w:t xml:space="preserve">, pg. 184.</w:t>
      </w:r>
    </w:p>
  </w:footnote>
  <w:footnote w:id="46">
    <w:p w:rsidR="00000000" w:rsidDel="00000000" w:rsidP="00000000" w:rsidRDefault="00000000" w:rsidRPr="00000000" w14:paraId="000000F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Campion, </w:t>
      </w:r>
      <w:r w:rsidDel="00000000" w:rsidR="00000000" w:rsidRPr="00000000">
        <w:rPr>
          <w:rFonts w:ascii="Arial" w:cs="Arial" w:eastAsia="Arial" w:hAnsi="Arial"/>
          <w:i w:val="1"/>
          <w:sz w:val="20"/>
          <w:szCs w:val="20"/>
          <w:rtl w:val="0"/>
        </w:rPr>
        <w:t xml:space="preserve">Islam</w:t>
      </w:r>
      <w:r w:rsidDel="00000000" w:rsidR="00000000" w:rsidRPr="00000000">
        <w:rPr>
          <w:rFonts w:ascii="Arial" w:cs="Arial" w:eastAsia="Arial" w:hAnsi="Arial"/>
          <w:sz w:val="20"/>
          <w:szCs w:val="20"/>
          <w:rtl w:val="0"/>
        </w:rPr>
        <w:t xml:space="preserve">, pg. 185.</w:t>
      </w:r>
    </w:p>
  </w:footnote>
  <w:footnote w:id="47">
    <w:p w:rsidR="00000000" w:rsidDel="00000000" w:rsidP="00000000" w:rsidRDefault="00000000" w:rsidRPr="00000000" w14:paraId="000000F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Picatrix</w:t>
      </w:r>
      <w:r w:rsidDel="00000000" w:rsidR="00000000" w:rsidRPr="00000000">
        <w:rPr>
          <w:rFonts w:ascii="Arial" w:cs="Arial" w:eastAsia="Arial" w:hAnsi="Arial"/>
          <w:sz w:val="20"/>
          <w:szCs w:val="20"/>
          <w:rtl w:val="0"/>
        </w:rPr>
        <w:t xml:space="preserve"> 2.6, Pg 85.</w:t>
      </w:r>
    </w:p>
  </w:footnote>
  <w:footnote w:id="48">
    <w:p w:rsidR="00000000" w:rsidDel="00000000" w:rsidP="00000000" w:rsidRDefault="00000000" w:rsidRPr="00000000" w14:paraId="000000F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Iamblichus, Clarke, Emma C., Dillon, John M., Hershbell,Jackson P.,, </w:t>
      </w:r>
      <w:r w:rsidDel="00000000" w:rsidR="00000000" w:rsidRPr="00000000">
        <w:rPr>
          <w:rFonts w:ascii="Arial" w:cs="Arial" w:eastAsia="Arial" w:hAnsi="Arial"/>
          <w:i w:val="1"/>
          <w:sz w:val="20"/>
          <w:szCs w:val="20"/>
          <w:rtl w:val="0"/>
        </w:rPr>
        <w:t xml:space="preserve">De Mysteriis</w:t>
      </w:r>
      <w:r w:rsidDel="00000000" w:rsidR="00000000" w:rsidRPr="00000000">
        <w:rPr>
          <w:rFonts w:ascii="Arial" w:cs="Arial" w:eastAsia="Arial" w:hAnsi="Arial"/>
          <w:sz w:val="20"/>
          <w:szCs w:val="20"/>
          <w:rtl w:val="0"/>
        </w:rPr>
        <w:t xml:space="preserve"> (Atlanta: Society of Biblical Literature, 2003)</w:t>
      </w:r>
      <w:r w:rsidDel="00000000" w:rsidR="00000000" w:rsidRPr="00000000">
        <w:rPr>
          <w:rFonts w:ascii="Arial" w:cs="Arial" w:eastAsia="Arial" w:hAnsi="Arial"/>
          <w:i w:val="1"/>
          <w:sz w:val="20"/>
          <w:szCs w:val="20"/>
          <w:rtl w:val="0"/>
        </w:rPr>
        <w:t xml:space="preserve">, in /</w:t>
      </w:r>
      <w:r w:rsidDel="00000000" w:rsidR="00000000" w:rsidRPr="00000000">
        <w:rPr>
          <w:rFonts w:ascii="Arial" w:cs="Arial" w:eastAsia="Arial" w:hAnsi="Arial"/>
          <w:i w:val="1"/>
          <w:sz w:val="20"/>
          <w:szCs w:val="20"/>
          <w:rtl w:val="0"/>
        </w:rPr>
        <w:t xml:space="preserve">z-wcorg</w:t>
      </w:r>
      <w:r w:rsidDel="00000000" w:rsidR="00000000" w:rsidRPr="00000000">
        <w:rPr>
          <w:rFonts w:ascii="Arial" w:cs="Arial" w:eastAsia="Arial" w:hAnsi="Arial"/>
          <w:i w:val="1"/>
          <w:sz w:val="20"/>
          <w:szCs w:val="20"/>
          <w:rtl w:val="0"/>
        </w:rPr>
        <w:t xml:space="preserve">/</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DM</w:t>
      </w:r>
      <w:r w:rsidDel="00000000" w:rsidR="00000000" w:rsidRPr="00000000">
        <w:rPr>
          <w:rFonts w:ascii="Arial" w:cs="Arial" w:eastAsia="Arial" w:hAnsi="Arial"/>
          <w:sz w:val="20"/>
          <w:szCs w:val="20"/>
          <w:rtl w:val="0"/>
        </w:rPr>
        <w:t xml:space="preserve"> V.18</w:t>
      </w:r>
    </w:p>
  </w:footnote>
  <w:footnote w:id="49">
    <w:p w:rsidR="00000000" w:rsidDel="00000000" w:rsidP="00000000" w:rsidRDefault="00000000" w:rsidRPr="00000000" w14:paraId="000000F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Picatrix</w:t>
      </w:r>
      <w:r w:rsidDel="00000000" w:rsidR="00000000" w:rsidRPr="00000000">
        <w:rPr>
          <w:rFonts w:ascii="Arial" w:cs="Arial" w:eastAsia="Arial" w:hAnsi="Arial"/>
          <w:sz w:val="20"/>
          <w:szCs w:val="20"/>
          <w:rtl w:val="0"/>
        </w:rPr>
        <w:t xml:space="preserve"> 2.9, pg 100.</w:t>
      </w:r>
    </w:p>
  </w:footnote>
  <w:footnote w:id="50">
    <w:p w:rsidR="00000000" w:rsidDel="00000000" w:rsidP="00000000" w:rsidRDefault="00000000" w:rsidRPr="00000000" w14:paraId="000000F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 Picatrix 1.5</w:t>
      </w:r>
      <w:r w:rsidDel="00000000" w:rsidR="00000000" w:rsidRPr="00000000">
        <w:rPr>
          <w:rFonts w:ascii="Arial" w:cs="Arial" w:eastAsia="Arial" w:hAnsi="Arial"/>
          <w:sz w:val="20"/>
          <w:szCs w:val="20"/>
          <w:rtl w:val="0"/>
        </w:rPr>
        <w:t xml:space="preserve">, pg 42. </w:t>
      </w:r>
    </w:p>
  </w:footnote>
  <w:footnote w:id="51">
    <w:p w:rsidR="00000000" w:rsidDel="00000000" w:rsidP="00000000" w:rsidRDefault="00000000" w:rsidRPr="00000000" w14:paraId="000000F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Picatrix</w:t>
      </w:r>
      <w:r w:rsidDel="00000000" w:rsidR="00000000" w:rsidRPr="00000000">
        <w:rPr>
          <w:rFonts w:ascii="Arial" w:cs="Arial" w:eastAsia="Arial" w:hAnsi="Arial"/>
          <w:sz w:val="20"/>
          <w:szCs w:val="20"/>
          <w:rtl w:val="0"/>
        </w:rPr>
        <w:t xml:space="preserve"> 1.5, pg 42.</w:t>
      </w:r>
    </w:p>
  </w:footnote>
  <w:footnote w:id="1">
    <w:p w:rsidR="00000000" w:rsidDel="00000000" w:rsidP="00000000" w:rsidRDefault="00000000" w:rsidRPr="00000000" w14:paraId="0000010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 Nicholas Campion, 'Astrology:; The Celestial Mirror', in </w:t>
      </w:r>
      <w:r w:rsidDel="00000000" w:rsidR="00000000" w:rsidRPr="00000000">
        <w:rPr>
          <w:rFonts w:ascii="Arial" w:cs="Arial" w:eastAsia="Arial" w:hAnsi="Arial"/>
          <w:i w:val="1"/>
          <w:sz w:val="20"/>
          <w:szCs w:val="20"/>
          <w:rtl w:val="0"/>
        </w:rPr>
        <w:t xml:space="preserve">Astrology and Cosmology in the World's Religions</w:t>
      </w:r>
      <w:r w:rsidDel="00000000" w:rsidR="00000000" w:rsidRPr="00000000">
        <w:rPr>
          <w:rFonts w:ascii="Arial" w:cs="Arial" w:eastAsia="Arial" w:hAnsi="Arial"/>
          <w:sz w:val="20"/>
          <w:szCs w:val="20"/>
          <w:rtl w:val="0"/>
        </w:rPr>
        <w:t xml:space="preserve"> (NYU Press, 2012a), pp. 11-23</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&lt;http://www.jstor.org/stable/j.ctt9qg5q5.5&gt;. pg. 11. </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E">
    <w:pPr>
      <w:jc w:val="right"/>
      <w:rPr>
        <w:sz w:val="22"/>
        <w:szCs w:val="22"/>
      </w:rPr>
    </w:pPr>
    <w:r w:rsidDel="00000000" w:rsidR="00000000" w:rsidRPr="00000000">
      <w:rPr>
        <w:sz w:val="22"/>
        <w:szCs w:val="22"/>
        <w:rtl w:val="0"/>
      </w:rPr>
      <w:t xml:space="preserve">India Sweeting- HPCA7031 - Essay 2</w:t>
    </w:r>
  </w:p>
  <w:p w:rsidR="00000000" w:rsidDel="00000000" w:rsidP="00000000" w:rsidRDefault="00000000" w:rsidRPr="00000000" w14:paraId="000000FF">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0">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2">
    <w:pPr>
      <w:rPr/>
    </w:pPr>
    <w:r w:rsidDel="00000000" w:rsidR="00000000" w:rsidRPr="00000000">
      <w:rPr>
        <w:rtl w:val="0"/>
      </w:rPr>
      <w:t xml:space="preserve">India Sweeting- HPCA7031 - Essay 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2.xml"/><Relationship Id="rId10" Type="http://schemas.openxmlformats.org/officeDocument/2006/relationships/footer" Target="footer1.xml"/><Relationship Id="rId12" Type="http://schemas.openxmlformats.org/officeDocument/2006/relationships/header" Target="header3.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