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rPr>
      </w:pPr>
      <w:r>
        <w:rPr>
          <w:rFonts w:hint="default"/>
        </w:rPr>
        <w:t>ADAD7016</w:t>
      </w:r>
    </w:p>
    <w:p>
      <w:pPr>
        <w:pStyle w:val="2"/>
        <w:jc w:val="center"/>
        <w:rPr>
          <w:rFonts w:hint="default" w:ascii="Times New Roman Bold" w:hAnsi="Times New Roman Bold" w:eastAsia="宋体" w:cs="Times New Roman Bold"/>
          <w:b/>
          <w:bCs/>
          <w:szCs w:val="21"/>
        </w:rPr>
      </w:pPr>
      <w:r>
        <w:rPr>
          <w:rFonts w:hint="default" w:ascii="Times New Roman Bold" w:hAnsi="Times New Roman Bold" w:eastAsia="宋体" w:cs="Times New Roman Bold"/>
          <w:b/>
          <w:bCs/>
          <w:szCs w:val="21"/>
        </w:rPr>
        <w:t>A mixed study on the influencing factors of new energy vehicle consumption in the elderly</w:t>
      </w:r>
    </w:p>
    <w:p>
      <w:pPr>
        <w:pStyle w:val="2"/>
        <w:jc w:val="left"/>
        <w:rPr>
          <w:rFonts w:hint="default" w:ascii="Times New Roman" w:hAnsi="Times New Roman" w:eastAsia="宋体"/>
          <w:szCs w:val="21"/>
        </w:rPr>
      </w:pPr>
      <w:r>
        <w:rPr>
          <w:rFonts w:hint="default" w:ascii="Times New Roman" w:hAnsi="Times New Roman" w:eastAsia="宋体"/>
          <w:szCs w:val="21"/>
        </w:rPr>
        <w:t>1</w:t>
      </w:r>
      <w:r>
        <w:rPr>
          <w:rFonts w:hint="eastAsia" w:ascii="Times New Roman" w:hAnsi="Times New Roman" w:eastAsia="宋体"/>
          <w:szCs w:val="21"/>
          <w:lang w:val="en-US" w:eastAsia="zh-Hans"/>
        </w:rPr>
        <w:t>.</w:t>
      </w:r>
      <w:r>
        <w:rPr>
          <w:rFonts w:hint="default" w:ascii="Times New Roman" w:hAnsi="Times New Roman" w:eastAsia="宋体"/>
          <w:szCs w:val="21"/>
        </w:rPr>
        <w:t>Introduction</w:t>
      </w:r>
    </w:p>
    <w:p>
      <w:pPr>
        <w:pStyle w:val="2"/>
        <w:ind w:left="0" w:leftChars="0" w:firstLine="418" w:firstLineChars="209"/>
        <w:jc w:val="left"/>
        <w:rPr>
          <w:rFonts w:hint="eastAsia" w:ascii="Times New Roman" w:hAnsi="Times New Roman" w:eastAsia="宋体"/>
          <w:szCs w:val="21"/>
        </w:rPr>
      </w:pPr>
      <w:r>
        <w:rPr>
          <w:rFonts w:hint="eastAsia" w:ascii="Times New Roman" w:hAnsi="Times New Roman" w:eastAsia="宋体"/>
          <w:szCs w:val="21"/>
        </w:rPr>
        <w:t>This study identifies and analyzes the factors that influence older consumers' willingness to consume new energy vehicles, and clarifies their main motivations and challenges when consuming new energy vehicles. Based on the combined TAM-TPB model, a series of suitable variables were introduced through the literature study method to construct a comprehensive analysis framework, sample data from 403 older adults aged 55 and above are collected through a questionnaire</w:t>
      </w:r>
      <w:r>
        <w:rPr>
          <w:rFonts w:hint="default" w:ascii="Times New Roman" w:hAnsi="Times New Roman" w:eastAsia="宋体"/>
          <w:szCs w:val="21"/>
        </w:rPr>
        <w:t xml:space="preserve"> reference to the various classical scales</w:t>
      </w:r>
      <w:r>
        <w:rPr>
          <w:rFonts w:hint="eastAsia" w:ascii="Times New Roman" w:hAnsi="Times New Roman" w:eastAsia="宋体"/>
          <w:szCs w:val="21"/>
        </w:rPr>
        <w:t>, and the sample data are analyzed using structural equation modeling.</w:t>
      </w:r>
    </w:p>
    <w:p>
      <w:pPr>
        <w:pStyle w:val="2"/>
        <w:jc w:val="left"/>
        <w:rPr>
          <w:rFonts w:hint="eastAsia" w:ascii="Times New Roman" w:hAnsi="Times New Roman" w:eastAsia="宋体"/>
          <w:szCs w:val="21"/>
          <w:lang w:val="en-US" w:eastAsia="zh-Hans"/>
        </w:rPr>
      </w:pPr>
      <w:r>
        <w:rPr>
          <w:rFonts w:hint="default" w:ascii="Times New Roman" w:hAnsi="Times New Roman" w:eastAsia="宋体"/>
          <w:szCs w:val="21"/>
        </w:rPr>
        <w:t>2</w:t>
      </w:r>
      <w:r>
        <w:rPr>
          <w:rFonts w:hint="eastAsia" w:ascii="Times New Roman" w:hAnsi="Times New Roman" w:eastAsia="宋体"/>
          <w:szCs w:val="21"/>
          <w:lang w:val="en-US" w:eastAsia="zh-Hans"/>
        </w:rPr>
        <w:t>.Qualitative study</w:t>
      </w:r>
    </w:p>
    <w:p>
      <w:pPr>
        <w:pStyle w:val="2"/>
        <w:jc w:val="left"/>
        <w:rPr>
          <w:rFonts w:hint="eastAsia" w:ascii="Times New Roman" w:hAnsi="Times New Roman" w:eastAsia="宋体"/>
          <w:szCs w:val="21"/>
          <w:lang w:val="en-US" w:eastAsia="zh-CN"/>
        </w:rPr>
      </w:pPr>
      <w:r>
        <w:rPr>
          <w:rFonts w:hint="eastAsia" w:ascii="Times New Roman" w:hAnsi="Times New Roman" w:eastAsia="宋体"/>
          <w:szCs w:val="21"/>
          <w:lang w:val="en-US" w:eastAsia="zh-CN"/>
        </w:rPr>
        <w:t>2.1 Select the variables</w:t>
      </w:r>
    </w:p>
    <w:p>
      <w:pPr>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2.1</w:t>
      </w:r>
      <w:r>
        <w:rPr>
          <w:rFonts w:hint="default" w:ascii="Times New Roman Regular" w:hAnsi="Times New Roman Regular" w:cs="Times New Roman Regular"/>
          <w:lang w:eastAsia="zh-CN"/>
        </w:rPr>
        <w:t>.1</w:t>
      </w:r>
      <w:r>
        <w:rPr>
          <w:rFonts w:hint="default" w:ascii="Times New Roman Regular" w:hAnsi="Times New Roman Regular" w:cs="Times New Roman Regular"/>
          <w:lang w:val="en-US" w:eastAsia="zh-CN"/>
        </w:rPr>
        <w:t xml:space="preserve"> Perceived usefulness</w:t>
      </w:r>
    </w:p>
    <w:p>
      <w:pPr>
        <w:rPr>
          <w:rFonts w:hint="default" w:ascii="Times New Roman Regular" w:hAnsi="Times New Roman Regular" w:cs="Times New Roman Regular"/>
          <w:lang w:eastAsia="zh-CN"/>
        </w:rPr>
      </w:pPr>
      <w:r>
        <w:rPr>
          <w:rFonts w:hint="default" w:ascii="Times New Roman Regular" w:hAnsi="Times New Roman Regular" w:cs="Times New Roman Regular"/>
          <w:lang w:val="en-US" w:eastAsia="zh-CN"/>
        </w:rPr>
        <w:t>This refers to the extent to which older people perceive the use of new energy vehicles as useful in terms of improving efficiency, saving costs, or fulfilling other personal needs. Several studies have shown that the usefulness of new energy vehicles and their instrumental characteristics have a direct impact on consumer acceptance. For example, the higher initial purchase price of EVs relative to conventional vehicles is often seen as a barrier to purchase, but their environmental friendliness and potential long-term cost savings are attractive to consumers.</w:t>
      </w: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REF _Ref7767 \r \h </w:instrText>
      </w:r>
      <w:r>
        <w:rPr>
          <w:rFonts w:hint="default" w:ascii="Times New Roman Regular" w:hAnsi="Times New Roman Regular" w:cs="Times New Roman Regular"/>
          <w:lang w:val="en-US" w:eastAsia="zh-CN"/>
        </w:rPr>
        <w:fldChar w:fldCharType="separate"/>
      </w:r>
      <w:r>
        <w:rPr>
          <w:rFonts w:hint="default" w:ascii="Times New Roman Regular" w:hAnsi="Times New Roman Regular" w:cs="Times New Roman Regular"/>
          <w:lang w:val="en-US" w:eastAsia="zh-CN"/>
        </w:rPr>
        <w:t>[1]</w:t>
      </w:r>
      <w:r>
        <w:rPr>
          <w:rFonts w:hint="default" w:ascii="Times New Roman Regular" w:hAnsi="Times New Roman Regular" w:cs="Times New Roman Regular"/>
          <w:lang w:val="en-US" w:eastAsia="zh-CN"/>
        </w:rPr>
        <w:fldChar w:fldCharType="end"/>
      </w:r>
      <w:r>
        <w:rPr>
          <w:rFonts w:hint="default" w:ascii="Times New Roman Regular" w:hAnsi="Times New Roman Regular" w:cs="Times New Roman Regular"/>
          <w:lang w:eastAsia="zh-CN"/>
        </w:rPr>
        <w:t>～</w:t>
      </w: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REF _Ref7826 \r \h </w:instrText>
      </w:r>
      <w:r>
        <w:rPr>
          <w:rFonts w:hint="default" w:ascii="Times New Roman Regular" w:hAnsi="Times New Roman Regular" w:cs="Times New Roman Regular"/>
          <w:lang w:val="en-US" w:eastAsia="zh-CN"/>
        </w:rPr>
        <w:fldChar w:fldCharType="separate"/>
      </w:r>
      <w:r>
        <w:rPr>
          <w:rFonts w:hint="default" w:ascii="Times New Roman Regular" w:hAnsi="Times New Roman Regular" w:cs="Times New Roman Regular"/>
          <w:lang w:val="en-US" w:eastAsia="zh-CN"/>
        </w:rPr>
        <w:t>[2]</w:t>
      </w:r>
      <w:r>
        <w:rPr>
          <w:rFonts w:hint="default" w:ascii="Times New Roman Regular" w:hAnsi="Times New Roman Regular" w:cs="Times New Roman Regular"/>
          <w:lang w:val="en-US" w:eastAsia="zh-CN"/>
        </w:rPr>
        <w:fldChar w:fldCharType="end"/>
      </w:r>
      <w:r>
        <w:rPr>
          <w:rFonts w:hint="default" w:ascii="Times New Roman Regular" w:hAnsi="Times New Roman Regular" w:cs="Times New Roman Regular"/>
          <w:lang w:val="en-US" w:eastAsia="zh-CN"/>
        </w:rPr>
        <w:t xml:space="preserve"> In addition, consumers are more likely to have behavioral intentions to consume when they believe that their purchase choices can help the environment. Thus, if older adults recognize the advantages of new energy vehicles in these areas, they are more likely to decide to consume them. </w:t>
      </w: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REF _Ref8633 \r \h </w:instrText>
      </w:r>
      <w:r>
        <w:rPr>
          <w:rFonts w:hint="default" w:ascii="Times New Roman Regular" w:hAnsi="Times New Roman Regular" w:cs="Times New Roman Regular"/>
          <w:lang w:val="en-US" w:eastAsia="zh-CN"/>
        </w:rPr>
        <w:fldChar w:fldCharType="separate"/>
      </w:r>
      <w:r>
        <w:rPr>
          <w:rFonts w:hint="default" w:ascii="Times New Roman Regular" w:hAnsi="Times New Roman Regular" w:cs="Times New Roman Regular"/>
          <w:lang w:val="en-US" w:eastAsia="zh-CN"/>
        </w:rPr>
        <w:t>[3]</w:t>
      </w:r>
      <w:r>
        <w:rPr>
          <w:rFonts w:hint="default" w:ascii="Times New Roman Regular" w:hAnsi="Times New Roman Regular" w:cs="Times New Roman Regular"/>
          <w:lang w:val="en-US" w:eastAsia="zh-CN"/>
        </w:rPr>
        <w:fldChar w:fldCharType="end"/>
      </w:r>
      <w:r>
        <w:rPr>
          <w:rFonts w:hint="default" w:ascii="Times New Roman Regular" w:hAnsi="Times New Roman Regular" w:cs="Times New Roman Regular"/>
          <w:lang w:val="en-US" w:eastAsia="zh-CN"/>
        </w:rPr>
        <w:t>The following hypotheses are proposed in this study</w:t>
      </w:r>
      <w:r>
        <w:rPr>
          <w:rFonts w:hint="default" w:ascii="Times New Roman Regular" w:hAnsi="Times New Roman Regular" w:cs="Times New Roman Regular"/>
          <w:lang w:eastAsia="zh-CN"/>
        </w:rPr>
        <w:t>.</w:t>
      </w:r>
    </w:p>
    <w:p>
      <w:pPr>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H1 Perceived usefulness has a positive effect on behavioral intention</w:t>
      </w:r>
    </w:p>
    <w:p>
      <w:pPr>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2.</w:t>
      </w:r>
      <w:r>
        <w:rPr>
          <w:rFonts w:hint="default" w:ascii="Times New Roman Regular" w:hAnsi="Times New Roman Regular" w:cs="Times New Roman Regular"/>
          <w:lang w:eastAsia="zh-CN"/>
        </w:rPr>
        <w:t>1.2</w:t>
      </w:r>
      <w:r>
        <w:rPr>
          <w:rFonts w:hint="default" w:ascii="Times New Roman Regular" w:hAnsi="Times New Roman Regular" w:cs="Times New Roman Regular"/>
          <w:lang w:val="en-US" w:eastAsia="zh-CN"/>
        </w:rPr>
        <w:t xml:space="preserve"> Perceived ease of use</w:t>
      </w:r>
    </w:p>
    <w:p>
      <w:pPr>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Perceived ease of use in this study refers to the extent to which older adults perceive the use of a new energy vehicle to be easy or effortless in terms of the experience of using it, which includes the ease of use of the vehicle's driving, range, and related technologies (e.g., battery charging, entertainment system). Advantages such as low noise levels, attractive and stylish interiors and exteriors, ease of operation, the ability to charge at home, and excellent digital entertainment and navigation features have been widely recognized by consumers of electric vehicles EVs</w:t>
      </w: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REF _Ref17035 \r \h </w:instrText>
      </w:r>
      <w:r>
        <w:rPr>
          <w:rFonts w:hint="default" w:ascii="Times New Roman Regular" w:hAnsi="Times New Roman Regular" w:cs="Times New Roman Regular"/>
          <w:lang w:val="en-US" w:eastAsia="zh-CN"/>
        </w:rPr>
        <w:fldChar w:fldCharType="separate"/>
      </w:r>
      <w:r>
        <w:rPr>
          <w:rFonts w:hint="default" w:ascii="Times New Roman Regular" w:hAnsi="Times New Roman Regular" w:cs="Times New Roman Regular"/>
          <w:lang w:val="en-US" w:eastAsia="zh-CN"/>
        </w:rPr>
        <w:t>[4]</w:t>
      </w:r>
      <w:r>
        <w:rPr>
          <w:rFonts w:hint="default" w:ascii="Times New Roman Regular" w:hAnsi="Times New Roman Regular" w:cs="Times New Roman Regular"/>
          <w:lang w:val="en-US" w:eastAsia="zh-CN"/>
        </w:rPr>
        <w:fldChar w:fldCharType="end"/>
      </w:r>
      <w:r>
        <w:rPr>
          <w:rFonts w:hint="default" w:ascii="Times New Roman Regular" w:hAnsi="Times New Roman Regular" w:cs="Times New Roman Regular"/>
          <w:lang w:val="en-US" w:eastAsia="zh-CN"/>
        </w:rPr>
        <w:t xml:space="preserve"> .However, performance drawbacks such as limited driving distance, lack of basic charging facilities, long charging time, erratic performance, and limited battery capacity have become major barriers to the widespread adoption of EVs </w:t>
      </w: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REF _Ref17143 \r \h </w:instrText>
      </w:r>
      <w:r>
        <w:rPr>
          <w:rFonts w:hint="default" w:ascii="Times New Roman Regular" w:hAnsi="Times New Roman Regular" w:cs="Times New Roman Regular"/>
          <w:lang w:val="en-US" w:eastAsia="zh-CN"/>
        </w:rPr>
        <w:fldChar w:fldCharType="separate"/>
      </w:r>
      <w:r>
        <w:rPr>
          <w:rFonts w:hint="default" w:ascii="Times New Roman Regular" w:hAnsi="Times New Roman Regular" w:cs="Times New Roman Regular"/>
          <w:lang w:val="en-US" w:eastAsia="zh-CN"/>
        </w:rPr>
        <w:t>[5]</w:t>
      </w:r>
      <w:r>
        <w:rPr>
          <w:rFonts w:hint="default" w:ascii="Times New Roman Regular" w:hAnsi="Times New Roman Regular" w:cs="Times New Roman Regular"/>
          <w:lang w:val="en-US" w:eastAsia="zh-CN"/>
        </w:rPr>
        <w:fldChar w:fldCharType="end"/>
      </w:r>
      <w:r>
        <w:rPr>
          <w:rFonts w:hint="default" w:ascii="Times New Roman Regular" w:hAnsi="Times New Roman Regular" w:cs="Times New Roman Regular"/>
          <w:lang w:val="en-US" w:eastAsia="zh-CN"/>
        </w:rPr>
        <w:t>. Therefore, high perceived ease of use has the potential to increase older adults' enthusiasm for new energy vehicles, and this study proposes the following hypotheses:</w:t>
      </w:r>
    </w:p>
    <w:p>
      <w:pPr>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H2a Perceived ease of use has a positive effect on perceived ease of use</w:t>
      </w:r>
    </w:p>
    <w:p>
      <w:pPr>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H2b Perceived ease of use has a positive effect on behavioral intention.</w:t>
      </w:r>
    </w:p>
    <w:p>
      <w:pPr>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H2c Perceived ease of use has a positive effect on perceived risk.</w:t>
      </w:r>
    </w:p>
    <w:p>
      <w:pPr>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2.</w:t>
      </w:r>
      <w:r>
        <w:rPr>
          <w:rFonts w:hint="default" w:ascii="Times New Roman Regular" w:hAnsi="Times New Roman Regular" w:cs="Times New Roman Regular"/>
          <w:lang w:eastAsia="zh-CN"/>
        </w:rPr>
        <w:t>1.</w:t>
      </w:r>
      <w:r>
        <w:rPr>
          <w:rFonts w:hint="default" w:ascii="Times New Roman Regular" w:hAnsi="Times New Roman Regular" w:cs="Times New Roman Regular"/>
          <w:lang w:val="en-US" w:eastAsia="zh-CN"/>
        </w:rPr>
        <w:t>3 Perceived risk</w:t>
      </w:r>
    </w:p>
    <w:p>
      <w:pPr>
        <w:rPr>
          <w:rFonts w:hint="default" w:ascii="Times New Roman Regular" w:hAnsi="Times New Roman Regular" w:cs="Times New Roman Regular"/>
          <w:lang w:eastAsia="zh-CN"/>
        </w:rPr>
      </w:pPr>
      <w:r>
        <w:rPr>
          <w:rFonts w:hint="default" w:ascii="Times New Roman Regular" w:hAnsi="Times New Roman Regular" w:cs="Times New Roman Regular"/>
          <w:lang w:val="en-US" w:eastAsia="zh-CN"/>
        </w:rPr>
        <w:t>Perceived risk is a multidimensional variable, and in previous studies perceived risk can include time risk, social risk, financial risk, performance risk, physical risk, psychological risk, convenience risk and so on</w:t>
      </w: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REF _Ref17388 \r \h </w:instrText>
      </w:r>
      <w:r>
        <w:rPr>
          <w:rFonts w:hint="default" w:ascii="Times New Roman Regular" w:hAnsi="Times New Roman Regular" w:cs="Times New Roman Regular"/>
          <w:lang w:val="en-US" w:eastAsia="zh-CN"/>
        </w:rPr>
        <w:fldChar w:fldCharType="separate"/>
      </w:r>
      <w:r>
        <w:rPr>
          <w:rFonts w:hint="default" w:ascii="Times New Roman Regular" w:hAnsi="Times New Roman Regular" w:cs="Times New Roman Regular"/>
          <w:lang w:val="en-US" w:eastAsia="zh-CN"/>
        </w:rPr>
        <w:t>[6]</w:t>
      </w:r>
      <w:r>
        <w:rPr>
          <w:rFonts w:hint="default" w:ascii="Times New Roman Regular" w:hAnsi="Times New Roman Regular" w:cs="Times New Roman Regular"/>
          <w:lang w:val="en-US" w:eastAsia="zh-CN"/>
        </w:rPr>
        <w:fldChar w:fldCharType="end"/>
      </w:r>
      <w:r>
        <w:rPr>
          <w:rFonts w:hint="default" w:ascii="Times New Roman Regular" w:hAnsi="Times New Roman Regular" w:cs="Times New Roman Regular"/>
          <w:lang w:val="en-US" w:eastAsia="zh-CN"/>
        </w:rPr>
        <w:t>. And depending on the attributes and characteristics of the product, the type of risk perceived by consumers will also vary. Consumer-perceived risks of electric vehicles can be categorized into five main groups: performance, physical, financial, time, and psychological risks. Among these, physical and performance risks are the main barriers to consumer acceptance of new energy vehicles</w:t>
      </w: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REF _Ref17469 \r \h </w:instrText>
      </w:r>
      <w:r>
        <w:rPr>
          <w:rFonts w:hint="default" w:ascii="Times New Roman Regular" w:hAnsi="Times New Roman Regular" w:cs="Times New Roman Regular"/>
          <w:lang w:val="en-US" w:eastAsia="zh-CN"/>
        </w:rPr>
        <w:fldChar w:fldCharType="separate"/>
      </w:r>
      <w:r>
        <w:rPr>
          <w:rFonts w:hint="default" w:ascii="Times New Roman Regular" w:hAnsi="Times New Roman Regular" w:cs="Times New Roman Regular"/>
          <w:lang w:val="en-US" w:eastAsia="zh-CN"/>
        </w:rPr>
        <w:t>[7]</w:t>
      </w:r>
      <w:r>
        <w:rPr>
          <w:rFonts w:hint="default" w:ascii="Times New Roman Regular" w:hAnsi="Times New Roman Regular" w:cs="Times New Roman Regular"/>
          <w:lang w:val="en-US" w:eastAsia="zh-CN"/>
        </w:rPr>
        <w:fldChar w:fldCharType="end"/>
      </w:r>
      <w:r>
        <w:rPr>
          <w:rFonts w:hint="default" w:ascii="Times New Roman Regular" w:hAnsi="Times New Roman Regular" w:cs="Times New Roman Regular"/>
          <w:lang w:val="en-US" w:eastAsia="zh-CN"/>
        </w:rPr>
        <w:t>. Research shows that consumers hold greater concerns about performance uncertainty and possible financial loss of new products, which leads them to be more cautious in adopting new technologies. Since new energy electric vehicles are relatively new compared to conventional vehicles, consumers' unfamiliarity with their performance and characteristics increases the perceived risk, which further affects their adoption intention. Therefore this study proposes the hypothesis:</w:t>
      </w:r>
    </w:p>
    <w:p>
      <w:pPr>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H3 Perceived risk has a negative effect on behavioral intention</w:t>
      </w:r>
    </w:p>
    <w:p>
      <w:pPr>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2.</w:t>
      </w:r>
      <w:r>
        <w:rPr>
          <w:rFonts w:hint="default" w:ascii="Times New Roman Regular" w:hAnsi="Times New Roman Regular" w:cs="Times New Roman Regular"/>
          <w:lang w:eastAsia="zh-CN"/>
        </w:rPr>
        <w:t>1.</w:t>
      </w:r>
      <w:r>
        <w:rPr>
          <w:rFonts w:hint="default" w:ascii="Times New Roman Regular" w:hAnsi="Times New Roman Regular" w:cs="Times New Roman Regular"/>
          <w:lang w:val="en-US" w:eastAsia="zh-CN"/>
        </w:rPr>
        <w:t>4 Environmental Awareness</w:t>
      </w:r>
    </w:p>
    <w:p>
      <w:pPr>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Environmental awareness encompasses a deep understanding of and concern for environmental issues, and this awareness becomes a key driver for people to shift from traditional habits to taking environmentally friendly actions</w:t>
      </w: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REF _Ref17570 \r \h </w:instrText>
      </w:r>
      <w:r>
        <w:rPr>
          <w:rFonts w:hint="default" w:ascii="Times New Roman Regular" w:hAnsi="Times New Roman Regular" w:cs="Times New Roman Regular"/>
          <w:lang w:val="en-US" w:eastAsia="zh-CN"/>
        </w:rPr>
        <w:fldChar w:fldCharType="separate"/>
      </w:r>
      <w:r>
        <w:rPr>
          <w:rFonts w:hint="default" w:ascii="Times New Roman Regular" w:hAnsi="Times New Roman Regular" w:cs="Times New Roman Regular"/>
          <w:lang w:val="en-US" w:eastAsia="zh-CN"/>
        </w:rPr>
        <w:t>[8]</w:t>
      </w:r>
      <w:r>
        <w:rPr>
          <w:rFonts w:hint="default" w:ascii="Times New Roman Regular" w:hAnsi="Times New Roman Regular" w:cs="Times New Roman Regular"/>
          <w:lang w:val="en-US" w:eastAsia="zh-CN"/>
        </w:rPr>
        <w:fldChar w:fldCharType="end"/>
      </w:r>
      <w:r>
        <w:rPr>
          <w:rFonts w:hint="default" w:ascii="Times New Roman Regular" w:hAnsi="Times New Roman Regular" w:cs="Times New Roman Regular"/>
          <w:lang w:val="en-US" w:eastAsia="zh-CN"/>
        </w:rPr>
        <w:t>. Consumers who are highly aware of energy saving and environmental protection have a deeper understanding of climate change and tend to choose green products and participate in environmental protection activities to reduce energy use more effectively</w:t>
      </w: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REF _Ref19866 \r \h </w:instrText>
      </w:r>
      <w:r>
        <w:rPr>
          <w:rFonts w:hint="default" w:ascii="Times New Roman Regular" w:hAnsi="Times New Roman Regular" w:cs="Times New Roman Regular"/>
          <w:lang w:val="en-US" w:eastAsia="zh-CN"/>
        </w:rPr>
        <w:fldChar w:fldCharType="separate"/>
      </w:r>
      <w:r>
        <w:rPr>
          <w:rFonts w:hint="default" w:ascii="Times New Roman Regular" w:hAnsi="Times New Roman Regular" w:cs="Times New Roman Regular"/>
          <w:lang w:val="en-US" w:eastAsia="zh-CN"/>
        </w:rPr>
        <w:t>[9]</w:t>
      </w:r>
      <w:r>
        <w:rPr>
          <w:rFonts w:hint="default" w:ascii="Times New Roman Regular" w:hAnsi="Times New Roman Regular" w:cs="Times New Roman Regular"/>
          <w:lang w:val="en-US" w:eastAsia="zh-CN"/>
        </w:rPr>
        <w:fldChar w:fldCharType="end"/>
      </w:r>
      <w:r>
        <w:rPr>
          <w:rFonts w:hint="default" w:ascii="Times New Roman Regular" w:hAnsi="Times New Roman Regular" w:cs="Times New Roman Regular"/>
          <w:lang w:val="en-US" w:eastAsia="zh-CN"/>
        </w:rPr>
        <w:t>. Electric vehicles offer environmental advantages over conventional vehicles, including reduced carbon emissions, increased energy security, and increased use of renewable and clean energy. Therefore, older adults with higher environmental awareness may prefer to purchase new energy vehicles. Based on this, this study proposes the following hypotheses:</w:t>
      </w:r>
    </w:p>
    <w:p>
      <w:pPr>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H4 Environmental awareness has a positive effect on perceived usefulness</w:t>
      </w:r>
    </w:p>
    <w:p>
      <w:pPr>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2.5 Policy support</w:t>
      </w:r>
    </w:p>
    <w:p>
      <w:pPr>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In previous studies, policy support generally includes a variety of incentives including financial incentive policy measures and non-financial incentive policies provided by governments. New energy vehicles are currently being vigorously promoted in several countries around the world, and a variety of incentive and subsidy programs have been developed. In order to encourage consumers to adopt new energy vehicles, the Chinese government has formulated and implemented a series of policies, including fiscal incentives such as direct subsidies for consumers purchasing electric vehicles, in addition to other fiscal incentives such as full exemption of purchase tax and value-added tax, and full exemption of road usage fees. Among the non-financial incentives, the exemption from purchase restrictions and traffic restrictions based on even and odd numbers, which are policy measures that cause a lot of inconvenience to the owners of ordinary fuel vehicles, as well as the right to drive on bus lanes to improve the travel efficiency of the owners, and the permission to have a dedicated parking space </w:t>
      </w: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REF _Ref20167 \r \h </w:instrText>
      </w:r>
      <w:r>
        <w:rPr>
          <w:rFonts w:hint="default" w:ascii="Times New Roman Regular" w:hAnsi="Times New Roman Regular" w:cs="Times New Roman Regular"/>
          <w:lang w:val="en-US" w:eastAsia="zh-CN"/>
        </w:rPr>
        <w:fldChar w:fldCharType="separate"/>
      </w:r>
      <w:r>
        <w:rPr>
          <w:rFonts w:hint="default" w:ascii="Times New Roman Regular" w:hAnsi="Times New Roman Regular" w:cs="Times New Roman Regular"/>
          <w:lang w:val="en-US" w:eastAsia="zh-CN"/>
        </w:rPr>
        <w:t>[10]</w:t>
      </w:r>
      <w:r>
        <w:rPr>
          <w:rFonts w:hint="default" w:ascii="Times New Roman Regular" w:hAnsi="Times New Roman Regular" w:cs="Times New Roman Regular"/>
          <w:lang w:val="en-US" w:eastAsia="zh-CN"/>
        </w:rPr>
        <w:fldChar w:fldCharType="end"/>
      </w:r>
      <w:r>
        <w:rPr>
          <w:rFonts w:hint="default" w:ascii="Times New Roman Regular" w:hAnsi="Times New Roman Regular" w:cs="Times New Roman Regular"/>
          <w:lang w:eastAsia="zh-CN"/>
        </w:rPr>
        <w:t>.</w:t>
      </w:r>
      <w:r>
        <w:rPr>
          <w:rFonts w:hint="default" w:ascii="Times New Roman Regular" w:hAnsi="Times New Roman Regular" w:cs="Times New Roman Regular"/>
          <w:lang w:val="en-US" w:eastAsia="zh-CN"/>
        </w:rPr>
        <w:t>therefore this study proposes the following hypothesis:</w:t>
      </w:r>
    </w:p>
    <w:p>
      <w:pPr>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H5 Policy support has a positive effect on behavioral intention</w:t>
      </w:r>
    </w:p>
    <w:p>
      <w:pPr>
        <w:rPr>
          <w:rFonts w:hint="default" w:ascii="Times New Roman Regular" w:hAnsi="Times New Roman Regular" w:cs="Times New Roman Regular"/>
          <w:lang w:eastAsia="zh-CN"/>
        </w:rPr>
      </w:pPr>
      <w:r>
        <w:rPr>
          <w:rFonts w:hint="default" w:ascii="Times New Roman Regular" w:hAnsi="Times New Roman Regular" w:cs="Times New Roman Regular"/>
          <w:lang w:eastAsia="zh-CN"/>
        </w:rPr>
        <w:t>2.6 Perceived costs</w:t>
      </w:r>
    </w:p>
    <w:p>
      <w:pPr>
        <w:rPr>
          <w:rFonts w:hint="default" w:ascii="Times New Roman Regular" w:hAnsi="Times New Roman Regular" w:cs="Times New Roman Regular"/>
          <w:lang w:eastAsia="zh-CN"/>
        </w:rPr>
      </w:pPr>
      <w:r>
        <w:rPr>
          <w:rFonts w:hint="default" w:ascii="Times New Roman Regular" w:hAnsi="Times New Roman Regular" w:cs="Times New Roman Regular"/>
          <w:lang w:eastAsia="zh-CN"/>
        </w:rPr>
        <w:t>Consumers make subjective evaluations of costs and benefits when purchasing products, and tend to purchase products that they believe will bring more benefits</w:t>
      </w: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REF _Ref20216 \r \h </w:instrText>
      </w:r>
      <w:r>
        <w:rPr>
          <w:rFonts w:hint="default" w:ascii="Times New Roman Regular" w:hAnsi="Times New Roman Regular" w:cs="Times New Roman Regular"/>
          <w:lang w:val="en-US" w:eastAsia="zh-CN"/>
        </w:rPr>
        <w:fldChar w:fldCharType="separate"/>
      </w:r>
      <w:r>
        <w:rPr>
          <w:rFonts w:hint="default" w:ascii="Times New Roman Regular" w:hAnsi="Times New Roman Regular" w:cs="Times New Roman Regular"/>
          <w:lang w:val="en-US" w:eastAsia="zh-CN"/>
        </w:rPr>
        <w:t>[11]</w:t>
      </w:r>
      <w:r>
        <w:rPr>
          <w:rFonts w:hint="default" w:ascii="Times New Roman Regular" w:hAnsi="Times New Roman Regular" w:cs="Times New Roman Regular"/>
          <w:lang w:val="en-US" w:eastAsia="zh-CN"/>
        </w:rPr>
        <w:fldChar w:fldCharType="end"/>
      </w:r>
      <w:r>
        <w:rPr>
          <w:rFonts w:hint="default" w:ascii="Times New Roman Regular" w:hAnsi="Times New Roman Regular" w:cs="Times New Roman Regular"/>
          <w:lang w:eastAsia="zh-CN"/>
        </w:rPr>
        <w:t>. The high price of EVs compared to traditional cars is a major barrier to purchase</w:t>
      </w: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REF _Ref20258 \r \h </w:instrText>
      </w:r>
      <w:r>
        <w:rPr>
          <w:rFonts w:hint="default" w:ascii="Times New Roman Regular" w:hAnsi="Times New Roman Regular" w:cs="Times New Roman Regular"/>
          <w:lang w:val="en-US" w:eastAsia="zh-CN"/>
        </w:rPr>
        <w:fldChar w:fldCharType="separate"/>
      </w:r>
      <w:r>
        <w:rPr>
          <w:rFonts w:hint="default" w:ascii="Times New Roman Regular" w:hAnsi="Times New Roman Regular" w:cs="Times New Roman Regular"/>
          <w:lang w:val="en-US" w:eastAsia="zh-CN"/>
        </w:rPr>
        <w:t>[12]</w:t>
      </w:r>
      <w:r>
        <w:rPr>
          <w:rFonts w:hint="default" w:ascii="Times New Roman Regular" w:hAnsi="Times New Roman Regular" w:cs="Times New Roman Regular"/>
          <w:lang w:val="en-US" w:eastAsia="zh-CN"/>
        </w:rPr>
        <w:fldChar w:fldCharType="end"/>
      </w:r>
      <w:r>
        <w:rPr>
          <w:rFonts w:hint="default" w:ascii="Times New Roman Regular" w:hAnsi="Times New Roman Regular" w:cs="Times New Roman Regular"/>
          <w:lang w:eastAsia="zh-CN"/>
        </w:rPr>
        <w:t>. In addition to the initial purchase cost, consumers are also concerned about the long-term warranty of new energy vehicles and maintenance costs such as battery replacement, which are important factors when they consider whether to purchase a new energy vehicle</w:t>
      </w: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REF _Ref23690 \r \h </w:instrText>
      </w:r>
      <w:r>
        <w:rPr>
          <w:rFonts w:hint="default" w:ascii="Times New Roman Regular" w:hAnsi="Times New Roman Regular" w:cs="Times New Roman Regular"/>
          <w:lang w:val="en-US" w:eastAsia="zh-CN"/>
        </w:rPr>
        <w:fldChar w:fldCharType="separate"/>
      </w:r>
      <w:r>
        <w:rPr>
          <w:rFonts w:hint="default" w:ascii="Times New Roman Regular" w:hAnsi="Times New Roman Regular" w:cs="Times New Roman Regular"/>
          <w:lang w:val="en-US" w:eastAsia="zh-CN"/>
        </w:rPr>
        <w:t>[13]</w:t>
      </w:r>
      <w:r>
        <w:rPr>
          <w:rFonts w:hint="default" w:ascii="Times New Roman Regular" w:hAnsi="Times New Roman Regular" w:cs="Times New Roman Regular"/>
          <w:lang w:val="en-US" w:eastAsia="zh-CN"/>
        </w:rPr>
        <w:fldChar w:fldCharType="end"/>
      </w:r>
      <w:r>
        <w:rPr>
          <w:rFonts w:hint="default" w:ascii="Times New Roman Regular" w:hAnsi="Times New Roman Regular" w:cs="Times New Roman Regular"/>
          <w:lang w:eastAsia="zh-CN"/>
        </w:rPr>
        <w:t>. For the elderly, if the perceived cost is too high, it may prevent them from purchasing new energy vehicles. Therefore this study proposes the following hypotheses</w:t>
      </w:r>
    </w:p>
    <w:p>
      <w:pPr>
        <w:rPr>
          <w:rFonts w:hint="default" w:ascii="Times New Roman Regular" w:hAnsi="Times New Roman Regular" w:cs="Times New Roman Regular"/>
          <w:lang w:eastAsia="zh-CN"/>
        </w:rPr>
      </w:pPr>
      <w:r>
        <w:rPr>
          <w:rFonts w:hint="default" w:ascii="Times New Roman Regular" w:hAnsi="Times New Roman Regular" w:cs="Times New Roman Regular"/>
          <w:lang w:eastAsia="zh-CN"/>
        </w:rPr>
        <w:t>H6 Perceived cost negatively affects behavioral intention</w:t>
      </w:r>
    </w:p>
    <w:p>
      <w:pPr>
        <w:rPr>
          <w:rFonts w:hint="default" w:ascii="Times New Roman Regular" w:hAnsi="Times New Roman Regular" w:cs="Times New Roman Regular"/>
          <w:lang w:eastAsia="zh-CN"/>
        </w:rPr>
      </w:pPr>
      <w:r>
        <w:rPr>
          <w:rFonts w:hint="default" w:ascii="Times New Roman Regular" w:hAnsi="Times New Roman Regular" w:cs="Times New Roman Regular"/>
          <w:lang w:eastAsia="zh-CN"/>
        </w:rPr>
        <w:t>2.7 Perceived Behavioral Control</w:t>
      </w:r>
    </w:p>
    <w:p>
      <w:pPr>
        <w:rPr>
          <w:rFonts w:hint="default" w:ascii="Times New Roman Regular" w:hAnsi="Times New Roman Regular" w:cs="Times New Roman Regular"/>
          <w:lang w:eastAsia="zh-CN"/>
        </w:rPr>
      </w:pPr>
      <w:r>
        <w:rPr>
          <w:rFonts w:hint="default" w:ascii="Times New Roman Regular" w:hAnsi="Times New Roman Regular" w:cs="Times New Roman Regular"/>
          <w:lang w:eastAsia="zh-CN"/>
        </w:rPr>
        <w:t>Perceived behavioral control occupies an important position in the study of the influencing factors of elderly people's consumption of new energy vehicles, mainly because it is directly related to the individual's perception of his or her behavioral ability, especially when facing new technology or new products. Economic feasibility is a key component of perceived behavioral control, which directly affects an individual's willingness to adopt a new technology product. Faced with the higher starting investment of a new energy vehicle, older consumers may feel worried, and such economic concerns can affect their purchase decisions. They are also likely to focus more on independence and freedom of choice during the decision-making process, preferring to make purchase decisions with full control. At the same time, brand loyalty and preference play an important role in older people's consideration of new technology products, and familiar brands can reduce their hesitation about new technologies and increase the likelihood of accepting new energy vehicles</w:t>
      </w: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REF _Ref23736 \r \h </w:instrText>
      </w:r>
      <w:r>
        <w:rPr>
          <w:rFonts w:hint="default" w:ascii="Times New Roman Regular" w:hAnsi="Times New Roman Regular" w:cs="Times New Roman Regular"/>
          <w:lang w:val="en-US" w:eastAsia="zh-CN"/>
        </w:rPr>
        <w:fldChar w:fldCharType="separate"/>
      </w:r>
      <w:r>
        <w:rPr>
          <w:rFonts w:hint="default" w:ascii="Times New Roman Regular" w:hAnsi="Times New Roman Regular" w:cs="Times New Roman Regular"/>
          <w:lang w:val="en-US" w:eastAsia="zh-CN"/>
        </w:rPr>
        <w:t>[14]</w:t>
      </w:r>
      <w:r>
        <w:rPr>
          <w:rFonts w:hint="default" w:ascii="Times New Roman Regular" w:hAnsi="Times New Roman Regular" w:cs="Times New Roman Regular"/>
          <w:lang w:val="en-US" w:eastAsia="zh-CN"/>
        </w:rPr>
        <w:fldChar w:fldCharType="end"/>
      </w:r>
      <w:r>
        <w:rPr>
          <w:rFonts w:hint="default" w:ascii="Times New Roman Regular" w:hAnsi="Times New Roman Regular" w:cs="Times New Roman Regular"/>
          <w:lang w:eastAsia="zh-CN"/>
        </w:rPr>
        <w:t>. Therefore, the following hypothesis is proposed:</w:t>
      </w:r>
    </w:p>
    <w:p>
      <w:pPr>
        <w:rPr>
          <w:rFonts w:hint="default" w:ascii="Times New Roman Regular" w:hAnsi="Times New Roman Regular" w:cs="Times New Roman Regular"/>
          <w:lang w:eastAsia="zh-CN"/>
        </w:rPr>
      </w:pPr>
      <w:r>
        <w:rPr>
          <w:rFonts w:hint="default" w:ascii="Times New Roman Regular" w:hAnsi="Times New Roman Regular" w:cs="Times New Roman Regular"/>
          <w:lang w:eastAsia="zh-CN"/>
        </w:rPr>
        <w:t>H7 Perceived behavioral control has a positive effect on behavioral intention</w:t>
      </w:r>
    </w:p>
    <w:p>
      <w:pPr>
        <w:rPr>
          <w:rFonts w:hint="default" w:ascii="Times New Roman Regular" w:hAnsi="Times New Roman Regular" w:cs="Times New Roman Regular"/>
          <w:lang w:eastAsia="zh-CN"/>
        </w:rPr>
      </w:pPr>
      <w:r>
        <w:rPr>
          <w:rFonts w:hint="default" w:ascii="Times New Roman Regular" w:hAnsi="Times New Roman Regular" w:cs="Times New Roman Regular"/>
          <w:lang w:eastAsia="zh-CN"/>
        </w:rPr>
        <w:t>2.8 Subjective Norms</w:t>
      </w:r>
    </w:p>
    <w:p>
      <w:pPr>
        <w:rPr>
          <w:rFonts w:hint="default" w:ascii="Times New Roman Regular" w:hAnsi="Times New Roman Regular" w:cs="Times New Roman Regular"/>
          <w:lang w:eastAsia="zh-CN"/>
        </w:rPr>
      </w:pPr>
      <w:r>
        <w:rPr>
          <w:rFonts w:hint="default" w:ascii="Times New Roman Regular" w:hAnsi="Times New Roman Regular" w:cs="Times New Roman Regular"/>
          <w:lang w:eastAsia="zh-CN"/>
        </w:rPr>
        <w:t>Subjective norms in this study reflect older adults' perceptions of social expectations, i.e., the actions they believe their friends and family expect them to take. While social norms and individual moral values are key to influencing household energy conservation behaviors, relationships with family, friends, and coworkers also have a significant effect on energy use habits. By choosing an environmentally friendly product such as an electric vehicle, consumers are likely to demonstrate a positive image of civic responsibility and community friendliness, thus finding satisfaction in the approval of others, further motivating their purchase</w:t>
      </w: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REF _Ref24183 \r \h </w:instrText>
      </w:r>
      <w:r>
        <w:rPr>
          <w:rFonts w:hint="default" w:ascii="Times New Roman Regular" w:hAnsi="Times New Roman Regular" w:cs="Times New Roman Regular"/>
          <w:lang w:val="en-US" w:eastAsia="zh-CN"/>
        </w:rPr>
        <w:fldChar w:fldCharType="separate"/>
      </w:r>
      <w:r>
        <w:rPr>
          <w:rFonts w:hint="default" w:ascii="Times New Roman Regular" w:hAnsi="Times New Roman Regular" w:cs="Times New Roman Regular"/>
          <w:lang w:val="en-US" w:eastAsia="zh-CN"/>
        </w:rPr>
        <w:t>[15]</w:t>
      </w:r>
      <w:r>
        <w:rPr>
          <w:rFonts w:hint="default" w:ascii="Times New Roman Regular" w:hAnsi="Times New Roman Regular" w:cs="Times New Roman Regular"/>
          <w:lang w:val="en-US" w:eastAsia="zh-CN"/>
        </w:rPr>
        <w:fldChar w:fldCharType="end"/>
      </w:r>
      <w:r>
        <w:rPr>
          <w:rFonts w:hint="default" w:ascii="Times New Roman Regular" w:hAnsi="Times New Roman Regular" w:cs="Times New Roman Regular"/>
          <w:lang w:eastAsia="zh-CN"/>
        </w:rPr>
        <w:t>. If older consumers feel that their social networks encourage the use of new energy vehicles, they may be more inclined to purchase. Therefore this study proposes the following hypothesis:</w:t>
      </w:r>
    </w:p>
    <w:p>
      <w:pPr>
        <w:rPr>
          <w:rFonts w:hint="default" w:ascii="Times New Roman Regular" w:hAnsi="Times New Roman Regular" w:cs="Times New Roman Regular"/>
          <w:lang w:eastAsia="zh-CN"/>
        </w:rPr>
      </w:pPr>
      <w:r>
        <w:rPr>
          <w:rFonts w:hint="default" w:ascii="Times New Roman Regular" w:hAnsi="Times New Roman Regular" w:cs="Times New Roman Regular"/>
          <w:lang w:eastAsia="zh-CN"/>
        </w:rPr>
        <w:t>H8 Subjective norms have a positive effect on behavioral intention</w:t>
      </w:r>
    </w:p>
    <w:p>
      <w:pPr>
        <w:rPr>
          <w:rFonts w:hint="default" w:eastAsia="宋体"/>
          <w:lang w:eastAsia="zh-Hans"/>
        </w:rPr>
      </w:pPr>
      <w:r>
        <w:rPr>
          <w:rFonts w:hint="default" w:ascii="Times New Roman" w:hAnsi="Times New Roman" w:eastAsia="宋体"/>
          <w:szCs w:val="21"/>
          <w:lang w:eastAsia="zh-CN"/>
        </w:rPr>
        <w:t>2</w:t>
      </w:r>
      <w:r>
        <w:rPr>
          <w:rFonts w:hint="eastAsia" w:ascii="Times New Roman" w:hAnsi="Times New Roman" w:eastAsia="宋体"/>
          <w:szCs w:val="21"/>
          <w:lang w:val="en-US" w:eastAsia="zh-Hans"/>
        </w:rPr>
        <w:t>.</w:t>
      </w:r>
      <w:r>
        <w:rPr>
          <w:rFonts w:hint="default" w:ascii="Times New Roman" w:hAnsi="Times New Roman" w:eastAsia="宋体"/>
          <w:szCs w:val="21"/>
          <w:lang w:eastAsia="zh-Hans"/>
        </w:rPr>
        <w:t xml:space="preserve">2 Questionnaire </w:t>
      </w:r>
      <w:r>
        <w:rPr>
          <w:rFonts w:hint="eastAsia" w:ascii="Times New Roman" w:hAnsi="Times New Roman" w:eastAsia="宋体"/>
          <w:szCs w:val="21"/>
          <w:lang w:val="en-US" w:eastAsia="zh-Hans"/>
        </w:rPr>
        <w:t>d</w:t>
      </w:r>
      <w:r>
        <w:rPr>
          <w:rFonts w:hint="default" w:ascii="Times New Roman" w:hAnsi="Times New Roman" w:eastAsia="宋体"/>
          <w:szCs w:val="21"/>
          <w:lang w:eastAsia="zh-Hans"/>
        </w:rPr>
        <w:t>esign</w:t>
      </w:r>
    </w:p>
    <w:p>
      <w:pPr>
        <w:pStyle w:val="2"/>
        <w:ind w:left="0" w:leftChars="0" w:firstLine="418" w:firstLineChars="209"/>
        <w:jc w:val="left"/>
        <w:rPr>
          <w:rFonts w:hint="eastAsia" w:ascii="Times New Roman" w:hAnsi="Times New Roman" w:eastAsia="宋体"/>
          <w:szCs w:val="21"/>
        </w:rPr>
      </w:pPr>
      <w:r>
        <w:rPr>
          <w:rFonts w:hint="eastAsia" w:ascii="Times New Roman" w:hAnsi="Times New Roman" w:eastAsia="宋体"/>
          <w:szCs w:val="21"/>
          <w:lang w:val="en-US" w:eastAsia="zh-CN"/>
        </w:rPr>
        <w:t>In this study, the questionnaire research was divided into two parts, the first questionnaire was a survey of the demographic characteristics of the sample, setting questions on age, gender, monthly income, education level, occupation, living status, marital status, ownership of a driver's license, living status, marital status, and knowledge of new energy vehicles. The second questionnaire is a psychometric scale for the elderly. Referring to the scale studies on the technology acceptance model and the theory of planned behavior in previous studies, this study designed the measurement questions of the research model according to the characteristics of the new energy vehicle market and the characteristics of the purchasing behavior of elderly consumers. The questionnaire was scored on a five-point Likert scale ranging from “strongly disagree” (1 point) to “strongly agree” (5 points). All questions were positively scored. The target population of this survey was Chinese nationals aged 55-70 years old.Wu et al. classified the public into three age groups, 35 years old as young people, 35-55 years old as middle-aged people, and 55 years old and above as old people, different age statuses represent different investor statuses, and at the same time, the maximum age for obtaining a driver's license in China is 70 years old, so the elderly people in this study were defined as Chinese citizens aged 55-70 years old</w:t>
      </w:r>
      <w:r>
        <w:rPr>
          <w:rFonts w:hint="eastAsia" w:ascii="Times New Roman" w:hAnsi="Times New Roman" w:eastAsia="宋体"/>
          <w:szCs w:val="21"/>
        </w:rPr>
        <w:t>。</w:t>
      </w:r>
    </w:p>
    <w:p>
      <w:pPr>
        <w:jc w:val="center"/>
        <w:rPr>
          <w:rFonts w:ascii="Times New Roman Regular" w:hAnsi="Times New Roman Regular" w:eastAsia="宋体" w:cs="Times New Roman Regular"/>
          <w:szCs w:val="21"/>
        </w:rPr>
      </w:pPr>
      <w:r>
        <w:rPr>
          <w:rFonts w:ascii="Times New Roman Regular" w:hAnsi="Times New Roman Regular" w:eastAsia="宋体" w:cs="Times New Roman Regular"/>
          <w:szCs w:val="21"/>
        </w:rPr>
        <w:t>Tab.1  Measurement table of factors influencing new energy vehicle consumption among the elderly</w:t>
      </w:r>
    </w:p>
    <w:tbl>
      <w:tblPr>
        <w:tblStyle w:val="4"/>
        <w:tblW w:w="4998" w:type="pct"/>
        <w:tblInd w:w="0" w:type="dxa"/>
        <w:tblLayout w:type="fixed"/>
        <w:tblCellMar>
          <w:top w:w="0" w:type="dxa"/>
          <w:left w:w="108" w:type="dxa"/>
          <w:bottom w:w="0" w:type="dxa"/>
          <w:right w:w="108" w:type="dxa"/>
        </w:tblCellMar>
      </w:tblPr>
      <w:tblGrid>
        <w:gridCol w:w="1814"/>
        <w:gridCol w:w="5495"/>
        <w:gridCol w:w="1210"/>
      </w:tblGrid>
      <w:tr>
        <w:trPr>
          <w:trHeight w:val="306" w:hRule="atLeast"/>
        </w:trPr>
        <w:tc>
          <w:tcPr>
            <w:tcW w:w="1064" w:type="pct"/>
            <w:tcBorders>
              <w:top w:val="single" w:color="000000" w:sz="12" w:space="0"/>
              <w:left w:val="nil"/>
              <w:bottom w:val="single" w:color="000000" w:sz="8"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Variable</w:t>
            </w:r>
          </w:p>
        </w:tc>
        <w:tc>
          <w:tcPr>
            <w:tcW w:w="3224" w:type="pct"/>
            <w:tcBorders>
              <w:top w:val="single" w:color="000000" w:sz="12" w:space="0"/>
              <w:left w:val="nil"/>
              <w:bottom w:val="single" w:color="000000" w:sz="8"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Measurement Item</w:t>
            </w:r>
          </w:p>
        </w:tc>
        <w:tc>
          <w:tcPr>
            <w:tcW w:w="710" w:type="pct"/>
            <w:tcBorders>
              <w:top w:val="single" w:color="000000" w:sz="12" w:space="0"/>
              <w:left w:val="nil"/>
              <w:bottom w:val="single" w:color="000000" w:sz="8"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Source</w:t>
            </w:r>
          </w:p>
        </w:tc>
      </w:tr>
      <w:tr>
        <w:trPr>
          <w:trHeight w:val="306" w:hRule="atLeast"/>
        </w:trPr>
        <w:tc>
          <w:tcPr>
            <w:tcW w:w="1064" w:type="pct"/>
            <w:vMerge w:val="restart"/>
            <w:tcBorders>
              <w:top w:val="nil"/>
              <w:left w:val="nil"/>
              <w:bottom w:val="single" w:color="000000" w:sz="4"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Perceived Cost</w:t>
            </w:r>
            <w:r>
              <w:rPr>
                <w:rFonts w:ascii="Times New Roman Regular" w:hAnsi="Times New Roman Regular" w:eastAsia="宋体" w:cs="Times New Roman Regular"/>
                <w:color w:val="000000"/>
                <w:kern w:val="0"/>
                <w:szCs w:val="21"/>
                <w:lang w:bidi="ar"/>
              </w:rPr>
              <w:t>（PC）</w:t>
            </w: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PC1. Do you think the purchase cost of new energy vehicles is high?</w:t>
            </w:r>
          </w:p>
        </w:tc>
        <w:tc>
          <w:tcPr>
            <w:tcW w:w="710" w:type="pct"/>
            <w:vMerge w:val="restart"/>
            <w:tcBorders>
              <w:top w:val="nil"/>
              <w:left w:val="nil"/>
              <w:bottom w:val="single" w:color="000000" w:sz="4"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 xml:space="preserve">Sovacool </w:t>
            </w:r>
            <w:r>
              <w:rPr>
                <w:rFonts w:hint="default" w:ascii="Times New Roman Regular" w:hAnsi="Times New Roman Regular" w:eastAsia="宋体" w:cs="Times New Roman Regular"/>
                <w:color w:val="000000"/>
                <w:kern w:val="0"/>
                <w:szCs w:val="21"/>
                <w:lang w:bidi="ar"/>
              </w:rPr>
              <w:t>et.</w:t>
            </w:r>
            <w:r>
              <w:rPr>
                <w:rFonts w:hint="default" w:ascii="Times New Roman Regular" w:hAnsi="Times New Roman Regular" w:eastAsia="宋体" w:cs="Times New Roman Regular"/>
                <w:color w:val="000000"/>
                <w:kern w:val="0"/>
                <w:szCs w:val="21"/>
                <w:vertAlign w:val="superscript"/>
                <w:lang w:val="en-US" w:bidi="ar"/>
              </w:rPr>
              <w:fldChar w:fldCharType="begin"/>
            </w:r>
            <w:r>
              <w:rPr>
                <w:rFonts w:hint="default" w:ascii="Times New Roman Regular" w:hAnsi="Times New Roman Regular" w:eastAsia="宋体" w:cs="Times New Roman Regular"/>
                <w:color w:val="000000"/>
                <w:kern w:val="0"/>
                <w:szCs w:val="21"/>
                <w:vertAlign w:val="superscript"/>
                <w:lang w:val="en-US" w:bidi="ar"/>
              </w:rPr>
              <w:instrText xml:space="preserve"> REF _Ref1721589867 \r \h </w:instrText>
            </w:r>
            <w:r>
              <w:rPr>
                <w:rFonts w:hint="default" w:ascii="Times New Roman Regular" w:hAnsi="Times New Roman Regular" w:eastAsia="宋体" w:cs="Times New Roman Regular"/>
                <w:color w:val="000000"/>
                <w:kern w:val="0"/>
                <w:szCs w:val="21"/>
                <w:vertAlign w:val="superscript"/>
                <w:lang w:val="en-US" w:bidi="ar"/>
              </w:rPr>
              <w:fldChar w:fldCharType="separate"/>
            </w:r>
            <w:r>
              <w:rPr>
                <w:rFonts w:hint="default" w:ascii="Times New Roman Regular" w:hAnsi="Times New Roman Regular" w:eastAsia="宋体" w:cs="Times New Roman Regular"/>
                <w:color w:val="000000"/>
                <w:kern w:val="0"/>
                <w:szCs w:val="21"/>
                <w:vertAlign w:val="superscript"/>
                <w:lang w:val="en-US" w:bidi="ar"/>
              </w:rPr>
              <w:t>[2]</w:t>
            </w:r>
            <w:r>
              <w:rPr>
                <w:rFonts w:hint="default" w:ascii="Times New Roman Regular" w:hAnsi="Times New Roman Regular" w:eastAsia="宋体" w:cs="Times New Roman Regular"/>
                <w:color w:val="000000"/>
                <w:kern w:val="0"/>
                <w:szCs w:val="21"/>
                <w:vertAlign w:val="superscript"/>
                <w:lang w:val="en-US" w:bidi="ar"/>
              </w:rPr>
              <w:fldChar w:fldCharType="end"/>
            </w: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PC2. Do you think the cost of maintenance (repair, cleaning, beauty care, etc.) of new energy vehicles is high?</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PC3. Do you think the cost of using (charging, etc.) new energy vehicles is high?</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c>
          <w:tcPr>
            <w:tcW w:w="3224" w:type="pct"/>
            <w:tcBorders>
              <w:top w:val="nil"/>
              <w:left w:val="nil"/>
              <w:bottom w:val="single" w:color="000000" w:sz="4" w:space="0"/>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PC4. Do you think the discounted price of second-hand new energy vehicles is high?</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restart"/>
            <w:tcBorders>
              <w:top w:val="nil"/>
              <w:left w:val="nil"/>
              <w:bottom w:val="single" w:color="000000" w:sz="4"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Perceived Behavioral Control</w:t>
            </w:r>
            <w:r>
              <w:rPr>
                <w:rFonts w:ascii="Times New Roman Regular" w:hAnsi="Times New Roman Regular" w:eastAsia="宋体" w:cs="Times New Roman Regular"/>
                <w:color w:val="000000"/>
                <w:kern w:val="0"/>
                <w:szCs w:val="21"/>
                <w:lang w:bidi="ar"/>
              </w:rPr>
              <w:t>（PBC）</w:t>
            </w: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PBC1. I can afford to buy a new energy vehicle if I want to.</w:t>
            </w:r>
          </w:p>
        </w:tc>
        <w:tc>
          <w:tcPr>
            <w:tcW w:w="710" w:type="pct"/>
            <w:vMerge w:val="restart"/>
            <w:tcBorders>
              <w:top w:val="nil"/>
              <w:left w:val="nil"/>
              <w:bottom w:val="single" w:color="000000" w:sz="4"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strike w:val="0"/>
                <w:color w:val="000000"/>
                <w:kern w:val="0"/>
                <w:szCs w:val="21"/>
                <w:lang w:bidi="ar"/>
              </w:rPr>
              <w:t>Pradeep</w:t>
            </w:r>
            <w:r>
              <w:rPr>
                <w:rFonts w:hint="default" w:ascii="Times New Roman Regular" w:hAnsi="Times New Roman Regular" w:eastAsia="宋体" w:cs="Times New Roman Regular"/>
                <w:strike w:val="0"/>
                <w:color w:val="000000"/>
                <w:kern w:val="0"/>
                <w:szCs w:val="21"/>
                <w:lang w:bidi="ar"/>
              </w:rPr>
              <w:t xml:space="preserve"> et.</w:t>
            </w:r>
            <w:r>
              <w:rPr>
                <w:rFonts w:hint="default" w:ascii="Times New Roman Regular" w:hAnsi="Times New Roman Regular" w:eastAsia="宋体" w:cs="Times New Roman Regular"/>
                <w:color w:val="000000"/>
                <w:kern w:val="0"/>
                <w:szCs w:val="21"/>
                <w:vertAlign w:val="superscript"/>
                <w:lang w:val="en-US" w:bidi="ar"/>
              </w:rPr>
              <w:fldChar w:fldCharType="begin"/>
            </w:r>
            <w:r>
              <w:rPr>
                <w:rFonts w:hint="default" w:ascii="Times New Roman Regular" w:hAnsi="Times New Roman Regular" w:eastAsia="宋体" w:cs="Times New Roman Regular"/>
                <w:color w:val="000000"/>
                <w:kern w:val="0"/>
                <w:szCs w:val="21"/>
                <w:vertAlign w:val="superscript"/>
                <w:lang w:val="en-US" w:bidi="ar"/>
              </w:rPr>
              <w:instrText xml:space="preserve"> REF _Ref948537722 \r \h </w:instrText>
            </w:r>
            <w:r>
              <w:rPr>
                <w:rFonts w:hint="default" w:ascii="Times New Roman Regular" w:hAnsi="Times New Roman Regular" w:eastAsia="宋体" w:cs="Times New Roman Regular"/>
                <w:color w:val="000000"/>
                <w:kern w:val="0"/>
                <w:szCs w:val="21"/>
                <w:vertAlign w:val="superscript"/>
                <w:lang w:val="en-US" w:bidi="ar"/>
              </w:rPr>
              <w:fldChar w:fldCharType="separate"/>
            </w:r>
            <w:r>
              <w:rPr>
                <w:rFonts w:hint="default" w:ascii="Times New Roman Regular" w:hAnsi="Times New Roman Regular" w:eastAsia="宋体" w:cs="Times New Roman Regular"/>
                <w:color w:val="000000"/>
                <w:kern w:val="0"/>
                <w:szCs w:val="21"/>
                <w:vertAlign w:val="superscript"/>
                <w:lang w:val="en-US" w:bidi="ar"/>
              </w:rPr>
              <w:t>[38]</w:t>
            </w:r>
            <w:r>
              <w:rPr>
                <w:rFonts w:hint="default" w:ascii="Times New Roman Regular" w:hAnsi="Times New Roman Regular" w:eastAsia="宋体" w:cs="Times New Roman Regular"/>
                <w:color w:val="000000"/>
                <w:kern w:val="0"/>
                <w:szCs w:val="21"/>
                <w:vertAlign w:val="superscript"/>
                <w:lang w:val="en-US" w:bidi="ar"/>
              </w:rPr>
              <w:fldChar w:fldCharType="end"/>
            </w: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PBC2. The decision to buy a new energy vehicle is entirely up to me.</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c>
          <w:tcPr>
            <w:tcW w:w="3224" w:type="pct"/>
            <w:tcBorders>
              <w:top w:val="nil"/>
              <w:left w:val="nil"/>
              <w:bottom w:val="single" w:color="000000" w:sz="4" w:space="0"/>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PBC3. I would consider buying a new energy vehicle if it was produced by my favorite company.</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restart"/>
            <w:tcBorders>
              <w:top w:val="nil"/>
              <w:left w:val="nil"/>
              <w:bottom w:val="single" w:color="000000" w:sz="4"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Subjective Norms</w:t>
            </w:r>
            <w:r>
              <w:rPr>
                <w:rFonts w:ascii="Times New Roman Regular" w:hAnsi="Times New Roman Regular" w:eastAsia="宋体" w:cs="Times New Roman Regular"/>
                <w:color w:val="000000"/>
                <w:kern w:val="0"/>
                <w:szCs w:val="21"/>
                <w:lang w:bidi="ar"/>
              </w:rPr>
              <w:t>（SN</w:t>
            </w:r>
            <w:r>
              <w:rPr>
                <w:rFonts w:ascii="Times New Roman Bold" w:hAnsi="Times New Roman Bold" w:eastAsia="宋体" w:cs="Times New Roman Bold"/>
                <w:color w:val="000000"/>
                <w:kern w:val="0"/>
                <w:szCs w:val="21"/>
                <w:lang w:bidi="ar"/>
              </w:rPr>
              <w:t>）</w:t>
            </w: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SN1. most people who are important to me (family, friends, coworkers, etc.) would agree that I should own a new energy vehicle</w:t>
            </w:r>
          </w:p>
        </w:tc>
        <w:tc>
          <w:tcPr>
            <w:tcW w:w="710" w:type="pct"/>
            <w:vMerge w:val="restart"/>
            <w:tcBorders>
              <w:top w:val="nil"/>
              <w:left w:val="nil"/>
              <w:bottom w:val="single" w:color="000000" w:sz="4"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strike w:val="0"/>
                <w:color w:val="000000"/>
                <w:kern w:val="0"/>
                <w:szCs w:val="21"/>
                <w:lang w:bidi="ar"/>
              </w:rPr>
              <w:t>Schmalfuß</w:t>
            </w:r>
            <w:r>
              <w:rPr>
                <w:rFonts w:hint="default" w:ascii="Times New Roman Regular" w:hAnsi="Times New Roman Regular" w:eastAsia="宋体" w:cs="Times New Roman Regular"/>
                <w:color w:val="000000"/>
                <w:kern w:val="0"/>
                <w:szCs w:val="21"/>
                <w:lang w:bidi="ar"/>
              </w:rPr>
              <w:t>et.</w:t>
            </w:r>
            <w:r>
              <w:rPr>
                <w:rFonts w:hint="default" w:ascii="Times New Roman Regular" w:hAnsi="Times New Roman Regular" w:eastAsia="宋体" w:cs="Times New Roman Regular"/>
                <w:color w:val="000000"/>
                <w:kern w:val="0"/>
                <w:szCs w:val="21"/>
                <w:vertAlign w:val="superscript"/>
                <w:lang w:val="en-US" w:bidi="ar"/>
              </w:rPr>
              <w:fldChar w:fldCharType="begin"/>
            </w:r>
            <w:r>
              <w:rPr>
                <w:rFonts w:hint="default" w:ascii="Times New Roman Regular" w:hAnsi="Times New Roman Regular" w:eastAsia="宋体" w:cs="Times New Roman Regular"/>
                <w:color w:val="000000"/>
                <w:kern w:val="0"/>
                <w:szCs w:val="21"/>
                <w:vertAlign w:val="superscript"/>
                <w:lang w:val="en-US" w:bidi="ar"/>
              </w:rPr>
              <w:instrText xml:space="preserve"> REF _Ref948336038 \r \h </w:instrText>
            </w:r>
            <w:r>
              <w:rPr>
                <w:rFonts w:hint="default" w:ascii="Times New Roman Regular" w:hAnsi="Times New Roman Regular" w:eastAsia="宋体" w:cs="Times New Roman Regular"/>
                <w:color w:val="000000"/>
                <w:kern w:val="0"/>
                <w:szCs w:val="21"/>
                <w:vertAlign w:val="superscript"/>
                <w:lang w:val="en-US" w:bidi="ar"/>
              </w:rPr>
              <w:fldChar w:fldCharType="separate"/>
            </w:r>
            <w:r>
              <w:rPr>
                <w:rFonts w:hint="default" w:ascii="Times New Roman Regular" w:hAnsi="Times New Roman Regular" w:eastAsia="宋体" w:cs="Times New Roman Regular"/>
                <w:color w:val="000000"/>
                <w:kern w:val="0"/>
                <w:szCs w:val="21"/>
                <w:vertAlign w:val="superscript"/>
                <w:lang w:val="en-US" w:bidi="ar"/>
              </w:rPr>
              <w:t>[39]</w:t>
            </w:r>
            <w:r>
              <w:rPr>
                <w:rFonts w:hint="default" w:ascii="Times New Roman Regular" w:hAnsi="Times New Roman Regular" w:eastAsia="宋体" w:cs="Times New Roman Regular"/>
                <w:color w:val="000000"/>
                <w:kern w:val="0"/>
                <w:szCs w:val="21"/>
                <w:vertAlign w:val="superscript"/>
                <w:lang w:val="en-US" w:bidi="ar"/>
              </w:rPr>
              <w:fldChar w:fldCharType="end"/>
            </w: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SN2. most people who are important to me (relatives friends coworkers etc.) would like to own a new energy vehicle themselves</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c>
          <w:tcPr>
            <w:tcW w:w="3224" w:type="pct"/>
            <w:tcBorders>
              <w:top w:val="nil"/>
              <w:left w:val="nil"/>
              <w:bottom w:val="single" w:color="000000" w:sz="4" w:space="0"/>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SN3. many people similar to me are likely to drive new energy vehicles</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restart"/>
            <w:tcBorders>
              <w:top w:val="nil"/>
              <w:left w:val="nil"/>
              <w:bottom w:val="single" w:color="000000" w:sz="4"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Behavioral Imagery</w:t>
            </w:r>
            <w:r>
              <w:rPr>
                <w:rFonts w:ascii="Times New Roman Regular" w:hAnsi="Times New Roman Regular" w:eastAsia="宋体" w:cs="Times New Roman Regular"/>
                <w:color w:val="000000"/>
                <w:kern w:val="0"/>
                <w:szCs w:val="21"/>
                <w:lang w:bidi="ar"/>
              </w:rPr>
              <w:t>（BI）</w:t>
            </w: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BI1. I would like to buy a new energy vehicle in the near future.</w:t>
            </w:r>
          </w:p>
        </w:tc>
        <w:tc>
          <w:tcPr>
            <w:tcW w:w="710" w:type="pct"/>
            <w:vMerge w:val="restart"/>
            <w:tcBorders>
              <w:top w:val="nil"/>
              <w:left w:val="nil"/>
              <w:bottom w:val="single" w:color="000000" w:sz="4"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Davids</w:t>
            </w:r>
            <w:r>
              <w:rPr>
                <w:rFonts w:hint="default" w:ascii="Times New Roman Regular" w:hAnsi="Times New Roman Regular" w:eastAsia="宋体" w:cs="Times New Roman Regular"/>
                <w:color w:val="000000"/>
                <w:kern w:val="0"/>
                <w:szCs w:val="21"/>
                <w:lang w:eastAsia="zh-Hans" w:bidi="ar"/>
              </w:rPr>
              <w:t xml:space="preserve"> et.</w:t>
            </w:r>
            <w:r>
              <w:rPr>
                <w:rFonts w:hint="default" w:ascii="Times New Roman Regular" w:hAnsi="Times New Roman Regular" w:eastAsia="宋体" w:cs="Times New Roman Regular"/>
                <w:color w:val="000000"/>
                <w:kern w:val="0"/>
                <w:szCs w:val="21"/>
                <w:vertAlign w:val="superscript"/>
                <w:lang w:val="en-US" w:bidi="ar"/>
              </w:rPr>
              <w:fldChar w:fldCharType="begin"/>
            </w:r>
            <w:r>
              <w:rPr>
                <w:rFonts w:hint="default" w:ascii="Times New Roman Regular" w:hAnsi="Times New Roman Regular" w:eastAsia="宋体" w:cs="Times New Roman Regular"/>
                <w:color w:val="000000"/>
                <w:kern w:val="0"/>
                <w:szCs w:val="21"/>
                <w:vertAlign w:val="superscript"/>
                <w:lang w:val="en-US" w:bidi="ar"/>
              </w:rPr>
              <w:instrText xml:space="preserve"> REF _Ref16104 \r \h </w:instrText>
            </w:r>
            <w:r>
              <w:rPr>
                <w:rFonts w:hint="default" w:ascii="Times New Roman Regular" w:hAnsi="Times New Roman Regular" w:eastAsia="宋体" w:cs="Times New Roman Regular"/>
                <w:color w:val="000000"/>
                <w:kern w:val="0"/>
                <w:szCs w:val="21"/>
                <w:vertAlign w:val="superscript"/>
                <w:lang w:val="en-US" w:bidi="ar"/>
              </w:rPr>
              <w:fldChar w:fldCharType="separate"/>
            </w:r>
            <w:r>
              <w:rPr>
                <w:rFonts w:hint="default" w:ascii="Times New Roman Regular" w:hAnsi="Times New Roman Regular" w:eastAsia="宋体" w:cs="Times New Roman Regular"/>
                <w:color w:val="000000"/>
                <w:kern w:val="0"/>
                <w:szCs w:val="21"/>
                <w:vertAlign w:val="superscript"/>
                <w:lang w:val="en-US" w:bidi="ar"/>
              </w:rPr>
              <w:t>[4]</w:t>
            </w:r>
            <w:r>
              <w:rPr>
                <w:rFonts w:hint="default" w:ascii="Times New Roman Regular" w:hAnsi="Times New Roman Regular" w:eastAsia="宋体" w:cs="Times New Roman Regular"/>
                <w:color w:val="000000"/>
                <w:kern w:val="0"/>
                <w:szCs w:val="21"/>
                <w:vertAlign w:val="superscript"/>
                <w:lang w:val="en-US" w:bidi="ar"/>
              </w:rPr>
              <w:fldChar w:fldCharType="end"/>
            </w: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rPr>
                <w:rFonts w:ascii="Times New Roman Regular" w:hAnsi="Times New Roman Regular" w:eastAsia="宋体" w:cs="Times New Roman Regular"/>
                <w:color w:val="000000"/>
                <w:szCs w:val="21"/>
              </w:rPr>
            </w:pP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BI2. I would like to use a new energy vehicle if I buy one.</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rPr>
                <w:rFonts w:ascii="Times New Roman Regular" w:hAnsi="Times New Roman Regular" w:eastAsia="宋体" w:cs="Times New Roman Regular"/>
                <w:color w:val="000000"/>
                <w:szCs w:val="21"/>
              </w:rPr>
            </w:pP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BI3. If I buy a new energy vehicle, I would like to use it more often.</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rPr>
                <w:rFonts w:ascii="Times New Roman Regular" w:hAnsi="Times New Roman Regular" w:eastAsia="宋体" w:cs="Times New Roman Regular"/>
                <w:color w:val="000000"/>
                <w:szCs w:val="21"/>
              </w:rPr>
            </w:pPr>
          </w:p>
        </w:tc>
        <w:tc>
          <w:tcPr>
            <w:tcW w:w="3224" w:type="pct"/>
            <w:tcBorders>
              <w:top w:val="nil"/>
              <w:left w:val="nil"/>
              <w:bottom w:val="single" w:color="000000" w:sz="4" w:space="0"/>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BI4. If I buy a new energy vehicle, I would recommend it to others.</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restart"/>
            <w:tcBorders>
              <w:top w:val="nil"/>
              <w:left w:val="nil"/>
              <w:bottom w:val="single" w:color="000000" w:sz="4" w:space="0"/>
              <w:right w:val="nil"/>
            </w:tcBorders>
            <w:shd w:val="clear" w:color="auto" w:fill="FFFFFF"/>
            <w:noWrap w:val="0"/>
            <w:vAlign w:val="center"/>
          </w:tcPr>
          <w:p>
            <w:pPr>
              <w:widowControl/>
              <w:jc w:val="center"/>
              <w:textAlignment w:val="center"/>
              <w:rPr>
                <w:rFonts w:hint="eastAsia" w:ascii="Times New Roman Regular" w:hAnsi="Times New Roman Regular" w:eastAsia="宋体" w:cs="Times New Roman Regular"/>
                <w:color w:val="000000"/>
                <w:kern w:val="0"/>
                <w:szCs w:val="21"/>
                <w:lang w:bidi="ar"/>
              </w:rPr>
            </w:pPr>
          </w:p>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Policy Support</w:t>
            </w:r>
            <w:r>
              <w:rPr>
                <w:rFonts w:ascii="Times New Roman Regular" w:hAnsi="Times New Roman Regular" w:eastAsia="宋体" w:cs="Times New Roman Regular"/>
                <w:color w:val="000000"/>
                <w:kern w:val="0"/>
                <w:szCs w:val="21"/>
                <w:lang w:bidi="ar"/>
              </w:rPr>
              <w:t>（P）</w:t>
            </w: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P1. Direct government financial subsidies can attract me to buy a new energy vehicle.</w:t>
            </w:r>
          </w:p>
        </w:tc>
        <w:tc>
          <w:tcPr>
            <w:tcW w:w="710" w:type="pct"/>
            <w:vMerge w:val="restart"/>
            <w:tcBorders>
              <w:top w:val="nil"/>
              <w:left w:val="nil"/>
              <w:bottom w:val="single" w:color="000000" w:sz="4"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kern w:val="0"/>
                <w:szCs w:val="21"/>
                <w:lang w:bidi="ar"/>
              </w:rPr>
            </w:pPr>
            <w:r>
              <w:rPr>
                <w:rFonts w:ascii="Times New Roman Regular" w:hAnsi="Times New Roman Regular" w:eastAsia="宋体" w:cs="Times New Roman Regular"/>
                <w:color w:val="000000"/>
                <w:kern w:val="0"/>
                <w:szCs w:val="21"/>
                <w:lang w:bidi="ar"/>
              </w:rPr>
              <w:t>Wang</w:t>
            </w:r>
          </w:p>
          <w:p>
            <w:pPr>
              <w:widowControl/>
              <w:jc w:val="center"/>
              <w:textAlignment w:val="center"/>
              <w:rPr>
                <w:rFonts w:ascii="Times New Roman Regular" w:hAnsi="Times New Roman Regular" w:eastAsia="宋体" w:cs="Times New Roman Regular"/>
                <w:color w:val="000000"/>
                <w:szCs w:val="21"/>
              </w:rPr>
            </w:pPr>
            <w:r>
              <w:rPr>
                <w:rFonts w:hint="default" w:ascii="Times New Roman Regular" w:hAnsi="Times New Roman Regular" w:eastAsia="宋体" w:cs="Times New Roman Regular"/>
                <w:color w:val="000000"/>
                <w:kern w:val="0"/>
                <w:szCs w:val="21"/>
                <w:lang w:bidi="ar"/>
              </w:rPr>
              <w:t>et.</w:t>
            </w:r>
            <w:r>
              <w:rPr>
                <w:rFonts w:hint="default" w:ascii="Times New Roman Regular" w:hAnsi="Times New Roman Regular" w:eastAsia="宋体" w:cs="Times New Roman Regular"/>
                <w:color w:val="000000"/>
                <w:kern w:val="0"/>
                <w:szCs w:val="21"/>
                <w:lang w:val="en-US" w:bidi="ar"/>
              </w:rPr>
              <w:fldChar w:fldCharType="begin"/>
            </w:r>
            <w:r>
              <w:rPr>
                <w:rFonts w:hint="default" w:ascii="Times New Roman Regular" w:hAnsi="Times New Roman Regular" w:eastAsia="宋体" w:cs="Times New Roman Regular"/>
                <w:color w:val="000000"/>
                <w:kern w:val="0"/>
                <w:szCs w:val="21"/>
                <w:lang w:val="en-US" w:bidi="ar"/>
              </w:rPr>
              <w:instrText xml:space="preserve"> REF _Ref17035 \r \h </w:instrText>
            </w:r>
            <w:r>
              <w:rPr>
                <w:rFonts w:hint="default" w:ascii="Times New Roman Regular" w:hAnsi="Times New Roman Regular" w:eastAsia="宋体" w:cs="Times New Roman Regular"/>
                <w:color w:val="000000"/>
                <w:kern w:val="0"/>
                <w:szCs w:val="21"/>
                <w:lang w:val="en-US" w:bidi="ar"/>
              </w:rPr>
              <w:fldChar w:fldCharType="separate"/>
            </w:r>
            <w:r>
              <w:rPr>
                <w:rFonts w:hint="default" w:ascii="Times New Roman Regular" w:hAnsi="Times New Roman Regular" w:eastAsia="宋体" w:cs="Times New Roman Regular"/>
                <w:color w:val="000000"/>
                <w:kern w:val="0"/>
                <w:szCs w:val="21"/>
                <w:lang w:val="en-US" w:bidi="ar"/>
              </w:rPr>
              <w:t>[21]</w:t>
            </w:r>
            <w:r>
              <w:rPr>
                <w:rFonts w:hint="default" w:ascii="Times New Roman Regular" w:hAnsi="Times New Roman Regular" w:eastAsia="宋体" w:cs="Times New Roman Regular"/>
                <w:color w:val="000000"/>
                <w:kern w:val="0"/>
                <w:szCs w:val="21"/>
                <w:lang w:val="en-US" w:bidi="ar"/>
              </w:rPr>
              <w:fldChar w:fldCharType="end"/>
            </w:r>
            <w:r>
              <w:rPr>
                <w:rFonts w:hint="default" w:ascii="Times New Roman Regular" w:hAnsi="Times New Roman Regular" w:eastAsia="宋体" w:cs="Times New Roman Regular"/>
                <w:color w:val="000000"/>
                <w:kern w:val="0"/>
                <w:szCs w:val="21"/>
                <w:lang w:bidi="ar"/>
              </w:rPr>
              <w:t>，</w:t>
            </w:r>
            <w:r>
              <w:rPr>
                <w:rFonts w:ascii="Times New Roman Regular" w:hAnsi="Times New Roman Regular" w:eastAsia="宋体" w:cs="Times New Roman Regular"/>
                <w:color w:val="000000"/>
                <w:kern w:val="0"/>
                <w:szCs w:val="21"/>
                <w:lang w:bidi="ar"/>
              </w:rPr>
              <w:t xml:space="preserve">Sovacool </w:t>
            </w:r>
            <w:r>
              <w:rPr>
                <w:rFonts w:hint="default" w:ascii="Times New Roman Regular" w:hAnsi="Times New Roman Regular" w:eastAsia="宋体" w:cs="Times New Roman Regular"/>
                <w:color w:val="000000"/>
                <w:kern w:val="0"/>
                <w:szCs w:val="21"/>
                <w:lang w:bidi="ar"/>
              </w:rPr>
              <w:t>et.</w:t>
            </w:r>
            <w:r>
              <w:rPr>
                <w:rFonts w:hint="default" w:ascii="Times New Roman Regular" w:hAnsi="Times New Roman Regular" w:eastAsia="宋体" w:cs="Times New Roman Regular"/>
                <w:color w:val="000000"/>
                <w:kern w:val="0"/>
                <w:szCs w:val="21"/>
                <w:lang w:val="en-US" w:bidi="ar"/>
              </w:rPr>
              <w:fldChar w:fldCharType="begin"/>
            </w:r>
            <w:r>
              <w:rPr>
                <w:rFonts w:hint="default" w:ascii="Times New Roman Regular" w:hAnsi="Times New Roman Regular" w:eastAsia="宋体" w:cs="Times New Roman Regular"/>
                <w:color w:val="000000"/>
                <w:kern w:val="0"/>
                <w:szCs w:val="21"/>
                <w:lang w:val="en-US" w:bidi="ar"/>
              </w:rPr>
              <w:instrText xml:space="preserve"> REF _Ref1721589867 \r \h </w:instrText>
            </w:r>
            <w:r>
              <w:rPr>
                <w:rFonts w:hint="default" w:ascii="Times New Roman Regular" w:hAnsi="Times New Roman Regular" w:eastAsia="宋体" w:cs="Times New Roman Regular"/>
                <w:color w:val="000000"/>
                <w:kern w:val="0"/>
                <w:szCs w:val="21"/>
                <w:lang w:val="en-US" w:bidi="ar"/>
              </w:rPr>
              <w:fldChar w:fldCharType="separate"/>
            </w:r>
            <w:r>
              <w:rPr>
                <w:rFonts w:hint="default" w:ascii="Times New Roman Regular" w:hAnsi="Times New Roman Regular" w:eastAsia="宋体" w:cs="Times New Roman Regular"/>
                <w:color w:val="000000"/>
                <w:kern w:val="0"/>
                <w:szCs w:val="21"/>
                <w:lang w:val="en-US" w:bidi="ar"/>
              </w:rPr>
              <w:t>[2]</w:t>
            </w:r>
            <w:r>
              <w:rPr>
                <w:rFonts w:hint="default" w:ascii="Times New Roman Regular" w:hAnsi="Times New Roman Regular" w:eastAsia="宋体" w:cs="Times New Roman Regular"/>
                <w:color w:val="000000"/>
                <w:kern w:val="0"/>
                <w:szCs w:val="21"/>
                <w:lang w:val="en-US" w:bidi="ar"/>
              </w:rPr>
              <w:fldChar w:fldCharType="end"/>
            </w: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rPr>
                <w:rFonts w:ascii="Times New Roman Regular" w:hAnsi="Times New Roman Regular" w:eastAsia="宋体" w:cs="Times New Roman Regular"/>
                <w:color w:val="000000"/>
                <w:szCs w:val="21"/>
              </w:rPr>
            </w:pP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P2. Low-interest loans can attract me to buy a new energy vehicle.</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rPr>
                <w:rFonts w:ascii="Times New Roman Regular" w:hAnsi="Times New Roman Regular" w:eastAsia="宋体" w:cs="Times New Roman Regular"/>
                <w:color w:val="000000"/>
                <w:szCs w:val="21"/>
              </w:rPr>
            </w:pP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P3. Tax exemptions and reductions can attract me to buy a new energy vehicle.</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rPr>
                <w:rFonts w:ascii="Times New Roman Regular" w:hAnsi="Times New Roman Regular" w:eastAsia="宋体" w:cs="Times New Roman Regular"/>
                <w:color w:val="000000"/>
                <w:szCs w:val="21"/>
              </w:rPr>
            </w:pP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P4. Easier access to license plates can attract me to buy a new energy vehicle.</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rPr>
                <w:rFonts w:ascii="Times New Roman Regular" w:hAnsi="Times New Roman Regular" w:eastAsia="宋体" w:cs="Times New Roman Regular"/>
                <w:color w:val="000000"/>
                <w:szCs w:val="21"/>
              </w:rPr>
            </w:pP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P5. The fact that new energy vehicles are not subject to the rule of even and odd numbered license plates can attract me to buy new energy vehicles.</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rPr>
                <w:rFonts w:ascii="Times New Roman Regular" w:hAnsi="Times New Roman Regular" w:eastAsia="宋体" w:cs="Times New Roman Regular"/>
                <w:color w:val="000000"/>
                <w:szCs w:val="21"/>
              </w:rPr>
            </w:pPr>
          </w:p>
        </w:tc>
        <w:tc>
          <w:tcPr>
            <w:tcW w:w="3224" w:type="pct"/>
            <w:tcBorders>
              <w:top w:val="nil"/>
              <w:left w:val="nil"/>
              <w:bottom w:val="single" w:color="000000" w:sz="4" w:space="0"/>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P6. I am attracted to buy new energy vehicles because they can have special parking spaces and are therefore easy to park.</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restart"/>
            <w:tcBorders>
              <w:top w:val="nil"/>
              <w:left w:val="nil"/>
              <w:bottom w:val="single" w:color="000000" w:sz="4"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kern w:val="0"/>
                <w:szCs w:val="21"/>
                <w:lang w:bidi="ar"/>
              </w:rPr>
            </w:pPr>
          </w:p>
          <w:p>
            <w:pPr>
              <w:widowControl/>
              <w:jc w:val="center"/>
              <w:textAlignment w:val="center"/>
              <w:rPr>
                <w:rFonts w:ascii="Times New Roman Regular" w:hAnsi="Times New Roman Regular" w:eastAsia="宋体" w:cs="Times New Roman Regular"/>
                <w:color w:val="000000"/>
                <w:kern w:val="0"/>
                <w:szCs w:val="21"/>
                <w:lang w:bidi="ar"/>
              </w:rPr>
            </w:pPr>
          </w:p>
          <w:p>
            <w:pPr>
              <w:widowControl/>
              <w:jc w:val="center"/>
              <w:textAlignment w:val="center"/>
              <w:rPr>
                <w:rFonts w:ascii="Times New Roman Regular" w:hAnsi="Times New Roman Regular" w:eastAsia="宋体" w:cs="Times New Roman Regular"/>
                <w:color w:val="000000"/>
                <w:kern w:val="0"/>
                <w:szCs w:val="21"/>
                <w:lang w:bidi="ar"/>
              </w:rPr>
            </w:pPr>
          </w:p>
          <w:p>
            <w:pPr>
              <w:widowControl/>
              <w:jc w:val="center"/>
              <w:textAlignment w:val="center"/>
              <w:rPr>
                <w:rFonts w:ascii="Times New Roman Regular" w:hAnsi="Times New Roman Regular" w:eastAsia="宋体" w:cs="Times New Roman Regular"/>
                <w:color w:val="000000"/>
                <w:kern w:val="0"/>
                <w:szCs w:val="21"/>
                <w:lang w:bidi="ar"/>
              </w:rPr>
            </w:pPr>
          </w:p>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Perceived Risk</w:t>
            </w:r>
            <w:r>
              <w:rPr>
                <w:rFonts w:ascii="Times New Roman Regular" w:hAnsi="Times New Roman Regular" w:eastAsia="宋体" w:cs="Times New Roman Regular"/>
                <w:color w:val="000000"/>
                <w:kern w:val="0"/>
                <w:szCs w:val="21"/>
                <w:lang w:bidi="ar"/>
              </w:rPr>
              <w:t>（PR）</w:t>
            </w: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PR1. I am afraid of suffering financial losses when using new energy vehicles.</w:t>
            </w:r>
          </w:p>
        </w:tc>
        <w:tc>
          <w:tcPr>
            <w:tcW w:w="710" w:type="pct"/>
            <w:vMerge w:val="restart"/>
            <w:tcBorders>
              <w:top w:val="nil"/>
              <w:left w:val="nil"/>
              <w:bottom w:val="single" w:color="000000" w:sz="4"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Wang</w:t>
            </w:r>
            <w:r>
              <w:rPr>
                <w:rFonts w:hint="default" w:ascii="Times New Roman Regular" w:hAnsi="Times New Roman Regular" w:eastAsia="宋体" w:cs="Times New Roman Regular"/>
                <w:color w:val="000000"/>
                <w:kern w:val="0"/>
                <w:szCs w:val="21"/>
                <w:lang w:bidi="ar"/>
              </w:rPr>
              <w:t xml:space="preserve"> et.</w:t>
            </w:r>
            <w:r>
              <w:rPr>
                <w:rFonts w:hint="default" w:ascii="Times New Roman Regular" w:hAnsi="Times New Roman Regular" w:eastAsia="宋体" w:cs="Times New Roman Regular"/>
                <w:color w:val="000000"/>
                <w:kern w:val="0"/>
                <w:szCs w:val="21"/>
                <w:vertAlign w:val="superscript"/>
                <w:lang w:val="en-US" w:bidi="ar"/>
              </w:rPr>
              <w:fldChar w:fldCharType="begin"/>
            </w:r>
            <w:r>
              <w:rPr>
                <w:rFonts w:hint="default" w:ascii="Times New Roman Regular" w:hAnsi="Times New Roman Regular" w:eastAsia="宋体" w:cs="Times New Roman Regular"/>
                <w:color w:val="000000"/>
                <w:kern w:val="0"/>
                <w:szCs w:val="21"/>
                <w:vertAlign w:val="superscript"/>
                <w:lang w:val="en-US" w:bidi="ar"/>
              </w:rPr>
              <w:instrText xml:space="preserve"> REF _Ref17035 \r \h </w:instrText>
            </w:r>
            <w:r>
              <w:rPr>
                <w:rFonts w:hint="default" w:ascii="Times New Roman Regular" w:hAnsi="Times New Roman Regular" w:eastAsia="宋体" w:cs="Times New Roman Regular"/>
                <w:color w:val="000000"/>
                <w:kern w:val="0"/>
                <w:szCs w:val="21"/>
                <w:vertAlign w:val="superscript"/>
                <w:lang w:val="en-US" w:bidi="ar"/>
              </w:rPr>
              <w:fldChar w:fldCharType="separate"/>
            </w:r>
            <w:r>
              <w:rPr>
                <w:rFonts w:hint="default" w:ascii="Times New Roman Regular" w:hAnsi="Times New Roman Regular" w:eastAsia="宋体" w:cs="Times New Roman Regular"/>
                <w:color w:val="000000"/>
                <w:kern w:val="0"/>
                <w:szCs w:val="21"/>
                <w:vertAlign w:val="superscript"/>
                <w:lang w:val="en-US" w:bidi="ar"/>
              </w:rPr>
              <w:t>[21]</w:t>
            </w:r>
            <w:r>
              <w:rPr>
                <w:rFonts w:hint="default" w:ascii="Times New Roman Regular" w:hAnsi="Times New Roman Regular" w:eastAsia="宋体" w:cs="Times New Roman Regular"/>
                <w:color w:val="000000"/>
                <w:kern w:val="0"/>
                <w:szCs w:val="21"/>
                <w:vertAlign w:val="superscript"/>
                <w:lang w:val="en-US" w:bidi="ar"/>
              </w:rPr>
              <w:fldChar w:fldCharType="end"/>
            </w:r>
            <w:r>
              <w:rPr>
                <w:rFonts w:ascii="Times New Roman Regular" w:hAnsi="Times New Roman Regular" w:eastAsia="宋体" w:cs="Times New Roman Regular"/>
                <w:color w:val="000000"/>
                <w:kern w:val="0"/>
                <w:szCs w:val="21"/>
                <w:lang w:bidi="ar"/>
              </w:rPr>
              <w:t>， Simsekoglu</w:t>
            </w:r>
            <w:r>
              <w:rPr>
                <w:rFonts w:hint="default" w:ascii="Times New Roman Regular" w:hAnsi="Times New Roman Regular" w:eastAsia="宋体" w:cs="Times New Roman Regular"/>
                <w:color w:val="000000"/>
                <w:kern w:val="0"/>
                <w:szCs w:val="21"/>
                <w:lang w:eastAsia="zh-Hans" w:bidi="ar"/>
              </w:rPr>
              <w:t>et.</w:t>
            </w:r>
            <w:r>
              <w:rPr>
                <w:rFonts w:hint="eastAsia" w:ascii="Times New Roman Regular" w:hAnsi="Times New Roman Regular" w:eastAsia="宋体" w:cs="Times New Roman Regular"/>
                <w:color w:val="000000"/>
                <w:kern w:val="0"/>
                <w:szCs w:val="21"/>
                <w:vertAlign w:val="superscript"/>
                <w:lang w:val="en-US" w:eastAsia="zh-Hans" w:bidi="ar"/>
              </w:rPr>
              <w:fldChar w:fldCharType="begin"/>
            </w:r>
            <w:r>
              <w:rPr>
                <w:rFonts w:hint="eastAsia" w:ascii="Times New Roman Regular" w:hAnsi="Times New Roman Regular" w:eastAsia="宋体" w:cs="Times New Roman Regular"/>
                <w:color w:val="000000"/>
                <w:kern w:val="0"/>
                <w:szCs w:val="21"/>
                <w:vertAlign w:val="superscript"/>
                <w:lang w:val="en-US" w:eastAsia="zh-Hans" w:bidi="ar"/>
              </w:rPr>
              <w:instrText xml:space="preserve"> REF _Ref984807228 \r \h </w:instrText>
            </w:r>
            <w:r>
              <w:rPr>
                <w:rFonts w:hint="eastAsia" w:ascii="Times New Roman Regular" w:hAnsi="Times New Roman Regular" w:eastAsia="宋体" w:cs="Times New Roman Regular"/>
                <w:color w:val="000000"/>
                <w:kern w:val="0"/>
                <w:szCs w:val="21"/>
                <w:vertAlign w:val="superscript"/>
                <w:lang w:val="en-US" w:eastAsia="zh-Hans" w:bidi="ar"/>
              </w:rPr>
              <w:fldChar w:fldCharType="separate"/>
            </w:r>
            <w:r>
              <w:rPr>
                <w:rFonts w:hint="eastAsia" w:ascii="Times New Roman Regular" w:hAnsi="Times New Roman Regular" w:eastAsia="宋体" w:cs="Times New Roman Regular"/>
                <w:color w:val="000000"/>
                <w:kern w:val="0"/>
                <w:szCs w:val="21"/>
                <w:vertAlign w:val="superscript"/>
                <w:lang w:val="en-US" w:eastAsia="zh-Hans" w:bidi="ar"/>
              </w:rPr>
              <w:t>[40]</w:t>
            </w:r>
            <w:r>
              <w:rPr>
                <w:rFonts w:hint="eastAsia" w:ascii="Times New Roman Regular" w:hAnsi="Times New Roman Regular" w:eastAsia="宋体" w:cs="Times New Roman Regular"/>
                <w:color w:val="000000"/>
                <w:kern w:val="0"/>
                <w:szCs w:val="21"/>
                <w:vertAlign w:val="superscript"/>
                <w:lang w:val="en-US" w:eastAsia="zh-Hans" w:bidi="ar"/>
              </w:rPr>
              <w:fldChar w:fldCharType="end"/>
            </w: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rPr>
                <w:rFonts w:ascii="Times New Roman Regular" w:hAnsi="Times New Roman Regular" w:eastAsia="宋体" w:cs="Times New Roman Regular"/>
                <w:color w:val="000000"/>
                <w:szCs w:val="21"/>
              </w:rPr>
            </w:pP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PR2. I am afraid of getting into an accident while using the new energy vehicle.</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rPr>
                <w:rFonts w:ascii="Times New Roman Regular" w:hAnsi="Times New Roman Regular" w:eastAsia="宋体" w:cs="Times New Roman Regular"/>
                <w:color w:val="000000"/>
                <w:szCs w:val="21"/>
              </w:rPr>
            </w:pP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PR3. Considering the disadvantages of new energy vehicles (e.g., limited driving range and long charging time), I am concerned that using new energy vehicles may involve significant time loss.</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rPr>
                <w:rFonts w:ascii="Times New Roman Regular" w:hAnsi="Times New Roman Regular" w:eastAsia="宋体" w:cs="Times New Roman Regular"/>
                <w:color w:val="000000"/>
                <w:szCs w:val="21"/>
              </w:rPr>
            </w:pP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PR4. I am concerned whether new energy vehicles will really perform as well as conventional gasoline vehicles</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rPr>
                <w:rFonts w:ascii="Times New Roman Regular" w:hAnsi="Times New Roman Regular" w:eastAsia="宋体" w:cs="Times New Roman Regular"/>
                <w:color w:val="000000"/>
                <w:szCs w:val="21"/>
              </w:rPr>
            </w:pPr>
          </w:p>
        </w:tc>
        <w:tc>
          <w:tcPr>
            <w:tcW w:w="3224" w:type="pct"/>
            <w:tcBorders>
              <w:top w:val="nil"/>
              <w:left w:val="nil"/>
              <w:bottom w:val="single" w:color="000000" w:sz="4" w:space="0"/>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PR5. I am worried that my family and friends will not understand me when I buy a new energy vehicle</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restart"/>
            <w:tcBorders>
              <w:top w:val="nil"/>
              <w:left w:val="nil"/>
              <w:bottom w:val="single" w:color="000000" w:sz="4"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Perceived usefulness</w:t>
            </w:r>
            <w:r>
              <w:rPr>
                <w:rFonts w:ascii="Times New Roman Regular" w:hAnsi="Times New Roman Regular" w:eastAsia="宋体" w:cs="Times New Roman Regular"/>
                <w:color w:val="000000"/>
                <w:kern w:val="0"/>
                <w:szCs w:val="21"/>
                <w:lang w:bidi="ar"/>
              </w:rPr>
              <w:t>（PU）</w:t>
            </w: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PU1. I think new energy vehicles help reduce carbon emissions</w:t>
            </w:r>
          </w:p>
        </w:tc>
        <w:tc>
          <w:tcPr>
            <w:tcW w:w="710" w:type="pct"/>
            <w:vMerge w:val="restart"/>
            <w:tcBorders>
              <w:top w:val="nil"/>
              <w:left w:val="nil"/>
              <w:bottom w:val="single" w:color="000000" w:sz="4" w:space="0"/>
              <w:right w:val="nil"/>
            </w:tcBorders>
            <w:shd w:val="clear" w:color="auto" w:fill="FFFFFF"/>
            <w:noWrap w:val="0"/>
            <w:vAlign w:val="center"/>
          </w:tcPr>
          <w:p>
            <w:pPr>
              <w:widowControl/>
              <w:jc w:val="center"/>
              <w:textAlignment w:val="center"/>
              <w:rPr>
                <w:rFonts w:hint="eastAsia" w:ascii="Times New Roman Regular" w:hAnsi="Times New Roman Regular" w:eastAsia="宋体" w:cs="Times New Roman Regular"/>
                <w:color w:val="000000"/>
                <w:kern w:val="0"/>
                <w:szCs w:val="21"/>
                <w:lang w:val="en-US" w:eastAsia="zh-Hans" w:bidi="ar"/>
              </w:rPr>
            </w:pPr>
            <w:r>
              <w:rPr>
                <w:rFonts w:hint="default" w:ascii="Times New Roman Regular" w:hAnsi="Times New Roman Regular" w:eastAsia="宋体" w:cs="Times New Roman Regular"/>
                <w:color w:val="000000"/>
                <w:kern w:val="0"/>
                <w:szCs w:val="21"/>
                <w:lang w:bidi="ar"/>
              </w:rPr>
              <w:t>L</w:t>
            </w:r>
            <w:r>
              <w:rPr>
                <w:rFonts w:hint="eastAsia" w:ascii="Times New Roman Regular" w:hAnsi="Times New Roman Regular" w:eastAsia="宋体" w:cs="Times New Roman Regular"/>
                <w:color w:val="000000"/>
                <w:kern w:val="0"/>
                <w:szCs w:val="21"/>
                <w:lang w:val="en-US" w:eastAsia="zh-Hans" w:bidi="ar"/>
              </w:rPr>
              <w:t>in</w:t>
            </w:r>
          </w:p>
          <w:p>
            <w:pPr>
              <w:widowControl/>
              <w:jc w:val="center"/>
              <w:textAlignment w:val="center"/>
              <w:rPr>
                <w:rFonts w:ascii="Times New Roman Regular" w:hAnsi="Times New Roman Regular" w:eastAsia="宋体" w:cs="Times New Roman Regular"/>
                <w:color w:val="000000"/>
                <w:szCs w:val="21"/>
              </w:rPr>
            </w:pPr>
            <w:r>
              <w:rPr>
                <w:rFonts w:hint="default" w:ascii="Times New Roman Regular" w:hAnsi="Times New Roman Regular" w:eastAsia="宋体" w:cs="Times New Roman Regular"/>
                <w:color w:val="000000"/>
                <w:kern w:val="0"/>
                <w:szCs w:val="21"/>
                <w:lang w:eastAsia="zh-Hans" w:bidi="ar"/>
              </w:rPr>
              <w:t>et.</w:t>
            </w:r>
            <w:r>
              <w:rPr>
                <w:rFonts w:hint="eastAsia" w:ascii="Times New Roman Regular" w:hAnsi="Times New Roman Regular" w:eastAsia="宋体" w:cs="Times New Roman Regular"/>
                <w:color w:val="000000"/>
                <w:kern w:val="0"/>
                <w:szCs w:val="21"/>
                <w:vertAlign w:val="superscript"/>
                <w:lang w:val="en-US" w:eastAsia="zh-Hans" w:bidi="ar"/>
              </w:rPr>
              <w:fldChar w:fldCharType="begin"/>
            </w:r>
            <w:r>
              <w:rPr>
                <w:rFonts w:hint="eastAsia" w:ascii="Times New Roman Regular" w:hAnsi="Times New Roman Regular" w:eastAsia="宋体" w:cs="Times New Roman Regular"/>
                <w:color w:val="000000"/>
                <w:kern w:val="0"/>
                <w:szCs w:val="21"/>
                <w:vertAlign w:val="superscript"/>
                <w:lang w:val="en-US" w:eastAsia="zh-Hans" w:bidi="ar"/>
              </w:rPr>
              <w:instrText xml:space="preserve"> REF _Ref23690 \r \h </w:instrText>
            </w:r>
            <w:r>
              <w:rPr>
                <w:rFonts w:hint="eastAsia" w:ascii="Times New Roman Regular" w:hAnsi="Times New Roman Regular" w:eastAsia="宋体" w:cs="Times New Roman Regular"/>
                <w:color w:val="000000"/>
                <w:kern w:val="0"/>
                <w:szCs w:val="21"/>
                <w:vertAlign w:val="superscript"/>
                <w:lang w:val="en-US" w:eastAsia="zh-Hans" w:bidi="ar"/>
              </w:rPr>
              <w:fldChar w:fldCharType="separate"/>
            </w:r>
            <w:r>
              <w:rPr>
                <w:rFonts w:hint="eastAsia" w:ascii="Times New Roman Regular" w:hAnsi="Times New Roman Regular" w:eastAsia="宋体" w:cs="Times New Roman Regular"/>
                <w:color w:val="000000"/>
                <w:kern w:val="0"/>
                <w:szCs w:val="21"/>
                <w:vertAlign w:val="superscript"/>
                <w:lang w:val="en-US" w:eastAsia="zh-Hans" w:bidi="ar"/>
              </w:rPr>
              <w:t>[32]</w:t>
            </w:r>
            <w:r>
              <w:rPr>
                <w:rFonts w:hint="eastAsia" w:ascii="Times New Roman Regular" w:hAnsi="Times New Roman Regular" w:eastAsia="宋体" w:cs="Times New Roman Regular"/>
                <w:color w:val="000000"/>
                <w:kern w:val="0"/>
                <w:szCs w:val="21"/>
                <w:vertAlign w:val="superscript"/>
                <w:lang w:val="en-US" w:eastAsia="zh-Hans" w:bidi="ar"/>
              </w:rPr>
              <w:fldChar w:fldCharType="end"/>
            </w:r>
            <w:r>
              <w:rPr>
                <w:rFonts w:hint="default" w:ascii="Times New Roman Regular" w:hAnsi="Times New Roman Regular" w:eastAsia="宋体" w:cs="Times New Roman Regular"/>
                <w:color w:val="000000"/>
                <w:kern w:val="0"/>
                <w:szCs w:val="21"/>
                <w:lang w:eastAsia="zh-Hans" w:bidi="ar"/>
              </w:rPr>
              <w:t>，</w:t>
            </w:r>
            <w:r>
              <w:rPr>
                <w:rFonts w:ascii="Times New Roman Regular" w:hAnsi="Times New Roman Regular" w:eastAsia="宋体" w:cs="Times New Roman Regular"/>
                <w:color w:val="000000"/>
                <w:kern w:val="0"/>
                <w:szCs w:val="21"/>
                <w:lang w:bidi="ar"/>
              </w:rPr>
              <w:t>Wang</w:t>
            </w:r>
            <w:r>
              <w:rPr>
                <w:rFonts w:hint="default" w:ascii="Times New Roman Regular" w:hAnsi="Times New Roman Regular" w:eastAsia="宋体" w:cs="Times New Roman Regular"/>
                <w:color w:val="000000"/>
                <w:kern w:val="0"/>
                <w:szCs w:val="21"/>
                <w:lang w:bidi="ar"/>
              </w:rPr>
              <w:t xml:space="preserve"> </w:t>
            </w:r>
            <w:r>
              <w:rPr>
                <w:rFonts w:hint="default" w:ascii="Times New Roman Regular" w:hAnsi="Times New Roman Regular" w:eastAsia="宋体" w:cs="Times New Roman Regular"/>
                <w:color w:val="000000"/>
                <w:kern w:val="0"/>
                <w:szCs w:val="21"/>
                <w:lang w:eastAsia="zh-Hans" w:bidi="ar"/>
              </w:rPr>
              <w:t>et.</w:t>
            </w:r>
            <w:r>
              <w:rPr>
                <w:rFonts w:hint="eastAsia" w:ascii="Times New Roman Regular" w:hAnsi="Times New Roman Regular" w:eastAsia="宋体" w:cs="Times New Roman Regular"/>
                <w:color w:val="000000"/>
                <w:kern w:val="0"/>
                <w:szCs w:val="21"/>
                <w:vertAlign w:val="superscript"/>
                <w:lang w:val="en-US" w:eastAsia="zh-Hans" w:bidi="ar"/>
              </w:rPr>
              <w:fldChar w:fldCharType="begin"/>
            </w:r>
            <w:r>
              <w:rPr>
                <w:rFonts w:hint="eastAsia" w:ascii="Times New Roman Regular" w:hAnsi="Times New Roman Regular" w:eastAsia="宋体" w:cs="Times New Roman Regular"/>
                <w:color w:val="000000"/>
                <w:kern w:val="0"/>
                <w:szCs w:val="21"/>
                <w:vertAlign w:val="superscript"/>
                <w:lang w:val="en-US" w:eastAsia="zh-Hans" w:bidi="ar"/>
              </w:rPr>
              <w:instrText xml:space="preserve"> REF _Ref6428 \r \h </w:instrText>
            </w:r>
            <w:r>
              <w:rPr>
                <w:rFonts w:hint="eastAsia" w:ascii="Times New Roman Regular" w:hAnsi="Times New Roman Regular" w:eastAsia="宋体" w:cs="Times New Roman Regular"/>
                <w:color w:val="000000"/>
                <w:kern w:val="0"/>
                <w:szCs w:val="21"/>
                <w:vertAlign w:val="superscript"/>
                <w:lang w:val="en-US" w:eastAsia="zh-Hans" w:bidi="ar"/>
              </w:rPr>
              <w:fldChar w:fldCharType="separate"/>
            </w:r>
            <w:r>
              <w:rPr>
                <w:rFonts w:hint="eastAsia" w:ascii="Times New Roman Regular" w:hAnsi="Times New Roman Regular" w:eastAsia="宋体" w:cs="Times New Roman Regular"/>
                <w:color w:val="000000"/>
                <w:kern w:val="0"/>
                <w:szCs w:val="21"/>
                <w:vertAlign w:val="superscript"/>
                <w:lang w:val="en-US" w:eastAsia="zh-Hans" w:bidi="ar"/>
              </w:rPr>
              <w:t>[15]</w:t>
            </w:r>
            <w:r>
              <w:rPr>
                <w:rFonts w:hint="eastAsia" w:ascii="Times New Roman Regular" w:hAnsi="Times New Roman Regular" w:eastAsia="宋体" w:cs="Times New Roman Regular"/>
                <w:color w:val="000000"/>
                <w:kern w:val="0"/>
                <w:szCs w:val="21"/>
                <w:vertAlign w:val="superscript"/>
                <w:lang w:val="en-US" w:eastAsia="zh-Hans" w:bidi="ar"/>
              </w:rPr>
              <w:fldChar w:fldCharType="end"/>
            </w: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PU2. I think new energy vehicles can solve the problem of energy shortage</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PU3. I think new energy vehicles can make my traveling more convenient</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c>
          <w:tcPr>
            <w:tcW w:w="3224" w:type="pct"/>
            <w:tcBorders>
              <w:top w:val="nil"/>
              <w:left w:val="nil"/>
              <w:bottom w:val="single" w:color="000000" w:sz="4" w:space="0"/>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PU4. I think new energy vehicles can reduce my traveling expenses with lower cost of use</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restart"/>
            <w:tcBorders>
              <w:top w:val="nil"/>
              <w:left w:val="nil"/>
              <w:bottom w:val="single" w:color="000000" w:sz="4"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Perceived Ease of Use</w:t>
            </w:r>
            <w:r>
              <w:rPr>
                <w:rFonts w:ascii="Times New Roman Regular" w:hAnsi="Times New Roman Regular" w:eastAsia="宋体" w:cs="Times New Roman Regular"/>
                <w:color w:val="000000"/>
                <w:kern w:val="0"/>
                <w:szCs w:val="21"/>
                <w:lang w:bidi="ar"/>
              </w:rPr>
              <w:t>（PE）</w:t>
            </w: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PE1. I think new energy vehicles have excellent entertainment functions.</w:t>
            </w:r>
          </w:p>
        </w:tc>
        <w:tc>
          <w:tcPr>
            <w:tcW w:w="710" w:type="pct"/>
            <w:vMerge w:val="restart"/>
            <w:tcBorders>
              <w:top w:val="nil"/>
              <w:left w:val="nil"/>
              <w:bottom w:val="single" w:color="000000" w:sz="4" w:space="0"/>
              <w:right w:val="nil"/>
            </w:tcBorders>
            <w:shd w:val="clear" w:color="auto" w:fill="FFFFFF"/>
            <w:noWrap w:val="0"/>
            <w:vAlign w:val="center"/>
          </w:tcPr>
          <w:p>
            <w:pPr>
              <w:widowControl/>
              <w:jc w:val="center"/>
              <w:textAlignment w:val="center"/>
              <w:rPr>
                <w:rFonts w:hint="eastAsia" w:ascii="Times New Roman Regular" w:hAnsi="Times New Roman Regular" w:eastAsia="宋体" w:cs="Times New Roman Regular"/>
                <w:color w:val="000000"/>
                <w:szCs w:val="21"/>
                <w:lang w:eastAsia="zh-Hans"/>
              </w:rPr>
            </w:pPr>
            <w:r>
              <w:rPr>
                <w:rFonts w:ascii="Times New Roman Regular" w:hAnsi="Times New Roman Regular" w:eastAsia="宋体" w:cs="Times New Roman Regular"/>
                <w:color w:val="000000"/>
                <w:kern w:val="0"/>
                <w:szCs w:val="21"/>
                <w:lang w:bidi="ar"/>
              </w:rPr>
              <w:t>Schmalfuß</w:t>
            </w:r>
            <w:r>
              <w:rPr>
                <w:rFonts w:hint="default" w:ascii="Times New Roman Regular" w:hAnsi="Times New Roman Regular" w:eastAsia="宋体" w:cs="Times New Roman Regular"/>
                <w:color w:val="000000"/>
                <w:kern w:val="0"/>
                <w:szCs w:val="21"/>
                <w:lang w:bidi="ar"/>
              </w:rPr>
              <w:t>et.</w:t>
            </w:r>
            <w:r>
              <w:rPr>
                <w:rFonts w:hint="default" w:ascii="Times New Roman Regular" w:hAnsi="Times New Roman Regular" w:eastAsia="宋体" w:cs="Times New Roman Regular"/>
                <w:color w:val="000000"/>
                <w:kern w:val="0"/>
                <w:szCs w:val="21"/>
                <w:vertAlign w:val="superscript"/>
                <w:lang w:val="en-US" w:bidi="ar"/>
              </w:rPr>
              <w:fldChar w:fldCharType="begin"/>
            </w:r>
            <w:r>
              <w:rPr>
                <w:rFonts w:hint="default" w:ascii="Times New Roman Regular" w:hAnsi="Times New Roman Regular" w:eastAsia="宋体" w:cs="Times New Roman Regular"/>
                <w:color w:val="000000"/>
                <w:kern w:val="0"/>
                <w:szCs w:val="21"/>
                <w:vertAlign w:val="superscript"/>
                <w:lang w:val="en-US" w:bidi="ar"/>
              </w:rPr>
              <w:instrText xml:space="preserve"> REF _Ref948336038 \r \h </w:instrText>
            </w:r>
            <w:r>
              <w:rPr>
                <w:rFonts w:hint="default" w:ascii="Times New Roman Regular" w:hAnsi="Times New Roman Regular" w:eastAsia="宋体" w:cs="Times New Roman Regular"/>
                <w:color w:val="000000"/>
                <w:kern w:val="0"/>
                <w:szCs w:val="21"/>
                <w:vertAlign w:val="superscript"/>
                <w:lang w:val="en-US" w:bidi="ar"/>
              </w:rPr>
              <w:fldChar w:fldCharType="separate"/>
            </w:r>
            <w:r>
              <w:rPr>
                <w:rFonts w:hint="default" w:ascii="Times New Roman Regular" w:hAnsi="Times New Roman Regular" w:eastAsia="宋体" w:cs="Times New Roman Regular"/>
                <w:color w:val="000000"/>
                <w:kern w:val="0"/>
                <w:szCs w:val="21"/>
                <w:vertAlign w:val="superscript"/>
                <w:lang w:val="en-US" w:bidi="ar"/>
              </w:rPr>
              <w:t>[39]</w:t>
            </w:r>
            <w:r>
              <w:rPr>
                <w:rFonts w:hint="default" w:ascii="Times New Roman Regular" w:hAnsi="Times New Roman Regular" w:eastAsia="宋体" w:cs="Times New Roman Regular"/>
                <w:color w:val="000000"/>
                <w:kern w:val="0"/>
                <w:szCs w:val="21"/>
                <w:vertAlign w:val="superscript"/>
                <w:lang w:val="en-US" w:bidi="ar"/>
              </w:rPr>
              <w:fldChar w:fldCharType="end"/>
            </w:r>
            <w:r>
              <w:rPr>
                <w:rFonts w:ascii="Times New Roman Regular" w:hAnsi="Times New Roman Regular" w:eastAsia="宋体" w:cs="Times New Roman Regular"/>
                <w:color w:val="000000"/>
                <w:kern w:val="0"/>
                <w:szCs w:val="21"/>
                <w:lang w:bidi="ar"/>
              </w:rPr>
              <w:t>，Krishnan</w:t>
            </w:r>
            <w:r>
              <w:rPr>
                <w:rFonts w:hint="default" w:ascii="Times New Roman Regular" w:hAnsi="Times New Roman Regular" w:eastAsia="宋体" w:cs="Times New Roman Regular"/>
                <w:color w:val="000000"/>
                <w:kern w:val="0"/>
                <w:szCs w:val="21"/>
                <w:lang w:bidi="ar"/>
              </w:rPr>
              <w:t xml:space="preserve"> </w:t>
            </w:r>
            <w:r>
              <w:rPr>
                <w:rFonts w:hint="default" w:ascii="Times New Roman Regular" w:hAnsi="Times New Roman Regular" w:eastAsia="宋体" w:cs="Times New Roman Regular"/>
                <w:color w:val="000000"/>
                <w:kern w:val="0"/>
                <w:szCs w:val="21"/>
                <w:lang w:eastAsia="zh-Hans" w:bidi="ar"/>
              </w:rPr>
              <w:t>et.</w:t>
            </w:r>
            <w:r>
              <w:rPr>
                <w:rFonts w:hint="eastAsia" w:ascii="Times New Roman Regular" w:hAnsi="Times New Roman Regular" w:eastAsia="宋体" w:cs="Times New Roman Regular"/>
                <w:color w:val="000000"/>
                <w:kern w:val="0"/>
                <w:szCs w:val="21"/>
                <w:vertAlign w:val="superscript"/>
                <w:lang w:val="en-US" w:eastAsia="zh-Hans" w:bidi="ar"/>
              </w:rPr>
              <w:fldChar w:fldCharType="begin"/>
            </w:r>
            <w:r>
              <w:rPr>
                <w:rFonts w:hint="eastAsia" w:ascii="Times New Roman Regular" w:hAnsi="Times New Roman Regular" w:eastAsia="宋体" w:cs="Times New Roman Regular"/>
                <w:color w:val="000000"/>
                <w:kern w:val="0"/>
                <w:szCs w:val="21"/>
                <w:vertAlign w:val="superscript"/>
                <w:lang w:val="en-US" w:eastAsia="zh-Hans" w:bidi="ar"/>
              </w:rPr>
              <w:instrText xml:space="preserve"> REF _Ref990084626 \r \h </w:instrText>
            </w:r>
            <w:r>
              <w:rPr>
                <w:rFonts w:hint="eastAsia" w:ascii="Times New Roman Regular" w:hAnsi="Times New Roman Regular" w:eastAsia="宋体" w:cs="Times New Roman Regular"/>
                <w:color w:val="000000"/>
                <w:kern w:val="0"/>
                <w:szCs w:val="21"/>
                <w:vertAlign w:val="superscript"/>
                <w:lang w:val="en-US" w:eastAsia="zh-Hans" w:bidi="ar"/>
              </w:rPr>
              <w:fldChar w:fldCharType="separate"/>
            </w:r>
            <w:r>
              <w:rPr>
                <w:rFonts w:hint="eastAsia" w:ascii="Times New Roman Regular" w:hAnsi="Times New Roman Regular" w:eastAsia="宋体" w:cs="Times New Roman Regular"/>
                <w:color w:val="000000"/>
                <w:kern w:val="0"/>
                <w:szCs w:val="21"/>
                <w:vertAlign w:val="superscript"/>
                <w:lang w:val="en-US" w:eastAsia="zh-Hans" w:bidi="ar"/>
              </w:rPr>
              <w:t>[41]</w:t>
            </w:r>
            <w:r>
              <w:rPr>
                <w:rFonts w:hint="eastAsia" w:ascii="Times New Roman Regular" w:hAnsi="Times New Roman Regular" w:eastAsia="宋体" w:cs="Times New Roman Regular"/>
                <w:color w:val="000000"/>
                <w:kern w:val="0"/>
                <w:szCs w:val="21"/>
                <w:vertAlign w:val="superscript"/>
                <w:lang w:val="en-US" w:eastAsia="zh-Hans" w:bidi="ar"/>
              </w:rPr>
              <w:fldChar w:fldCharType="end"/>
            </w: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PE2. I think the driving experience of new energy vehicles is better.</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PE3. I think the exterior and interior of new energy vehicles are more beautiful</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PE4. I think the range of new energy vehicles is enough for traveling</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466" w:hRule="atLeast"/>
        </w:trPr>
        <w:tc>
          <w:tcPr>
            <w:tcW w:w="1064"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c>
          <w:tcPr>
            <w:tcW w:w="3224" w:type="pct"/>
            <w:tcBorders>
              <w:top w:val="nil"/>
              <w:left w:val="nil"/>
              <w:bottom w:val="single" w:color="000000" w:sz="4" w:space="0"/>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PE5. I think it is convenient to charge new energy vehicles</w:t>
            </w:r>
          </w:p>
        </w:tc>
        <w:tc>
          <w:tcPr>
            <w:tcW w:w="710" w:type="pct"/>
            <w:vMerge w:val="continue"/>
            <w:tcBorders>
              <w:top w:val="nil"/>
              <w:left w:val="nil"/>
              <w:bottom w:val="single" w:color="000000" w:sz="4"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restart"/>
            <w:tcBorders>
              <w:top w:val="nil"/>
              <w:left w:val="nil"/>
              <w:bottom w:val="single" w:color="000000" w:sz="12"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Environmental Awareness</w:t>
            </w:r>
            <w:r>
              <w:rPr>
                <w:rFonts w:ascii="Times New Roman Regular" w:hAnsi="Times New Roman Regular" w:eastAsia="宋体" w:cs="Times New Roman Regular"/>
                <w:color w:val="000000"/>
                <w:kern w:val="0"/>
                <w:szCs w:val="21"/>
                <w:lang w:bidi="ar"/>
              </w:rPr>
              <w:t>（EA）</w:t>
            </w: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EA1. I think environmental problems have become more and more serious in recent years.</w:t>
            </w:r>
          </w:p>
        </w:tc>
        <w:tc>
          <w:tcPr>
            <w:tcW w:w="710" w:type="pct"/>
            <w:vMerge w:val="restart"/>
            <w:tcBorders>
              <w:top w:val="nil"/>
              <w:left w:val="nil"/>
              <w:bottom w:val="single" w:color="000000" w:sz="12" w:space="0"/>
              <w:right w:val="nil"/>
            </w:tcBorders>
            <w:shd w:val="clear" w:color="auto" w:fill="FFFFFF"/>
            <w:noWrap w:val="0"/>
            <w:vAlign w:val="center"/>
          </w:tcPr>
          <w:p>
            <w:pPr>
              <w:widowControl/>
              <w:jc w:val="center"/>
              <w:textAlignment w:val="center"/>
              <w:rPr>
                <w:rFonts w:hint="eastAsia" w:ascii="Times New Roman Regular" w:hAnsi="Times New Roman Regular" w:eastAsia="宋体" w:cs="Times New Roman Regular"/>
                <w:color w:val="000000"/>
                <w:kern w:val="0"/>
                <w:szCs w:val="21"/>
                <w:lang w:val="en-US" w:eastAsia="zh-Hans" w:bidi="ar"/>
              </w:rPr>
            </w:pPr>
            <w:r>
              <w:rPr>
                <w:rFonts w:ascii="Times New Roman Regular" w:hAnsi="Times New Roman Regular" w:eastAsia="宋体" w:cs="Times New Roman Regular"/>
                <w:color w:val="000000"/>
                <w:kern w:val="0"/>
                <w:szCs w:val="21"/>
                <w:lang w:bidi="ar"/>
              </w:rPr>
              <w:t>Wang</w:t>
            </w:r>
            <w:r>
              <w:rPr>
                <w:rFonts w:hint="default" w:ascii="Times New Roman Regular" w:hAnsi="Times New Roman Regular" w:eastAsia="宋体" w:cs="Times New Roman Regular"/>
                <w:color w:val="000000"/>
                <w:kern w:val="0"/>
                <w:szCs w:val="21"/>
                <w:lang w:bidi="ar"/>
              </w:rPr>
              <w:t xml:space="preserve"> et.</w:t>
            </w:r>
            <w:r>
              <w:rPr>
                <w:rFonts w:hint="default" w:ascii="Times New Roman Regular" w:hAnsi="Times New Roman Regular" w:eastAsia="宋体" w:cs="Times New Roman Regular"/>
                <w:color w:val="000000"/>
                <w:kern w:val="0"/>
                <w:szCs w:val="21"/>
                <w:vertAlign w:val="superscript"/>
                <w:lang w:val="en-US" w:bidi="ar"/>
              </w:rPr>
              <w:fldChar w:fldCharType="begin"/>
            </w:r>
            <w:r>
              <w:rPr>
                <w:rFonts w:hint="default" w:ascii="Times New Roman Regular" w:hAnsi="Times New Roman Regular" w:eastAsia="宋体" w:cs="Times New Roman Regular"/>
                <w:color w:val="000000"/>
                <w:kern w:val="0"/>
                <w:szCs w:val="21"/>
                <w:vertAlign w:val="superscript"/>
                <w:lang w:val="en-US" w:bidi="ar"/>
              </w:rPr>
              <w:instrText xml:space="preserve"> REF _Ref19815 \r \h </w:instrText>
            </w:r>
            <w:r>
              <w:rPr>
                <w:rFonts w:hint="default" w:ascii="Times New Roman Regular" w:hAnsi="Times New Roman Regular" w:eastAsia="宋体" w:cs="Times New Roman Regular"/>
                <w:color w:val="000000"/>
                <w:kern w:val="0"/>
                <w:szCs w:val="21"/>
                <w:vertAlign w:val="superscript"/>
                <w:lang w:val="en-US" w:bidi="ar"/>
              </w:rPr>
              <w:fldChar w:fldCharType="separate"/>
            </w:r>
            <w:r>
              <w:rPr>
                <w:rFonts w:hint="default" w:ascii="Times New Roman Regular" w:hAnsi="Times New Roman Regular" w:eastAsia="宋体" w:cs="Times New Roman Regular"/>
                <w:color w:val="000000"/>
                <w:kern w:val="0"/>
                <w:szCs w:val="21"/>
                <w:vertAlign w:val="superscript"/>
                <w:lang w:val="en-US" w:bidi="ar"/>
              </w:rPr>
              <w:t>[10]</w:t>
            </w:r>
            <w:r>
              <w:rPr>
                <w:rFonts w:hint="default" w:ascii="Times New Roman Regular" w:hAnsi="Times New Roman Regular" w:eastAsia="宋体" w:cs="Times New Roman Regular"/>
                <w:color w:val="000000"/>
                <w:kern w:val="0"/>
                <w:szCs w:val="21"/>
                <w:vertAlign w:val="superscript"/>
                <w:lang w:val="en-US" w:bidi="ar"/>
              </w:rPr>
              <w:fldChar w:fldCharType="end"/>
            </w:r>
            <w:r>
              <w:rPr>
                <w:rFonts w:hint="default" w:ascii="Times New Roman Regular" w:hAnsi="Times New Roman Regular" w:eastAsia="宋体" w:cs="Times New Roman Regular"/>
                <w:color w:val="000000"/>
                <w:kern w:val="0"/>
                <w:szCs w:val="21"/>
                <w:lang w:bidi="ar"/>
              </w:rPr>
              <w:t>，L</w:t>
            </w:r>
            <w:r>
              <w:rPr>
                <w:rFonts w:hint="eastAsia" w:ascii="Times New Roman Regular" w:hAnsi="Times New Roman Regular" w:eastAsia="宋体" w:cs="Times New Roman Regular"/>
                <w:color w:val="000000"/>
                <w:kern w:val="0"/>
                <w:szCs w:val="21"/>
                <w:lang w:val="en-US" w:eastAsia="zh-Hans" w:bidi="ar"/>
              </w:rPr>
              <w:t>in</w:t>
            </w:r>
          </w:p>
          <w:p>
            <w:pPr>
              <w:widowControl/>
              <w:jc w:val="center"/>
              <w:textAlignment w:val="center"/>
              <w:rPr>
                <w:rFonts w:ascii="Times New Roman Regular" w:hAnsi="Times New Roman Regular" w:eastAsia="宋体" w:cs="Times New Roman Regular"/>
                <w:color w:val="000000"/>
                <w:szCs w:val="21"/>
              </w:rPr>
            </w:pPr>
            <w:r>
              <w:rPr>
                <w:rFonts w:hint="default" w:ascii="Times New Roman Regular" w:hAnsi="Times New Roman Regular" w:eastAsia="宋体" w:cs="Times New Roman Regular"/>
                <w:color w:val="000000"/>
                <w:kern w:val="0"/>
                <w:szCs w:val="21"/>
                <w:lang w:bidi="ar"/>
              </w:rPr>
              <w:t>et.</w:t>
            </w:r>
            <w:r>
              <w:rPr>
                <w:rFonts w:hint="default" w:ascii="Times New Roman Regular" w:hAnsi="Times New Roman Regular" w:eastAsia="宋体" w:cs="Times New Roman Regular"/>
                <w:color w:val="000000"/>
                <w:kern w:val="0"/>
                <w:szCs w:val="21"/>
                <w:vertAlign w:val="superscript"/>
                <w:lang w:val="en-US" w:bidi="ar"/>
              </w:rPr>
              <w:fldChar w:fldCharType="begin"/>
            </w:r>
            <w:r>
              <w:rPr>
                <w:rFonts w:hint="default" w:ascii="Times New Roman Regular" w:hAnsi="Times New Roman Regular" w:eastAsia="宋体" w:cs="Times New Roman Regular"/>
                <w:color w:val="000000"/>
                <w:kern w:val="0"/>
                <w:szCs w:val="21"/>
                <w:vertAlign w:val="superscript"/>
                <w:lang w:val="en-US" w:bidi="ar"/>
              </w:rPr>
              <w:instrText xml:space="preserve"> REF _Ref23690 \r \h </w:instrText>
            </w:r>
            <w:r>
              <w:rPr>
                <w:rFonts w:hint="default" w:ascii="Times New Roman Regular" w:hAnsi="Times New Roman Regular" w:eastAsia="宋体" w:cs="Times New Roman Regular"/>
                <w:color w:val="000000"/>
                <w:kern w:val="0"/>
                <w:szCs w:val="21"/>
                <w:vertAlign w:val="superscript"/>
                <w:lang w:val="en-US" w:bidi="ar"/>
              </w:rPr>
              <w:fldChar w:fldCharType="separate"/>
            </w:r>
            <w:r>
              <w:rPr>
                <w:rFonts w:hint="default" w:ascii="Times New Roman Regular" w:hAnsi="Times New Roman Regular" w:eastAsia="宋体" w:cs="Times New Roman Regular"/>
                <w:color w:val="000000"/>
                <w:kern w:val="0"/>
                <w:szCs w:val="21"/>
                <w:vertAlign w:val="superscript"/>
                <w:lang w:val="en-US" w:bidi="ar"/>
              </w:rPr>
              <w:t>[32]</w:t>
            </w:r>
            <w:r>
              <w:rPr>
                <w:rFonts w:hint="default" w:ascii="Times New Roman Regular" w:hAnsi="Times New Roman Regular" w:eastAsia="宋体" w:cs="Times New Roman Regular"/>
                <w:color w:val="000000"/>
                <w:kern w:val="0"/>
                <w:szCs w:val="21"/>
                <w:vertAlign w:val="superscript"/>
                <w:lang w:val="en-US" w:bidi="ar"/>
              </w:rPr>
              <w:fldChar w:fldCharType="end"/>
            </w:r>
          </w:p>
        </w:tc>
      </w:tr>
      <w:tr>
        <w:trPr>
          <w:trHeight w:val="306" w:hRule="atLeast"/>
        </w:trPr>
        <w:tc>
          <w:tcPr>
            <w:tcW w:w="1064" w:type="pct"/>
            <w:vMerge w:val="continue"/>
            <w:tcBorders>
              <w:top w:val="nil"/>
              <w:left w:val="nil"/>
              <w:bottom w:val="single" w:color="000000" w:sz="12" w:space="0"/>
              <w:right w:val="nil"/>
            </w:tcBorders>
            <w:shd w:val="clear" w:color="auto" w:fill="FFFFFF"/>
            <w:noWrap w:val="0"/>
            <w:vAlign w:val="center"/>
          </w:tcPr>
          <w:p>
            <w:pPr>
              <w:rPr>
                <w:rFonts w:ascii="Times New Roman Regular" w:hAnsi="Times New Roman Regular" w:eastAsia="宋体" w:cs="Times New Roman Regular"/>
                <w:color w:val="000000"/>
                <w:szCs w:val="21"/>
              </w:rPr>
            </w:pP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EA2. I am very worried about the current environmental pollution in China.</w:t>
            </w:r>
          </w:p>
        </w:tc>
        <w:tc>
          <w:tcPr>
            <w:tcW w:w="710" w:type="pct"/>
            <w:vMerge w:val="continue"/>
            <w:tcBorders>
              <w:top w:val="nil"/>
              <w:left w:val="nil"/>
              <w:bottom w:val="single" w:color="000000" w:sz="12"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continue"/>
            <w:tcBorders>
              <w:top w:val="nil"/>
              <w:left w:val="nil"/>
              <w:bottom w:val="single" w:color="000000" w:sz="12" w:space="0"/>
              <w:right w:val="nil"/>
            </w:tcBorders>
            <w:shd w:val="clear" w:color="auto" w:fill="FFFFFF"/>
            <w:noWrap w:val="0"/>
            <w:vAlign w:val="center"/>
          </w:tcPr>
          <w:p>
            <w:pPr>
              <w:rPr>
                <w:rFonts w:ascii="Times New Roman Regular" w:hAnsi="Times New Roman Regular" w:eastAsia="宋体" w:cs="Times New Roman Regular"/>
                <w:color w:val="000000"/>
                <w:szCs w:val="21"/>
              </w:rPr>
            </w:pPr>
          </w:p>
        </w:tc>
        <w:tc>
          <w:tcPr>
            <w:tcW w:w="3224" w:type="pct"/>
            <w:tcBorders>
              <w:top w:val="nil"/>
              <w:left w:val="nil"/>
              <w:bottom w:val="nil"/>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EA3. I think human beings should live in harmony with nature in order to achieve sustainable development</w:t>
            </w:r>
          </w:p>
        </w:tc>
        <w:tc>
          <w:tcPr>
            <w:tcW w:w="710" w:type="pct"/>
            <w:vMerge w:val="continue"/>
            <w:tcBorders>
              <w:top w:val="nil"/>
              <w:left w:val="nil"/>
              <w:bottom w:val="single" w:color="000000" w:sz="12"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064" w:type="pct"/>
            <w:vMerge w:val="continue"/>
            <w:tcBorders>
              <w:top w:val="nil"/>
              <w:left w:val="nil"/>
              <w:bottom w:val="single" w:color="000000" w:sz="12" w:space="0"/>
              <w:right w:val="nil"/>
            </w:tcBorders>
            <w:shd w:val="clear" w:color="auto" w:fill="FFFFFF"/>
            <w:noWrap w:val="0"/>
            <w:vAlign w:val="center"/>
          </w:tcPr>
          <w:p>
            <w:pPr>
              <w:rPr>
                <w:rFonts w:ascii="Times New Roman Regular" w:hAnsi="Times New Roman Regular" w:eastAsia="宋体" w:cs="Times New Roman Regular"/>
                <w:color w:val="000000"/>
                <w:szCs w:val="21"/>
              </w:rPr>
            </w:pPr>
          </w:p>
        </w:tc>
        <w:tc>
          <w:tcPr>
            <w:tcW w:w="3224" w:type="pct"/>
            <w:tcBorders>
              <w:top w:val="nil"/>
              <w:left w:val="nil"/>
              <w:bottom w:val="single" w:color="000000" w:sz="12" w:space="0"/>
              <w:right w:val="nil"/>
            </w:tcBorders>
            <w:shd w:val="clear" w:color="auto" w:fill="FFFFFF"/>
            <w:noWrap w:val="0"/>
            <w:vAlign w:val="center"/>
          </w:tcPr>
          <w:p>
            <w:pPr>
              <w:widowControl/>
              <w:jc w:val="left"/>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EA4. I think everyone has the responsibility to protect the environment</w:t>
            </w:r>
          </w:p>
        </w:tc>
        <w:tc>
          <w:tcPr>
            <w:tcW w:w="710" w:type="pct"/>
            <w:vMerge w:val="continue"/>
            <w:tcBorders>
              <w:top w:val="nil"/>
              <w:left w:val="nil"/>
              <w:bottom w:val="single" w:color="000000" w:sz="12" w:space="0"/>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bl>
    <w:p>
      <w:pPr>
        <w:pStyle w:val="2"/>
        <w:jc w:val="left"/>
        <w:rPr>
          <w:rFonts w:hint="eastAsia" w:ascii="Times New Roman" w:hAnsi="Times New Roman" w:eastAsia="宋体"/>
          <w:szCs w:val="21"/>
          <w:lang w:val="en-US" w:eastAsia="zh-Hans"/>
        </w:rPr>
      </w:pPr>
      <w:r>
        <w:rPr>
          <w:rFonts w:hint="default" w:ascii="Times New Roman" w:hAnsi="Times New Roman" w:eastAsia="宋体"/>
          <w:szCs w:val="21"/>
        </w:rPr>
        <w:t>3</w:t>
      </w:r>
      <w:r>
        <w:rPr>
          <w:rFonts w:hint="eastAsia" w:ascii="Times New Roman" w:hAnsi="Times New Roman" w:eastAsia="宋体"/>
          <w:szCs w:val="21"/>
          <w:lang w:val="en-US" w:eastAsia="zh-Hans"/>
        </w:rPr>
        <w:t>.quantitative study</w:t>
      </w:r>
    </w:p>
    <w:p>
      <w:pPr>
        <w:rPr>
          <w:rFonts w:hint="default"/>
        </w:rPr>
      </w:pPr>
      <w:r>
        <w:rPr>
          <w:rFonts w:hint="default" w:ascii="Times New Roman" w:hAnsi="Times New Roman" w:eastAsia="宋体"/>
          <w:szCs w:val="21"/>
          <w:lang w:eastAsia="zh-Hans"/>
        </w:rPr>
        <w:t>3</w:t>
      </w:r>
      <w:r>
        <w:rPr>
          <w:rFonts w:hint="eastAsia" w:ascii="Times New Roman" w:hAnsi="Times New Roman" w:eastAsia="宋体"/>
          <w:szCs w:val="21"/>
          <w:lang w:val="en-US" w:eastAsia="zh-Hans"/>
        </w:rPr>
        <w:t>.</w:t>
      </w:r>
      <w:r>
        <w:rPr>
          <w:rFonts w:hint="default" w:ascii="Times New Roman" w:hAnsi="Times New Roman" w:eastAsia="宋体"/>
          <w:szCs w:val="21"/>
          <w:lang w:eastAsia="zh-Hans"/>
        </w:rPr>
        <w:t>1Demographic analysis</w:t>
      </w:r>
    </w:p>
    <w:p>
      <w:pPr>
        <w:pStyle w:val="2"/>
        <w:ind w:right="-92" w:rightChars="-44"/>
        <w:jc w:val="left"/>
        <w:rPr>
          <w:rFonts w:hint="eastAsia" w:ascii="Times New Roman" w:hAnsi="Times New Roman" w:eastAsia="宋体"/>
          <w:szCs w:val="21"/>
        </w:rPr>
      </w:pPr>
      <w:r>
        <w:rPr>
          <w:rFonts w:hint="eastAsia" w:ascii="Times New Roman" w:hAnsi="Times New Roman" w:eastAsia="宋体"/>
          <w:szCs w:val="21"/>
        </w:rPr>
        <w:t>A total of 436 questionnaires were distributed in this study and 33 invalid questionnaires were excluded, resulting in 403 valid questionnaires.Kline [37] suggests that the sample size requirement for path analysis should be 10 to 20 times the model's to-be-estimated parameters. The to-be-estimated parameters of this model are 38, so the sample size of 403 meets the sample requirement. The distribution of the sample is shown in Table 2: 204 male respondents, accounting for 50.6%, and 199 female respondents, accounting for 49.4%: there are 171 people with elementary or junior high school education, accounting for 42.4%, 207 people with high school or middle school education, accounting for 51.4%, and 25 people with college education and above, accounting for 6.2%, 12 people with a monthly income of less than 2,000 yuan, accounting for 3%, and monthly Income in 2001 ~ 4000 yuan of 191 people, accounting for 47.4%, monthly income in 4001 ~ 6000 yuan of 161 people, accounting for 40%, monthly income of more than 6000 yuan of 39 people, accounting for 9.7%; knowledge of new energy vehicles: Never heard of it27 people, accounting for 6.7%, Heard of it but don't know much about it122 people, accounting for 30.3%, Know more about it</w:t>
      </w:r>
      <w:r>
        <w:rPr>
          <w:rFonts w:hint="default" w:ascii="Times New Roman" w:hAnsi="Times New Roman" w:eastAsia="宋体"/>
          <w:szCs w:val="21"/>
        </w:rPr>
        <w:t xml:space="preserve"> </w:t>
      </w:r>
      <w:r>
        <w:rPr>
          <w:rFonts w:hint="eastAsia" w:ascii="Times New Roman" w:hAnsi="Times New Roman" w:eastAsia="宋体"/>
          <w:szCs w:val="21"/>
        </w:rPr>
        <w:t>198 people, accounting for 49.1%, Know it very well</w:t>
      </w:r>
      <w:r>
        <w:rPr>
          <w:rFonts w:hint="default" w:ascii="Times New Roman" w:hAnsi="Times New Roman" w:eastAsia="宋体"/>
          <w:szCs w:val="21"/>
        </w:rPr>
        <w:t xml:space="preserve"> </w:t>
      </w:r>
      <w:r>
        <w:rPr>
          <w:rFonts w:hint="eastAsia" w:ascii="Times New Roman" w:hAnsi="Times New Roman" w:eastAsia="宋体"/>
          <w:szCs w:val="21"/>
        </w:rPr>
        <w:t>56 people, accounting for 13.9%. According to the descriptive analysis, we can understand the general characteristics of the research sample and prove that the data of the</w:t>
      </w:r>
      <w:r>
        <w:rPr>
          <w:rFonts w:hint="default" w:ascii="Times New Roman" w:hAnsi="Times New Roman" w:eastAsia="宋体"/>
          <w:szCs w:val="21"/>
        </w:rPr>
        <w:t xml:space="preserve"> </w:t>
      </w:r>
      <w:r>
        <w:rPr>
          <w:rFonts w:hint="eastAsia" w:ascii="Times New Roman" w:hAnsi="Times New Roman" w:eastAsia="宋体"/>
          <w:szCs w:val="21"/>
        </w:rPr>
        <w:t>questionnaire is also reasonable.</w:t>
      </w:r>
    </w:p>
    <w:p>
      <w:pPr>
        <w:pStyle w:val="2"/>
        <w:ind w:right="-92" w:rightChars="-44"/>
        <w:jc w:val="left"/>
        <w:rPr>
          <w:rFonts w:hint="default" w:ascii="Times New Roman" w:hAnsi="Times New Roman" w:eastAsia="宋体"/>
          <w:szCs w:val="21"/>
        </w:rPr>
      </w:pPr>
    </w:p>
    <w:p>
      <w:pPr>
        <w:pStyle w:val="2"/>
        <w:jc w:val="left"/>
        <w:rPr>
          <w:rFonts w:ascii="Times New Roman Regular" w:hAnsi="Times New Roman Regular" w:eastAsia="宋体" w:cs="Times New Roman Regular"/>
          <w:sz w:val="21"/>
          <w:szCs w:val="21"/>
        </w:rPr>
      </w:pPr>
      <w:r>
        <w:rPr>
          <w:rFonts w:hint="default" w:ascii="Times New Roman" w:hAnsi="Times New Roman" w:eastAsia="宋体"/>
          <w:szCs w:val="21"/>
        </w:rPr>
        <w:t xml:space="preserve">             </w:t>
      </w:r>
      <w:r>
        <w:rPr>
          <w:rFonts w:ascii="Times New Roman Regular" w:hAnsi="Times New Roman Regular" w:eastAsia="宋体" w:cs="Times New Roman Regular"/>
          <w:sz w:val="21"/>
          <w:szCs w:val="21"/>
        </w:rPr>
        <w:t>Tab.2 Descriptive statistical analysis of population characteristics</w:t>
      </w:r>
    </w:p>
    <w:tbl>
      <w:tblPr>
        <w:tblStyle w:val="4"/>
        <w:tblW w:w="4998" w:type="pct"/>
        <w:tblInd w:w="0" w:type="dxa"/>
        <w:tblLayout w:type="autofit"/>
        <w:tblCellMar>
          <w:top w:w="0" w:type="dxa"/>
          <w:left w:w="108" w:type="dxa"/>
          <w:bottom w:w="0" w:type="dxa"/>
          <w:right w:w="108" w:type="dxa"/>
        </w:tblCellMar>
      </w:tblPr>
      <w:tblGrid>
        <w:gridCol w:w="2615"/>
        <w:gridCol w:w="2219"/>
        <w:gridCol w:w="1841"/>
        <w:gridCol w:w="1844"/>
      </w:tblGrid>
      <w:tr>
        <w:trPr>
          <w:trHeight w:val="306" w:hRule="atLeast"/>
        </w:trPr>
        <w:tc>
          <w:tcPr>
            <w:tcW w:w="1534" w:type="pct"/>
            <w:tcBorders>
              <w:top w:val="single" w:color="000000" w:sz="12" w:space="0"/>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Statistical items</w:t>
            </w:r>
          </w:p>
        </w:tc>
        <w:tc>
          <w:tcPr>
            <w:tcW w:w="1302" w:type="pct"/>
            <w:tcBorders>
              <w:top w:val="single" w:color="000000" w:sz="12" w:space="0"/>
              <w:left w:val="nil"/>
              <w:bottom w:val="nil"/>
              <w:right w:val="nil"/>
            </w:tcBorders>
            <w:shd w:val="clear" w:color="auto" w:fill="FFFFFF"/>
            <w:noWrap w:val="0"/>
            <w:vAlign w:val="top"/>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Category</w:t>
            </w:r>
          </w:p>
        </w:tc>
        <w:tc>
          <w:tcPr>
            <w:tcW w:w="1080" w:type="pct"/>
            <w:tcBorders>
              <w:top w:val="single" w:color="000000" w:sz="12" w:space="0"/>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 xml:space="preserve">Number of samples </w:t>
            </w:r>
          </w:p>
        </w:tc>
        <w:tc>
          <w:tcPr>
            <w:tcW w:w="1082" w:type="pct"/>
            <w:tcBorders>
              <w:top w:val="single" w:color="000000" w:sz="12" w:space="0"/>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Percentage/%</w:t>
            </w:r>
          </w:p>
        </w:tc>
      </w:tr>
      <w:tr>
        <w:trPr>
          <w:trHeight w:val="306" w:hRule="atLeast"/>
        </w:trPr>
        <w:tc>
          <w:tcPr>
            <w:tcW w:w="1534" w:type="pct"/>
            <w:vMerge w:val="restart"/>
            <w:tcBorders>
              <w:top w:val="single" w:color="000000" w:sz="4" w:space="0"/>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What is your gender?</w:t>
            </w:r>
          </w:p>
          <w:p>
            <w:pPr>
              <w:widowControl/>
              <w:jc w:val="center"/>
              <w:textAlignment w:val="top"/>
              <w:rPr>
                <w:rFonts w:hint="eastAsia" w:ascii="Times New Roman Regular" w:hAnsi="Times New Roman Regular" w:eastAsia="宋体" w:cs="Times New Roman Regular"/>
                <w:color w:val="000000"/>
                <w:kern w:val="0"/>
                <w:szCs w:val="21"/>
                <w:lang w:bidi="ar"/>
              </w:rPr>
            </w:pPr>
          </w:p>
        </w:tc>
        <w:tc>
          <w:tcPr>
            <w:tcW w:w="1302" w:type="pct"/>
            <w:tcBorders>
              <w:top w:val="single" w:color="000000" w:sz="4" w:space="0"/>
              <w:left w:val="nil"/>
              <w:bottom w:val="nil"/>
              <w:right w:val="nil"/>
            </w:tcBorders>
            <w:shd w:val="clear" w:color="auto" w:fill="FFFFFF"/>
            <w:noWrap w:val="0"/>
            <w:vAlign w:val="top"/>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Male</w:t>
            </w:r>
          </w:p>
        </w:tc>
        <w:tc>
          <w:tcPr>
            <w:tcW w:w="1080" w:type="pct"/>
            <w:tcBorders>
              <w:top w:val="single" w:color="000000" w:sz="4" w:space="0"/>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204</w:t>
            </w:r>
          </w:p>
        </w:tc>
        <w:tc>
          <w:tcPr>
            <w:tcW w:w="1082" w:type="pct"/>
            <w:tcBorders>
              <w:top w:val="single" w:color="000000" w:sz="4" w:space="0"/>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50.60 %</w:t>
            </w:r>
          </w:p>
        </w:tc>
      </w:tr>
      <w:tr>
        <w:trPr>
          <w:trHeight w:val="306" w:hRule="atLeast"/>
        </w:trPr>
        <w:tc>
          <w:tcPr>
            <w:tcW w:w="1534" w:type="pct"/>
            <w:vMerge w:val="continue"/>
            <w:tcBorders>
              <w:top w:val="single" w:color="000000" w:sz="4" w:space="0"/>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p>
        </w:tc>
        <w:tc>
          <w:tcPr>
            <w:tcW w:w="1302" w:type="pct"/>
            <w:tcBorders>
              <w:top w:val="nil"/>
              <w:left w:val="nil"/>
              <w:bottom w:val="nil"/>
              <w:right w:val="nil"/>
            </w:tcBorders>
            <w:shd w:val="clear" w:color="auto" w:fill="FFFFFF"/>
            <w:noWrap w:val="0"/>
            <w:vAlign w:val="top"/>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Female</w:t>
            </w:r>
          </w:p>
        </w:tc>
        <w:tc>
          <w:tcPr>
            <w:tcW w:w="1080"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199</w:t>
            </w:r>
          </w:p>
        </w:tc>
        <w:tc>
          <w:tcPr>
            <w:tcW w:w="1082"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49.40 %</w:t>
            </w:r>
          </w:p>
        </w:tc>
      </w:tr>
      <w:tr>
        <w:trPr>
          <w:trHeight w:val="306" w:hRule="atLeast"/>
        </w:trPr>
        <w:tc>
          <w:tcPr>
            <w:tcW w:w="1534" w:type="pct"/>
            <w:vMerge w:val="restart"/>
            <w:tcBorders>
              <w:top w:val="single" w:color="000000" w:sz="4" w:space="0"/>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p>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Your age is?</w:t>
            </w:r>
          </w:p>
        </w:tc>
        <w:tc>
          <w:tcPr>
            <w:tcW w:w="1302" w:type="pct"/>
            <w:tcBorders>
              <w:top w:val="single" w:color="000000" w:sz="4" w:space="0"/>
              <w:left w:val="nil"/>
              <w:bottom w:val="nil"/>
              <w:right w:val="nil"/>
            </w:tcBorders>
            <w:shd w:val="clear" w:color="auto" w:fill="FFFFFF"/>
            <w:noWrap w:val="0"/>
            <w:vAlign w:val="top"/>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55-60 years old</w:t>
            </w:r>
          </w:p>
        </w:tc>
        <w:tc>
          <w:tcPr>
            <w:tcW w:w="1080" w:type="pct"/>
            <w:tcBorders>
              <w:top w:val="single" w:color="000000" w:sz="4" w:space="0"/>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222</w:t>
            </w:r>
          </w:p>
        </w:tc>
        <w:tc>
          <w:tcPr>
            <w:tcW w:w="1082" w:type="pct"/>
            <w:tcBorders>
              <w:top w:val="single" w:color="000000" w:sz="4" w:space="0"/>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55.10 %</w:t>
            </w:r>
          </w:p>
        </w:tc>
      </w:tr>
      <w:tr>
        <w:trPr>
          <w:trHeight w:val="306" w:hRule="atLeast"/>
        </w:trPr>
        <w:tc>
          <w:tcPr>
            <w:tcW w:w="1534" w:type="pct"/>
            <w:vMerge w:val="continue"/>
            <w:tcBorders>
              <w:top w:val="single" w:color="000000" w:sz="4" w:space="0"/>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p>
        </w:tc>
        <w:tc>
          <w:tcPr>
            <w:tcW w:w="1302" w:type="pct"/>
            <w:tcBorders>
              <w:top w:val="nil"/>
              <w:left w:val="nil"/>
              <w:bottom w:val="nil"/>
              <w:right w:val="nil"/>
            </w:tcBorders>
            <w:shd w:val="clear" w:color="auto" w:fill="FFFFFF"/>
            <w:noWrap w:val="0"/>
            <w:vAlign w:val="top"/>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60-65 years old</w:t>
            </w:r>
          </w:p>
        </w:tc>
        <w:tc>
          <w:tcPr>
            <w:tcW w:w="1080"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138</w:t>
            </w:r>
          </w:p>
        </w:tc>
        <w:tc>
          <w:tcPr>
            <w:tcW w:w="1082"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34.30 %</w:t>
            </w:r>
          </w:p>
        </w:tc>
      </w:tr>
      <w:tr>
        <w:trPr>
          <w:trHeight w:val="306" w:hRule="atLeast"/>
        </w:trPr>
        <w:tc>
          <w:tcPr>
            <w:tcW w:w="1534" w:type="pct"/>
            <w:vMerge w:val="continue"/>
            <w:tcBorders>
              <w:top w:val="single" w:color="000000" w:sz="4" w:space="0"/>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p>
        </w:tc>
        <w:tc>
          <w:tcPr>
            <w:tcW w:w="1302" w:type="pct"/>
            <w:tcBorders>
              <w:top w:val="nil"/>
              <w:left w:val="nil"/>
              <w:bottom w:val="nil"/>
              <w:right w:val="nil"/>
            </w:tcBorders>
            <w:shd w:val="clear" w:color="auto" w:fill="FFFFFF"/>
            <w:noWrap w:val="0"/>
            <w:vAlign w:val="top"/>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65-70 years old</w:t>
            </w:r>
          </w:p>
        </w:tc>
        <w:tc>
          <w:tcPr>
            <w:tcW w:w="1080"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43</w:t>
            </w:r>
          </w:p>
        </w:tc>
        <w:tc>
          <w:tcPr>
            <w:tcW w:w="1082"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10.70 %</w:t>
            </w:r>
          </w:p>
        </w:tc>
      </w:tr>
      <w:tr>
        <w:trPr>
          <w:trHeight w:val="306" w:hRule="atLeast"/>
        </w:trPr>
        <w:tc>
          <w:tcPr>
            <w:tcW w:w="1534" w:type="pct"/>
            <w:vMerge w:val="restart"/>
            <w:tcBorders>
              <w:top w:val="single" w:color="000000" w:sz="4" w:space="0"/>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Your education level is?</w:t>
            </w:r>
          </w:p>
        </w:tc>
        <w:tc>
          <w:tcPr>
            <w:tcW w:w="1302" w:type="pct"/>
            <w:tcBorders>
              <w:top w:val="single" w:color="000000" w:sz="4" w:space="0"/>
              <w:left w:val="nil"/>
              <w:bottom w:val="nil"/>
              <w:right w:val="nil"/>
            </w:tcBorders>
            <w:shd w:val="clear" w:color="auto" w:fill="FFFFFF"/>
            <w:noWrap w:val="0"/>
            <w:vAlign w:val="top"/>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Elementary school or junior high school</w:t>
            </w:r>
          </w:p>
        </w:tc>
        <w:tc>
          <w:tcPr>
            <w:tcW w:w="1080" w:type="pct"/>
            <w:tcBorders>
              <w:top w:val="single" w:color="000000" w:sz="4" w:space="0"/>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171</w:t>
            </w:r>
          </w:p>
        </w:tc>
        <w:tc>
          <w:tcPr>
            <w:tcW w:w="1082" w:type="pct"/>
            <w:tcBorders>
              <w:top w:val="single" w:color="000000" w:sz="4" w:space="0"/>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42.40 %</w:t>
            </w:r>
          </w:p>
        </w:tc>
      </w:tr>
      <w:tr>
        <w:trPr>
          <w:trHeight w:val="306" w:hRule="atLeast"/>
        </w:trPr>
        <w:tc>
          <w:tcPr>
            <w:tcW w:w="1534" w:type="pct"/>
            <w:vMerge w:val="continue"/>
            <w:tcBorders>
              <w:top w:val="single" w:color="000000" w:sz="4" w:space="0"/>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p>
        </w:tc>
        <w:tc>
          <w:tcPr>
            <w:tcW w:w="1302" w:type="pct"/>
            <w:tcBorders>
              <w:top w:val="nil"/>
              <w:left w:val="nil"/>
              <w:bottom w:val="nil"/>
              <w:right w:val="nil"/>
            </w:tcBorders>
            <w:shd w:val="clear" w:color="auto" w:fill="FFFFFF"/>
            <w:noWrap w:val="0"/>
            <w:vAlign w:val="top"/>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High school or middle school</w:t>
            </w:r>
          </w:p>
        </w:tc>
        <w:tc>
          <w:tcPr>
            <w:tcW w:w="1080"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207</w:t>
            </w:r>
          </w:p>
        </w:tc>
        <w:tc>
          <w:tcPr>
            <w:tcW w:w="1082"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51.40 %</w:t>
            </w:r>
          </w:p>
        </w:tc>
      </w:tr>
      <w:tr>
        <w:trPr>
          <w:trHeight w:val="306" w:hRule="atLeast"/>
        </w:trPr>
        <w:tc>
          <w:tcPr>
            <w:tcW w:w="1534" w:type="pct"/>
            <w:vMerge w:val="continue"/>
            <w:tcBorders>
              <w:top w:val="single" w:color="000000" w:sz="4" w:space="0"/>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p>
        </w:tc>
        <w:tc>
          <w:tcPr>
            <w:tcW w:w="1302" w:type="pct"/>
            <w:tcBorders>
              <w:top w:val="nil"/>
              <w:left w:val="nil"/>
              <w:bottom w:val="nil"/>
              <w:right w:val="nil"/>
            </w:tcBorders>
            <w:shd w:val="clear" w:color="auto" w:fill="FFFFFF"/>
            <w:noWrap w:val="0"/>
            <w:vAlign w:val="top"/>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College and above</w:t>
            </w:r>
          </w:p>
        </w:tc>
        <w:tc>
          <w:tcPr>
            <w:tcW w:w="1080"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25</w:t>
            </w:r>
          </w:p>
        </w:tc>
        <w:tc>
          <w:tcPr>
            <w:tcW w:w="1082"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6.20 %</w:t>
            </w:r>
          </w:p>
        </w:tc>
      </w:tr>
      <w:tr>
        <w:trPr>
          <w:trHeight w:val="306" w:hRule="atLeast"/>
        </w:trPr>
        <w:tc>
          <w:tcPr>
            <w:tcW w:w="1534" w:type="pct"/>
            <w:vMerge w:val="restart"/>
            <w:tcBorders>
              <w:top w:val="single" w:color="000000" w:sz="4" w:space="0"/>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What is your monthly income?</w:t>
            </w:r>
          </w:p>
        </w:tc>
        <w:tc>
          <w:tcPr>
            <w:tcW w:w="1302" w:type="pct"/>
            <w:tcBorders>
              <w:top w:val="single" w:color="000000" w:sz="4" w:space="0"/>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&lt;2000</w:t>
            </w:r>
          </w:p>
        </w:tc>
        <w:tc>
          <w:tcPr>
            <w:tcW w:w="1080" w:type="pct"/>
            <w:tcBorders>
              <w:top w:val="single" w:color="000000" w:sz="4" w:space="0"/>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12</w:t>
            </w:r>
          </w:p>
        </w:tc>
        <w:tc>
          <w:tcPr>
            <w:tcW w:w="1082" w:type="pct"/>
            <w:tcBorders>
              <w:top w:val="single" w:color="000000" w:sz="4" w:space="0"/>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3 %</w:t>
            </w:r>
          </w:p>
        </w:tc>
      </w:tr>
      <w:tr>
        <w:trPr>
          <w:trHeight w:val="306" w:hRule="atLeast"/>
        </w:trPr>
        <w:tc>
          <w:tcPr>
            <w:tcW w:w="1534" w:type="pct"/>
            <w:vMerge w:val="continue"/>
            <w:tcBorders>
              <w:top w:val="single" w:color="000000" w:sz="4" w:space="0"/>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p>
        </w:tc>
        <w:tc>
          <w:tcPr>
            <w:tcW w:w="1302" w:type="pct"/>
            <w:tcBorders>
              <w:top w:val="nil"/>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2001~4000</w:t>
            </w:r>
          </w:p>
        </w:tc>
        <w:tc>
          <w:tcPr>
            <w:tcW w:w="1080"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191</w:t>
            </w:r>
          </w:p>
        </w:tc>
        <w:tc>
          <w:tcPr>
            <w:tcW w:w="1082"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47.40 %</w:t>
            </w:r>
          </w:p>
        </w:tc>
      </w:tr>
      <w:tr>
        <w:trPr>
          <w:trHeight w:val="306" w:hRule="atLeast"/>
        </w:trPr>
        <w:tc>
          <w:tcPr>
            <w:tcW w:w="1534" w:type="pct"/>
            <w:vMerge w:val="continue"/>
            <w:tcBorders>
              <w:top w:val="single" w:color="000000" w:sz="4" w:space="0"/>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p>
        </w:tc>
        <w:tc>
          <w:tcPr>
            <w:tcW w:w="1302" w:type="pct"/>
            <w:tcBorders>
              <w:top w:val="nil"/>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4001~6000</w:t>
            </w:r>
          </w:p>
        </w:tc>
        <w:tc>
          <w:tcPr>
            <w:tcW w:w="1080"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161</w:t>
            </w:r>
          </w:p>
        </w:tc>
        <w:tc>
          <w:tcPr>
            <w:tcW w:w="1082"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40 %</w:t>
            </w:r>
          </w:p>
        </w:tc>
      </w:tr>
      <w:tr>
        <w:trPr>
          <w:trHeight w:val="306" w:hRule="atLeast"/>
        </w:trPr>
        <w:tc>
          <w:tcPr>
            <w:tcW w:w="1534" w:type="pct"/>
            <w:vMerge w:val="continue"/>
            <w:tcBorders>
              <w:top w:val="single" w:color="000000" w:sz="4" w:space="0"/>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p>
        </w:tc>
        <w:tc>
          <w:tcPr>
            <w:tcW w:w="1302" w:type="pct"/>
            <w:tcBorders>
              <w:top w:val="nil"/>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＞6000</w:t>
            </w:r>
          </w:p>
        </w:tc>
        <w:tc>
          <w:tcPr>
            <w:tcW w:w="1080"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39</w:t>
            </w:r>
          </w:p>
        </w:tc>
        <w:tc>
          <w:tcPr>
            <w:tcW w:w="1082"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9.70 %</w:t>
            </w:r>
          </w:p>
        </w:tc>
      </w:tr>
      <w:tr>
        <w:trPr>
          <w:trHeight w:val="345" w:hRule="atLeast"/>
        </w:trPr>
        <w:tc>
          <w:tcPr>
            <w:tcW w:w="1534" w:type="pct"/>
            <w:vMerge w:val="restart"/>
            <w:tcBorders>
              <w:top w:val="single" w:color="000000" w:sz="4" w:space="0"/>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Do you have a driver's license?</w:t>
            </w:r>
          </w:p>
        </w:tc>
        <w:tc>
          <w:tcPr>
            <w:tcW w:w="1302" w:type="pct"/>
            <w:tcBorders>
              <w:top w:val="single" w:color="000000" w:sz="4" w:space="0"/>
              <w:left w:val="nil"/>
              <w:bottom w:val="nil"/>
              <w:right w:val="nil"/>
            </w:tcBorders>
            <w:shd w:val="clear" w:color="auto" w:fill="FFFFFF"/>
            <w:noWrap w:val="0"/>
            <w:vAlign w:val="top"/>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Yes</w:t>
            </w:r>
          </w:p>
        </w:tc>
        <w:tc>
          <w:tcPr>
            <w:tcW w:w="1080" w:type="pct"/>
            <w:tcBorders>
              <w:top w:val="single" w:color="000000" w:sz="4" w:space="0"/>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196</w:t>
            </w:r>
          </w:p>
        </w:tc>
        <w:tc>
          <w:tcPr>
            <w:tcW w:w="1082" w:type="pct"/>
            <w:tcBorders>
              <w:top w:val="single" w:color="000000" w:sz="4" w:space="0"/>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48.60 %</w:t>
            </w:r>
          </w:p>
        </w:tc>
      </w:tr>
      <w:tr>
        <w:trPr>
          <w:trHeight w:val="309" w:hRule="atLeast"/>
        </w:trPr>
        <w:tc>
          <w:tcPr>
            <w:tcW w:w="1534" w:type="pct"/>
            <w:vMerge w:val="continue"/>
            <w:tcBorders>
              <w:top w:val="single" w:color="000000" w:sz="4" w:space="0"/>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p>
        </w:tc>
        <w:tc>
          <w:tcPr>
            <w:tcW w:w="1302" w:type="pct"/>
            <w:tcBorders>
              <w:top w:val="nil"/>
              <w:left w:val="nil"/>
              <w:bottom w:val="nil"/>
              <w:right w:val="nil"/>
            </w:tcBorders>
            <w:shd w:val="clear" w:color="auto" w:fill="FFFFFF"/>
            <w:noWrap w:val="0"/>
            <w:vAlign w:val="top"/>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No</w:t>
            </w:r>
          </w:p>
        </w:tc>
        <w:tc>
          <w:tcPr>
            <w:tcW w:w="1080"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207</w:t>
            </w:r>
          </w:p>
        </w:tc>
        <w:tc>
          <w:tcPr>
            <w:tcW w:w="1082"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51.70 %</w:t>
            </w:r>
          </w:p>
        </w:tc>
      </w:tr>
      <w:tr>
        <w:trPr>
          <w:trHeight w:val="306" w:hRule="atLeast"/>
        </w:trPr>
        <w:tc>
          <w:tcPr>
            <w:tcW w:w="1534" w:type="pct"/>
            <w:vMerge w:val="restart"/>
            <w:tcBorders>
              <w:top w:val="single" w:color="000000" w:sz="4" w:space="0"/>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Living status</w:t>
            </w:r>
          </w:p>
        </w:tc>
        <w:tc>
          <w:tcPr>
            <w:tcW w:w="1302" w:type="pct"/>
            <w:tcBorders>
              <w:top w:val="single" w:color="000000" w:sz="4" w:space="0"/>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Living alone</w:t>
            </w:r>
          </w:p>
        </w:tc>
        <w:tc>
          <w:tcPr>
            <w:tcW w:w="1080" w:type="pct"/>
            <w:tcBorders>
              <w:top w:val="single" w:color="000000" w:sz="4" w:space="0"/>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27</w:t>
            </w:r>
          </w:p>
        </w:tc>
        <w:tc>
          <w:tcPr>
            <w:tcW w:w="1082" w:type="pct"/>
            <w:tcBorders>
              <w:top w:val="single" w:color="000000" w:sz="4" w:space="0"/>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6.70 %</w:t>
            </w:r>
          </w:p>
        </w:tc>
      </w:tr>
      <w:tr>
        <w:trPr>
          <w:trHeight w:val="306" w:hRule="atLeast"/>
        </w:trPr>
        <w:tc>
          <w:tcPr>
            <w:tcW w:w="1534" w:type="pct"/>
            <w:vMerge w:val="continue"/>
            <w:tcBorders>
              <w:top w:val="single" w:color="000000" w:sz="4" w:space="0"/>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p>
        </w:tc>
        <w:tc>
          <w:tcPr>
            <w:tcW w:w="1302" w:type="pct"/>
            <w:tcBorders>
              <w:top w:val="nil"/>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Husband and wife together</w:t>
            </w:r>
          </w:p>
        </w:tc>
        <w:tc>
          <w:tcPr>
            <w:tcW w:w="1080"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157</w:t>
            </w:r>
          </w:p>
        </w:tc>
        <w:tc>
          <w:tcPr>
            <w:tcW w:w="1082"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39 %</w:t>
            </w:r>
          </w:p>
        </w:tc>
      </w:tr>
      <w:tr>
        <w:trPr>
          <w:trHeight w:val="306" w:hRule="atLeast"/>
        </w:trPr>
        <w:tc>
          <w:tcPr>
            <w:tcW w:w="1534" w:type="pct"/>
            <w:vMerge w:val="continue"/>
            <w:tcBorders>
              <w:top w:val="single" w:color="000000" w:sz="4" w:space="0"/>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p>
        </w:tc>
        <w:tc>
          <w:tcPr>
            <w:tcW w:w="1302" w:type="pct"/>
            <w:tcBorders>
              <w:top w:val="nil"/>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Alone with children</w:t>
            </w:r>
          </w:p>
        </w:tc>
        <w:tc>
          <w:tcPr>
            <w:tcW w:w="1080"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59</w:t>
            </w:r>
          </w:p>
        </w:tc>
        <w:tc>
          <w:tcPr>
            <w:tcW w:w="1082"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14.60 %</w:t>
            </w:r>
          </w:p>
        </w:tc>
      </w:tr>
      <w:tr>
        <w:trPr>
          <w:trHeight w:val="306" w:hRule="atLeast"/>
        </w:trPr>
        <w:tc>
          <w:tcPr>
            <w:tcW w:w="1534" w:type="pct"/>
            <w:vMerge w:val="continue"/>
            <w:tcBorders>
              <w:top w:val="single" w:color="000000" w:sz="4" w:space="0"/>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p>
        </w:tc>
        <w:tc>
          <w:tcPr>
            <w:tcW w:w="1302" w:type="pct"/>
            <w:tcBorders>
              <w:top w:val="nil"/>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Couple with children</w:t>
            </w:r>
          </w:p>
        </w:tc>
        <w:tc>
          <w:tcPr>
            <w:tcW w:w="1080"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160</w:t>
            </w:r>
          </w:p>
        </w:tc>
        <w:tc>
          <w:tcPr>
            <w:tcW w:w="1082"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39.70 %</w:t>
            </w:r>
          </w:p>
        </w:tc>
      </w:tr>
      <w:tr>
        <w:trPr>
          <w:trHeight w:val="306" w:hRule="atLeast"/>
        </w:trPr>
        <w:tc>
          <w:tcPr>
            <w:tcW w:w="1534" w:type="pct"/>
            <w:vMerge w:val="restart"/>
            <w:tcBorders>
              <w:top w:val="single" w:color="000000" w:sz="4" w:space="0"/>
              <w:left w:val="nil"/>
              <w:bottom w:val="single" w:color="000000" w:sz="12" w:space="0"/>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Knowledge of new energy vehicles</w:t>
            </w:r>
          </w:p>
        </w:tc>
        <w:tc>
          <w:tcPr>
            <w:tcW w:w="1302" w:type="pct"/>
            <w:tcBorders>
              <w:top w:val="single" w:color="000000" w:sz="4" w:space="0"/>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Never heard of it</w:t>
            </w:r>
          </w:p>
        </w:tc>
        <w:tc>
          <w:tcPr>
            <w:tcW w:w="1080" w:type="pct"/>
            <w:tcBorders>
              <w:top w:val="single" w:color="000000" w:sz="4" w:space="0"/>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27</w:t>
            </w:r>
          </w:p>
        </w:tc>
        <w:tc>
          <w:tcPr>
            <w:tcW w:w="1082" w:type="pct"/>
            <w:tcBorders>
              <w:top w:val="single" w:color="000000" w:sz="4" w:space="0"/>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6.70 %</w:t>
            </w:r>
          </w:p>
        </w:tc>
      </w:tr>
      <w:tr>
        <w:trPr>
          <w:trHeight w:val="306" w:hRule="atLeast"/>
        </w:trPr>
        <w:tc>
          <w:tcPr>
            <w:tcW w:w="1534" w:type="pct"/>
            <w:vMerge w:val="continue"/>
            <w:tcBorders>
              <w:top w:val="single" w:color="000000" w:sz="4" w:space="0"/>
              <w:left w:val="nil"/>
              <w:bottom w:val="single" w:color="000000" w:sz="12" w:space="0"/>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p>
        </w:tc>
        <w:tc>
          <w:tcPr>
            <w:tcW w:w="1302" w:type="pct"/>
            <w:tcBorders>
              <w:top w:val="nil"/>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Heard of it but don't know much about it</w:t>
            </w:r>
          </w:p>
        </w:tc>
        <w:tc>
          <w:tcPr>
            <w:tcW w:w="1080"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122</w:t>
            </w:r>
          </w:p>
        </w:tc>
        <w:tc>
          <w:tcPr>
            <w:tcW w:w="1082"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30.30 %</w:t>
            </w:r>
          </w:p>
        </w:tc>
      </w:tr>
      <w:tr>
        <w:trPr>
          <w:trHeight w:val="306" w:hRule="atLeast"/>
        </w:trPr>
        <w:tc>
          <w:tcPr>
            <w:tcW w:w="1534" w:type="pct"/>
            <w:vMerge w:val="continue"/>
            <w:tcBorders>
              <w:top w:val="single" w:color="000000" w:sz="4" w:space="0"/>
              <w:left w:val="nil"/>
              <w:bottom w:val="single" w:color="000000" w:sz="12" w:space="0"/>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p>
        </w:tc>
        <w:tc>
          <w:tcPr>
            <w:tcW w:w="1302" w:type="pct"/>
            <w:tcBorders>
              <w:top w:val="nil"/>
              <w:left w:val="nil"/>
              <w:bottom w:val="nil"/>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Know more about it</w:t>
            </w:r>
          </w:p>
        </w:tc>
        <w:tc>
          <w:tcPr>
            <w:tcW w:w="1080"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198</w:t>
            </w:r>
          </w:p>
        </w:tc>
        <w:tc>
          <w:tcPr>
            <w:tcW w:w="1082" w:type="pct"/>
            <w:tcBorders>
              <w:top w:val="nil"/>
              <w:left w:val="nil"/>
              <w:bottom w:val="nil"/>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49.10 %</w:t>
            </w:r>
          </w:p>
        </w:tc>
      </w:tr>
      <w:tr>
        <w:trPr>
          <w:trHeight w:val="306" w:hRule="atLeast"/>
        </w:trPr>
        <w:tc>
          <w:tcPr>
            <w:tcW w:w="1534" w:type="pct"/>
            <w:vMerge w:val="continue"/>
            <w:tcBorders>
              <w:top w:val="single" w:color="000000" w:sz="4" w:space="0"/>
              <w:left w:val="nil"/>
              <w:bottom w:val="single" w:color="000000" w:sz="12" w:space="0"/>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p>
        </w:tc>
        <w:tc>
          <w:tcPr>
            <w:tcW w:w="1302" w:type="pct"/>
            <w:tcBorders>
              <w:top w:val="nil"/>
              <w:left w:val="nil"/>
              <w:bottom w:val="single" w:color="000000" w:sz="12" w:space="0"/>
              <w:right w:val="nil"/>
            </w:tcBorders>
            <w:shd w:val="clear" w:color="auto" w:fill="FFFFFF"/>
            <w:noWrap w:val="0"/>
            <w:vAlign w:val="center"/>
          </w:tcPr>
          <w:p>
            <w:pPr>
              <w:widowControl/>
              <w:jc w:val="center"/>
              <w:textAlignment w:val="top"/>
              <w:rPr>
                <w:rFonts w:hint="eastAsia" w:ascii="Times New Roman Regular" w:hAnsi="Times New Roman Regular" w:eastAsia="宋体" w:cs="Times New Roman Regular"/>
                <w:color w:val="000000"/>
                <w:kern w:val="0"/>
                <w:szCs w:val="21"/>
                <w:lang w:bidi="ar"/>
              </w:rPr>
            </w:pPr>
            <w:r>
              <w:rPr>
                <w:rFonts w:hint="eastAsia" w:ascii="Times New Roman Regular" w:hAnsi="Times New Roman Regular" w:eastAsia="宋体" w:cs="Times New Roman Regular"/>
                <w:color w:val="000000"/>
                <w:kern w:val="0"/>
                <w:szCs w:val="21"/>
                <w:lang w:bidi="ar"/>
              </w:rPr>
              <w:t>Very well</w:t>
            </w:r>
          </w:p>
        </w:tc>
        <w:tc>
          <w:tcPr>
            <w:tcW w:w="1080" w:type="pct"/>
            <w:tcBorders>
              <w:top w:val="nil"/>
              <w:left w:val="nil"/>
              <w:bottom w:val="single" w:color="000000" w:sz="12" w:space="0"/>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56</w:t>
            </w:r>
          </w:p>
        </w:tc>
        <w:tc>
          <w:tcPr>
            <w:tcW w:w="1082" w:type="pct"/>
            <w:tcBorders>
              <w:top w:val="nil"/>
              <w:left w:val="nil"/>
              <w:bottom w:val="single" w:color="000000" w:sz="12" w:space="0"/>
              <w:right w:val="nil"/>
            </w:tcBorders>
            <w:shd w:val="clear" w:color="auto" w:fill="FFFFFF"/>
            <w:noWrap w:val="0"/>
            <w:vAlign w:val="top"/>
          </w:tcPr>
          <w:p>
            <w:pPr>
              <w:widowControl/>
              <w:jc w:val="center"/>
              <w:textAlignment w:val="top"/>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13.90 %</w:t>
            </w:r>
          </w:p>
        </w:tc>
      </w:tr>
    </w:tbl>
    <w:p>
      <w:pPr>
        <w:ind w:firstLine="420" w:firstLineChars="200"/>
        <w:rPr>
          <w:rFonts w:ascii="Times New Roman" w:hAnsi="Times New Roman" w:eastAsia="宋体"/>
          <w:szCs w:val="21"/>
        </w:rPr>
      </w:pPr>
    </w:p>
    <w:p>
      <w:pPr>
        <w:widowControl/>
        <w:ind w:left="0" w:leftChars="0" w:firstLine="0" w:firstLineChars="0"/>
        <w:jc w:val="left"/>
        <w:rPr>
          <w:rFonts w:hint="eastAsia" w:ascii="Times New Roman" w:hAnsi="Times New Roman" w:eastAsia="宋体"/>
          <w:szCs w:val="21"/>
        </w:rPr>
      </w:pPr>
      <w:r>
        <w:rPr>
          <w:rFonts w:hint="default" w:ascii="Times New Roman" w:hAnsi="Times New Roman" w:eastAsia="宋体"/>
          <w:szCs w:val="21"/>
        </w:rPr>
        <w:t>3</w:t>
      </w:r>
      <w:r>
        <w:rPr>
          <w:rFonts w:hint="eastAsia" w:ascii="Times New Roman" w:hAnsi="Times New Roman" w:eastAsia="宋体"/>
          <w:szCs w:val="21"/>
          <w:lang w:val="en-US" w:eastAsia="zh-Hans"/>
        </w:rPr>
        <w:t>.</w:t>
      </w:r>
      <w:r>
        <w:rPr>
          <w:rFonts w:hint="default" w:ascii="Times New Roman" w:hAnsi="Times New Roman" w:eastAsia="宋体"/>
          <w:szCs w:val="21"/>
          <w:lang w:eastAsia="zh-Hans"/>
        </w:rPr>
        <w:t>3</w:t>
      </w:r>
      <w:r>
        <w:rPr>
          <w:rFonts w:hint="eastAsia" w:ascii="Times New Roman" w:hAnsi="Times New Roman" w:eastAsia="宋体"/>
          <w:szCs w:val="21"/>
        </w:rPr>
        <w:t>Reliability test and validity test</w:t>
      </w:r>
    </w:p>
    <w:p>
      <w:pPr>
        <w:widowControl/>
        <w:ind w:left="0" w:leftChars="0" w:firstLine="420" w:firstLineChars="200"/>
        <w:jc w:val="left"/>
        <w:rPr>
          <w:rFonts w:hint="eastAsia"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szCs w:val="21"/>
        </w:rPr>
        <w:t>The accuracy and stability of questionnaire test results are measured using reliability validity. The reliability analysis used to measure the internal consistency and reliability of the results is generally evaluated by Cronbach's coefficient and combined reliability, while validity is used to measure the construct or concept that the measurement actually measures it is intended to measure. The Cronbach's alpha coefficient value was first determined using SPSS25, if the Cronbach's alpha value for each observed variable, it indicates a high level of reliability. For each variable measured, Average Variance Extracted exceeds 0.5 and Combinatorial Reliability exceeds 0.8, which indicates that the dataset is excellent in terms of aggregation validity. Further, by performing the KMO measure and Bartlett's test of sphericity, the KMO value obtained is 0.938, which exceeds the recommended value of 0.8, while the approximate chi-square value of Bartlett's test is 8709.929, with a degree of freedom of 0.703, and the significance level of 0.000, which indicates that the dataset is well suited for the factor analysis, as shown in Table 4. and all the latent variables have AVE square root values exceeded the correlation coefficients between the latent variables, so the model showed good discriminant validity, see Table 5.</w:t>
      </w:r>
    </w:p>
    <w:p>
      <w:pPr>
        <w:widowControl/>
        <w:ind w:firstLine="0" w:firstLineChars="0"/>
        <w:jc w:val="left"/>
        <w:rPr>
          <w:rFonts w:hint="default" w:ascii="Times New Roman Regular" w:hAnsi="Times New Roman Regular" w:eastAsia="宋体" w:cs="Times New Roman Regular"/>
          <w:color w:val="000000"/>
          <w:szCs w:val="21"/>
          <w:lang w:val="en-US" w:eastAsia="zh-Hans"/>
        </w:rPr>
      </w:pPr>
      <w:r>
        <w:rPr>
          <w:rFonts w:hint="default" w:ascii="Times New Roman Regular" w:hAnsi="Times New Roman Regular" w:eastAsia="宋体" w:cs="Times New Roman Regular"/>
          <w:color w:val="000000"/>
          <w:szCs w:val="21"/>
          <w:lang w:eastAsia="zh-Hans"/>
        </w:rPr>
        <w:t>3</w:t>
      </w:r>
      <w:r>
        <w:rPr>
          <w:rFonts w:hint="eastAsia" w:ascii="Times New Roman Regular" w:hAnsi="Times New Roman Regular" w:eastAsia="宋体" w:cs="Times New Roman Regular"/>
          <w:color w:val="000000"/>
          <w:szCs w:val="21"/>
          <w:lang w:val="en-US" w:eastAsia="zh-Hans"/>
        </w:rPr>
        <w:t>.</w:t>
      </w:r>
      <w:r>
        <w:rPr>
          <w:rFonts w:hint="default" w:ascii="Times New Roman Regular" w:hAnsi="Times New Roman Regular" w:eastAsia="宋体" w:cs="Times New Roman Regular"/>
          <w:color w:val="000000"/>
          <w:szCs w:val="21"/>
          <w:lang w:eastAsia="zh-Hans"/>
        </w:rPr>
        <w:t>4</w:t>
      </w:r>
      <w:r>
        <w:rPr>
          <w:rFonts w:hint="eastAsia" w:ascii="Times New Roman Regular" w:hAnsi="Times New Roman Regular" w:eastAsia="宋体" w:cs="Times New Roman Regular"/>
          <w:color w:val="000000"/>
          <w:szCs w:val="21"/>
          <w:lang w:val="en-US" w:eastAsia="zh-Hans"/>
        </w:rPr>
        <w:t>Structural Model Analysis</w:t>
      </w:r>
    </w:p>
    <w:p>
      <w:pPr>
        <w:ind w:left="0" w:leftChars="0" w:firstLine="420" w:firstLineChars="200"/>
        <w:jc w:val="left"/>
        <w:rPr>
          <w:rFonts w:hint="eastAsia" w:ascii="Times New Roman" w:hAnsi="Times New Roman" w:eastAsia="宋体"/>
          <w:szCs w:val="21"/>
        </w:rPr>
      </w:pPr>
      <w:r>
        <w:rPr>
          <w:rFonts w:hint="eastAsia" w:ascii="Times New Roman" w:hAnsi="Times New Roman" w:eastAsia="宋体"/>
          <w:szCs w:val="21"/>
        </w:rPr>
        <w:t>The study utilized structural equation modeling analysis to test the interactions and correlations between predefined potential factors within the constructed theoretical architecture. Model parameters were estimated for the experimental data and the fit of the initial model was evaluated, but some of the results did not meet the fitness index. Therefore, a model revision was performed to remove some of the topics, and the revised model and data are shown in Figure 2.</w:t>
      </w:r>
    </w:p>
    <w:p>
      <w:pPr>
        <w:ind w:left="0" w:leftChars="0" w:firstLine="420" w:firstLineChars="200"/>
        <w:jc w:val="left"/>
        <w:rPr>
          <w:rFonts w:hint="eastAsia" w:ascii="Times New Roman" w:hAnsi="Times New Roman" w:eastAsia="宋体"/>
          <w:szCs w:val="21"/>
        </w:rPr>
      </w:pPr>
      <w:r>
        <w:rPr>
          <w:rFonts w:hint="eastAsia" w:ascii="Times New Roman" w:hAnsi="Times New Roman" w:eastAsia="宋体"/>
          <w:szCs w:val="21"/>
        </w:rPr>
        <w:t>The overall fit is shown in Table 6, with a PCMIN/DF of 1.617, an RMSEA value of 0.039, CFI and IFI values of 0.953 and 0.954, a TLI value of 0.949, and a GFI value of 0.887, which are all in accordance with the conditions, confirming that the corrected model possesses an excellent fit. Amos 21.0 was used to carry out the path analysis of the latent variables, and the detailed data are shown in Table 7. The results of the path exploration of the structural equation model showed that only the four seminar presuppositions, H1, H2b, H7, and H8, were not validated, and all the other presuppositions passed the test successfully. Perceived risk, environmental awareness, perceived cost and policy support can directly affect the behavioral willingness of the elderly to consume new energy vehicles, and the direct effect of perceived ease of use on the behavioral willingness is not significant, but it can indirectly affect the behavioral willingness of the elderly to consume new energy vehicles through perceived risk.</w:t>
      </w:r>
    </w:p>
    <w:p>
      <w:pPr>
        <w:jc w:val="center"/>
        <w:rPr>
          <w:rFonts w:hint="eastAsia" w:ascii="Times New Roman" w:hAnsi="Times New Roman" w:eastAsia="宋体"/>
          <w:szCs w:val="21"/>
        </w:rPr>
      </w:pPr>
      <w:r>
        <w:rPr>
          <w:rFonts w:hint="eastAsia" w:ascii="Times New Roman" w:hAnsi="Times New Roman" w:eastAsia="宋体"/>
          <w:szCs w:val="21"/>
        </w:rPr>
        <w:t>Tab.3 Confirmatory factor analysis statistics</w:t>
      </w:r>
    </w:p>
    <w:tbl>
      <w:tblPr>
        <w:tblStyle w:val="4"/>
        <w:tblW w:w="4998" w:type="pct"/>
        <w:tblInd w:w="0" w:type="dxa"/>
        <w:tblLayout w:type="autofit"/>
        <w:tblCellMar>
          <w:top w:w="0" w:type="dxa"/>
          <w:left w:w="108" w:type="dxa"/>
          <w:bottom w:w="0" w:type="dxa"/>
          <w:right w:w="108" w:type="dxa"/>
        </w:tblCellMar>
      </w:tblPr>
      <w:tblGrid>
        <w:gridCol w:w="1465"/>
        <w:gridCol w:w="1148"/>
        <w:gridCol w:w="1313"/>
        <w:gridCol w:w="1148"/>
        <w:gridCol w:w="1148"/>
        <w:gridCol w:w="1148"/>
        <w:gridCol w:w="1149"/>
      </w:tblGrid>
      <w:tr>
        <w:trPr>
          <w:trHeight w:val="306" w:hRule="atLeast"/>
        </w:trPr>
        <w:tc>
          <w:tcPr>
            <w:tcW w:w="714" w:type="pct"/>
            <w:tcBorders>
              <w:top w:val="single" w:color="000000" w:sz="12"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Configuration</w:t>
            </w:r>
          </w:p>
        </w:tc>
        <w:tc>
          <w:tcPr>
            <w:tcW w:w="714" w:type="pct"/>
            <w:tcBorders>
              <w:top w:val="single" w:color="000000" w:sz="12"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Observed Variables</w:t>
            </w:r>
          </w:p>
        </w:tc>
        <w:tc>
          <w:tcPr>
            <w:tcW w:w="714" w:type="pct"/>
            <w:tcBorders>
              <w:top w:val="single" w:color="000000" w:sz="12"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Standardized factor loadings</w:t>
            </w:r>
          </w:p>
        </w:tc>
        <w:tc>
          <w:tcPr>
            <w:tcW w:w="714" w:type="pct"/>
            <w:tcBorders>
              <w:top w:val="single" w:color="000000" w:sz="12"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 xml:space="preserve">CR </w:t>
            </w:r>
          </w:p>
        </w:tc>
        <w:tc>
          <w:tcPr>
            <w:tcW w:w="714" w:type="pct"/>
            <w:tcBorders>
              <w:top w:val="single" w:color="000000" w:sz="12" w:space="0"/>
              <w:left w:val="nil"/>
              <w:bottom w:val="nil"/>
              <w:right w:val="nil"/>
            </w:tcBorders>
            <w:noWrap w:val="0"/>
            <w:vAlign w:val="center"/>
          </w:tcPr>
          <w:p>
            <w:pPr>
              <w:widowControl/>
              <w:jc w:val="center"/>
              <w:textAlignment w:val="center"/>
              <w:rPr>
                <w:rFonts w:hint="default"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AV</w:t>
            </w:r>
            <w:r>
              <w:rPr>
                <w:rFonts w:hint="default" w:ascii="Times New Roman Regular" w:hAnsi="Times New Roman Regular" w:eastAsia="宋体" w:cs="Times New Roman Regular"/>
                <w:color w:val="000000"/>
                <w:kern w:val="0"/>
                <w:szCs w:val="21"/>
                <w:lang w:bidi="ar"/>
              </w:rPr>
              <w:t>E</w:t>
            </w:r>
          </w:p>
        </w:tc>
        <w:tc>
          <w:tcPr>
            <w:tcW w:w="714" w:type="pct"/>
            <w:tcBorders>
              <w:top w:val="single" w:color="000000" w:sz="12"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Cronbach</w:t>
            </w:r>
            <w:r>
              <w:rPr>
                <w:rFonts w:ascii="Times New Roman Regular" w:hAnsi="Times New Roman Regular" w:eastAsia="宋体" w:cs="Times New Roman Regular"/>
                <w:color w:val="000000"/>
                <w:kern w:val="0"/>
                <w:szCs w:val="21"/>
                <w:lang w:bidi="ar"/>
              </w:rPr>
              <w:t xml:space="preserve"> Alpha</w:t>
            </w:r>
          </w:p>
        </w:tc>
        <w:tc>
          <w:tcPr>
            <w:tcW w:w="714" w:type="pct"/>
            <w:tcBorders>
              <w:top w:val="single" w:color="000000" w:sz="12"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Number of terms</w:t>
            </w:r>
          </w:p>
        </w:tc>
      </w:tr>
      <w:tr>
        <w:trPr>
          <w:trHeight w:val="306" w:hRule="atLeast"/>
        </w:trPr>
        <w:tc>
          <w:tcPr>
            <w:tcW w:w="1217" w:type="dxa"/>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Perceived Cost</w:t>
            </w:r>
            <w:r>
              <w:rPr>
                <w:rFonts w:ascii="Times New Roman Regular" w:hAnsi="Times New Roman Regular" w:eastAsia="宋体" w:cs="Times New Roman Regular"/>
                <w:color w:val="000000"/>
                <w:kern w:val="0"/>
                <w:szCs w:val="21"/>
                <w:lang w:bidi="ar"/>
              </w:rPr>
              <w:t>（PC）</w:t>
            </w:r>
          </w:p>
        </w:tc>
        <w:tc>
          <w:tcPr>
            <w:tcW w:w="714"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PC1</w:t>
            </w:r>
          </w:p>
        </w:tc>
        <w:tc>
          <w:tcPr>
            <w:tcW w:w="714"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0.803</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0.8612</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0.6081</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 xml:space="preserve">0.861 </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4</w:t>
            </w:r>
          </w:p>
        </w:tc>
      </w:tr>
      <w:tr>
        <w:trPr>
          <w:trHeight w:val="306" w:hRule="atLeast"/>
        </w:trPr>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PC2</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0.763</w:t>
            </w: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PC3</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0.752</w:t>
            </w: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PC4</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0.8</w:t>
            </w: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217" w:type="dxa"/>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Perceived Behavioral Control</w:t>
            </w:r>
            <w:r>
              <w:rPr>
                <w:rFonts w:ascii="Times New Roman Regular" w:hAnsi="Times New Roman Regular" w:eastAsia="宋体" w:cs="Times New Roman Regular"/>
                <w:color w:val="000000"/>
                <w:kern w:val="0"/>
                <w:szCs w:val="21"/>
                <w:lang w:bidi="ar"/>
              </w:rPr>
              <w:t>（PBC）</w:t>
            </w:r>
          </w:p>
        </w:tc>
        <w:tc>
          <w:tcPr>
            <w:tcW w:w="714"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PBC1</w:t>
            </w:r>
          </w:p>
        </w:tc>
        <w:tc>
          <w:tcPr>
            <w:tcW w:w="714"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0.767</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0.8164</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0.5972</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 xml:space="preserve">0.817 </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3</w:t>
            </w:r>
          </w:p>
        </w:tc>
      </w:tr>
      <w:tr>
        <w:trPr>
          <w:trHeight w:val="306" w:hRule="atLeast"/>
        </w:trPr>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PBC2</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0.761</w:t>
            </w: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290" w:hRule="atLeast"/>
        </w:trPr>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PBC3</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0.79</w:t>
            </w: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217" w:type="dxa"/>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Subjective Norms</w:t>
            </w:r>
            <w:r>
              <w:rPr>
                <w:rFonts w:ascii="Times New Roman Regular" w:hAnsi="Times New Roman Regular" w:eastAsia="宋体" w:cs="Times New Roman Regular"/>
                <w:color w:val="000000"/>
                <w:kern w:val="0"/>
                <w:szCs w:val="21"/>
                <w:lang w:bidi="ar"/>
              </w:rPr>
              <w:t>（SN</w:t>
            </w:r>
            <w:r>
              <w:rPr>
                <w:rFonts w:ascii="Times New Roman Bold" w:hAnsi="Times New Roman Bold" w:eastAsia="宋体" w:cs="Times New Roman Bold"/>
                <w:color w:val="000000"/>
                <w:kern w:val="0"/>
                <w:szCs w:val="21"/>
                <w:lang w:bidi="ar"/>
              </w:rPr>
              <w:t>）</w:t>
            </w:r>
          </w:p>
        </w:tc>
        <w:tc>
          <w:tcPr>
            <w:tcW w:w="714"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SN1</w:t>
            </w:r>
          </w:p>
        </w:tc>
        <w:tc>
          <w:tcPr>
            <w:tcW w:w="714"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0.772</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0.8186</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0.6007</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 xml:space="preserve">0.819 </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3</w:t>
            </w:r>
          </w:p>
        </w:tc>
      </w:tr>
      <w:tr>
        <w:trPr>
          <w:trHeight w:val="306" w:hRule="atLeast"/>
        </w:trPr>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SN2</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0.785</w:t>
            </w: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SN3</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0.768</w:t>
            </w: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217" w:type="dxa"/>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Behavioral Imagery</w:t>
            </w:r>
            <w:r>
              <w:rPr>
                <w:rFonts w:ascii="Times New Roman Regular" w:hAnsi="Times New Roman Regular" w:eastAsia="宋体" w:cs="Times New Roman Regular"/>
                <w:color w:val="000000"/>
                <w:kern w:val="0"/>
                <w:szCs w:val="21"/>
                <w:lang w:bidi="ar"/>
              </w:rPr>
              <w:t>（BI）</w:t>
            </w:r>
          </w:p>
        </w:tc>
        <w:tc>
          <w:tcPr>
            <w:tcW w:w="714"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BI1</w:t>
            </w:r>
          </w:p>
        </w:tc>
        <w:tc>
          <w:tcPr>
            <w:tcW w:w="714"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0.729</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0.8609</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0.6077</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 xml:space="preserve">0.868 </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4</w:t>
            </w:r>
          </w:p>
        </w:tc>
      </w:tr>
      <w:tr>
        <w:trPr>
          <w:trHeight w:val="306" w:hRule="atLeast"/>
        </w:trPr>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BI2</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0.798</w:t>
            </w: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BI3</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0.792</w:t>
            </w: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BI4</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0.797</w:t>
            </w: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217" w:type="dxa"/>
            <w:vMerge w:val="restart"/>
            <w:tcBorders>
              <w:top w:val="single" w:color="000000" w:sz="4" w:space="0"/>
              <w:left w:val="nil"/>
              <w:bottom w:val="nil"/>
              <w:right w:val="nil"/>
            </w:tcBorders>
            <w:noWrap w:val="0"/>
            <w:vAlign w:val="center"/>
          </w:tcPr>
          <w:p>
            <w:pPr>
              <w:widowControl/>
              <w:jc w:val="center"/>
              <w:textAlignment w:val="center"/>
              <w:rPr>
                <w:rFonts w:hint="eastAsia" w:ascii="Times New Roman Regular" w:hAnsi="Times New Roman Regular" w:eastAsia="宋体" w:cs="Times New Roman Regular"/>
                <w:color w:val="000000"/>
                <w:kern w:val="0"/>
                <w:szCs w:val="21"/>
                <w:lang w:bidi="ar"/>
              </w:rPr>
            </w:pPr>
          </w:p>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Policy Support</w:t>
            </w:r>
            <w:r>
              <w:rPr>
                <w:rFonts w:ascii="Times New Roman Regular" w:hAnsi="Times New Roman Regular" w:eastAsia="宋体" w:cs="Times New Roman Regular"/>
                <w:color w:val="000000"/>
                <w:kern w:val="0"/>
                <w:szCs w:val="21"/>
                <w:lang w:bidi="ar"/>
              </w:rPr>
              <w:t>（P）</w:t>
            </w:r>
          </w:p>
        </w:tc>
        <w:tc>
          <w:tcPr>
            <w:tcW w:w="714"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P1</w:t>
            </w:r>
          </w:p>
        </w:tc>
        <w:tc>
          <w:tcPr>
            <w:tcW w:w="714"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0.755</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0.8065</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0.5146</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 xml:space="preserve">0.825 </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6</w:t>
            </w:r>
          </w:p>
        </w:tc>
      </w:tr>
      <w:tr>
        <w:trPr>
          <w:trHeight w:val="306" w:hRule="atLeast"/>
        </w:trPr>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P2</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0.737</w:t>
            </w: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P3</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0.799</w:t>
            </w: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P6</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0.554</w:t>
            </w: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217" w:type="dxa"/>
            <w:vMerge w:val="restart"/>
            <w:tcBorders>
              <w:top w:val="single" w:color="000000" w:sz="4" w:space="0"/>
              <w:left w:val="nil"/>
              <w:bottom w:val="nil"/>
              <w:right w:val="nil"/>
            </w:tcBorders>
            <w:noWrap w:val="0"/>
            <w:vAlign w:val="center"/>
          </w:tcPr>
          <w:p>
            <w:pPr>
              <w:widowControl/>
              <w:ind w:firstLine="210" w:firstLineChars="100"/>
              <w:jc w:val="both"/>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Perceived Risk</w:t>
            </w:r>
            <w:r>
              <w:rPr>
                <w:rFonts w:ascii="Times New Roman Regular" w:hAnsi="Times New Roman Regular" w:eastAsia="宋体" w:cs="Times New Roman Regular"/>
                <w:color w:val="000000"/>
                <w:kern w:val="0"/>
                <w:szCs w:val="21"/>
                <w:lang w:bidi="ar"/>
              </w:rPr>
              <w:t>（PR）</w:t>
            </w:r>
          </w:p>
        </w:tc>
        <w:tc>
          <w:tcPr>
            <w:tcW w:w="714"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PR1</w:t>
            </w:r>
          </w:p>
        </w:tc>
        <w:tc>
          <w:tcPr>
            <w:tcW w:w="714"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0.78</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0.8856</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0.6076</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 xml:space="preserve">0.887 </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5</w:t>
            </w:r>
          </w:p>
        </w:tc>
      </w:tr>
      <w:tr>
        <w:trPr>
          <w:trHeight w:val="306" w:hRule="atLeast"/>
        </w:trPr>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PR2</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0.788</w:t>
            </w: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PR3</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0.762</w:t>
            </w: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PR4</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0.787</w:t>
            </w: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PR5</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0.78</w:t>
            </w: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217" w:type="dxa"/>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Perceived usefulness</w:t>
            </w:r>
            <w:r>
              <w:rPr>
                <w:rFonts w:ascii="Times New Roman Regular" w:hAnsi="Times New Roman Regular" w:eastAsia="宋体" w:cs="Times New Roman Regular"/>
                <w:color w:val="000000"/>
                <w:kern w:val="0"/>
                <w:szCs w:val="21"/>
                <w:lang w:bidi="ar"/>
              </w:rPr>
              <w:t>（PU）</w:t>
            </w:r>
          </w:p>
        </w:tc>
        <w:tc>
          <w:tcPr>
            <w:tcW w:w="714"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PU1</w:t>
            </w:r>
          </w:p>
        </w:tc>
        <w:tc>
          <w:tcPr>
            <w:tcW w:w="714"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0.815</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0.8805</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0.6481</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 xml:space="preserve">0.881 </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4</w:t>
            </w:r>
          </w:p>
        </w:tc>
      </w:tr>
      <w:tr>
        <w:trPr>
          <w:trHeight w:val="306" w:hRule="atLeast"/>
        </w:trPr>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PU2</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0.793</w:t>
            </w: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PU3</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0.81</w:t>
            </w: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PU4</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0.802</w:t>
            </w: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217" w:type="dxa"/>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Perceived Ease of Use</w:t>
            </w:r>
            <w:r>
              <w:rPr>
                <w:rFonts w:ascii="Times New Roman Regular" w:hAnsi="Times New Roman Regular" w:eastAsia="宋体" w:cs="Times New Roman Regular"/>
                <w:color w:val="000000"/>
                <w:kern w:val="0"/>
                <w:szCs w:val="21"/>
                <w:lang w:bidi="ar"/>
              </w:rPr>
              <w:t>（PE）</w:t>
            </w:r>
          </w:p>
        </w:tc>
        <w:tc>
          <w:tcPr>
            <w:tcW w:w="714"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PE1</w:t>
            </w:r>
          </w:p>
        </w:tc>
        <w:tc>
          <w:tcPr>
            <w:tcW w:w="714"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0.795</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0.878</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0.5901</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 xml:space="preserve">0.880 </w:t>
            </w:r>
          </w:p>
        </w:tc>
        <w:tc>
          <w:tcPr>
            <w:tcW w:w="714" w:type="pct"/>
            <w:vMerge w:val="restar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5</w:t>
            </w:r>
          </w:p>
        </w:tc>
      </w:tr>
      <w:tr>
        <w:trPr>
          <w:trHeight w:val="306" w:hRule="atLeast"/>
        </w:trPr>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PE2</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0.752</w:t>
            </w: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PE3</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0.767</w:t>
            </w: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PE4</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0.774</w:t>
            </w: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PE5</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0.752</w:t>
            </w: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nil"/>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1217" w:type="dxa"/>
            <w:vMerge w:val="restart"/>
            <w:tcBorders>
              <w:top w:val="single" w:color="000000" w:sz="4" w:space="0"/>
              <w:left w:val="nil"/>
              <w:bottom w:val="single" w:color="000000" w:sz="12" w:space="0"/>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Environmental Awareness</w:t>
            </w:r>
            <w:r>
              <w:rPr>
                <w:rFonts w:ascii="Times New Roman Regular" w:hAnsi="Times New Roman Regular" w:eastAsia="宋体" w:cs="Times New Roman Regular"/>
                <w:color w:val="000000"/>
                <w:kern w:val="0"/>
                <w:szCs w:val="21"/>
                <w:lang w:bidi="ar"/>
              </w:rPr>
              <w:t>（EA）</w:t>
            </w:r>
          </w:p>
        </w:tc>
        <w:tc>
          <w:tcPr>
            <w:tcW w:w="714"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EA1</w:t>
            </w:r>
          </w:p>
        </w:tc>
        <w:tc>
          <w:tcPr>
            <w:tcW w:w="714"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0.787</w:t>
            </w:r>
          </w:p>
        </w:tc>
        <w:tc>
          <w:tcPr>
            <w:tcW w:w="714" w:type="pct"/>
            <w:vMerge w:val="restart"/>
            <w:tcBorders>
              <w:top w:val="single" w:color="000000" w:sz="4" w:space="0"/>
              <w:left w:val="nil"/>
              <w:bottom w:val="single" w:color="000000" w:sz="12" w:space="0"/>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0.8555</w:t>
            </w:r>
          </w:p>
        </w:tc>
        <w:tc>
          <w:tcPr>
            <w:tcW w:w="714" w:type="pct"/>
            <w:vMerge w:val="restart"/>
            <w:tcBorders>
              <w:top w:val="single" w:color="000000" w:sz="4" w:space="0"/>
              <w:left w:val="nil"/>
              <w:bottom w:val="single" w:color="000000" w:sz="12" w:space="0"/>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0.5969</w:t>
            </w:r>
          </w:p>
        </w:tc>
        <w:tc>
          <w:tcPr>
            <w:tcW w:w="714" w:type="pct"/>
            <w:vMerge w:val="restart"/>
            <w:tcBorders>
              <w:top w:val="single" w:color="000000" w:sz="4" w:space="0"/>
              <w:left w:val="nil"/>
              <w:bottom w:val="single" w:color="000000" w:sz="12" w:space="0"/>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 xml:space="preserve">0.857 </w:t>
            </w:r>
          </w:p>
        </w:tc>
        <w:tc>
          <w:tcPr>
            <w:tcW w:w="714" w:type="pct"/>
            <w:vMerge w:val="restart"/>
            <w:tcBorders>
              <w:top w:val="single" w:color="000000" w:sz="4" w:space="0"/>
              <w:left w:val="nil"/>
              <w:bottom w:val="single" w:color="000000" w:sz="12" w:space="0"/>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4</w:t>
            </w:r>
          </w:p>
        </w:tc>
      </w:tr>
      <w:tr>
        <w:trPr>
          <w:trHeight w:val="306" w:hRule="atLeast"/>
        </w:trPr>
        <w:tc>
          <w:tcPr>
            <w:tcW w:w="714" w:type="pct"/>
            <w:vMerge w:val="continue"/>
            <w:tcBorders>
              <w:top w:val="single" w:color="000000" w:sz="4" w:space="0"/>
              <w:left w:val="nil"/>
              <w:bottom w:val="single" w:color="000000" w:sz="12" w:space="0"/>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EA2</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0.769</w:t>
            </w:r>
          </w:p>
        </w:tc>
        <w:tc>
          <w:tcPr>
            <w:tcW w:w="714" w:type="pct"/>
            <w:vMerge w:val="continue"/>
            <w:tcBorders>
              <w:top w:val="single" w:color="000000" w:sz="4" w:space="0"/>
              <w:left w:val="nil"/>
              <w:bottom w:val="single" w:color="000000" w:sz="12" w:space="0"/>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single" w:color="000000" w:sz="12" w:space="0"/>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single" w:color="000000" w:sz="12" w:space="0"/>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single" w:color="000000" w:sz="12" w:space="0"/>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714" w:type="pct"/>
            <w:vMerge w:val="continue"/>
            <w:tcBorders>
              <w:top w:val="single" w:color="000000" w:sz="4" w:space="0"/>
              <w:left w:val="nil"/>
              <w:bottom w:val="single" w:color="000000" w:sz="12" w:space="0"/>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EA3</w:t>
            </w:r>
          </w:p>
        </w:tc>
        <w:tc>
          <w:tcPr>
            <w:tcW w:w="714"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0.756</w:t>
            </w:r>
          </w:p>
        </w:tc>
        <w:tc>
          <w:tcPr>
            <w:tcW w:w="714" w:type="pct"/>
            <w:vMerge w:val="continue"/>
            <w:tcBorders>
              <w:top w:val="single" w:color="000000" w:sz="4" w:space="0"/>
              <w:left w:val="nil"/>
              <w:bottom w:val="single" w:color="000000" w:sz="12" w:space="0"/>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single" w:color="000000" w:sz="12" w:space="0"/>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single" w:color="000000" w:sz="12" w:space="0"/>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single" w:color="000000" w:sz="12" w:space="0"/>
              <w:right w:val="nil"/>
            </w:tcBorders>
            <w:noWrap w:val="0"/>
            <w:vAlign w:val="center"/>
          </w:tcPr>
          <w:p>
            <w:pPr>
              <w:jc w:val="center"/>
              <w:rPr>
                <w:rFonts w:ascii="Times New Roman Regular" w:hAnsi="Times New Roman Regular" w:eastAsia="宋体" w:cs="Times New Roman Regular"/>
                <w:color w:val="000000"/>
                <w:szCs w:val="21"/>
              </w:rPr>
            </w:pPr>
          </w:p>
        </w:tc>
      </w:tr>
      <w:tr>
        <w:trPr>
          <w:trHeight w:val="306" w:hRule="atLeast"/>
        </w:trPr>
        <w:tc>
          <w:tcPr>
            <w:tcW w:w="714" w:type="pct"/>
            <w:vMerge w:val="continue"/>
            <w:tcBorders>
              <w:top w:val="single" w:color="000000" w:sz="4" w:space="0"/>
              <w:left w:val="nil"/>
              <w:bottom w:val="single" w:color="000000" w:sz="12" w:space="0"/>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tcBorders>
              <w:top w:val="nil"/>
              <w:left w:val="nil"/>
              <w:bottom w:val="single" w:color="000000" w:sz="12" w:space="0"/>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EA4</w:t>
            </w:r>
          </w:p>
        </w:tc>
        <w:tc>
          <w:tcPr>
            <w:tcW w:w="714" w:type="pct"/>
            <w:tcBorders>
              <w:top w:val="nil"/>
              <w:left w:val="nil"/>
              <w:bottom w:val="single" w:color="000000" w:sz="12" w:space="0"/>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0.778</w:t>
            </w:r>
          </w:p>
        </w:tc>
        <w:tc>
          <w:tcPr>
            <w:tcW w:w="714" w:type="pct"/>
            <w:vMerge w:val="continue"/>
            <w:tcBorders>
              <w:top w:val="single" w:color="000000" w:sz="4" w:space="0"/>
              <w:left w:val="nil"/>
              <w:bottom w:val="single" w:color="000000" w:sz="12" w:space="0"/>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single" w:color="000000" w:sz="12" w:space="0"/>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single" w:color="000000" w:sz="12" w:space="0"/>
              <w:right w:val="nil"/>
            </w:tcBorders>
            <w:noWrap w:val="0"/>
            <w:vAlign w:val="center"/>
          </w:tcPr>
          <w:p>
            <w:pPr>
              <w:jc w:val="center"/>
              <w:rPr>
                <w:rFonts w:ascii="Times New Roman Regular" w:hAnsi="Times New Roman Regular" w:eastAsia="宋体" w:cs="Times New Roman Regular"/>
                <w:color w:val="000000"/>
                <w:szCs w:val="21"/>
              </w:rPr>
            </w:pPr>
          </w:p>
        </w:tc>
        <w:tc>
          <w:tcPr>
            <w:tcW w:w="714" w:type="pct"/>
            <w:vMerge w:val="continue"/>
            <w:tcBorders>
              <w:top w:val="single" w:color="000000" w:sz="4" w:space="0"/>
              <w:left w:val="nil"/>
              <w:bottom w:val="single" w:color="000000" w:sz="12" w:space="0"/>
              <w:right w:val="nil"/>
            </w:tcBorders>
            <w:noWrap w:val="0"/>
            <w:vAlign w:val="center"/>
          </w:tcPr>
          <w:p>
            <w:pPr>
              <w:jc w:val="center"/>
              <w:rPr>
                <w:rFonts w:ascii="Times New Roman Regular" w:hAnsi="Times New Roman Regular" w:eastAsia="宋体" w:cs="Times New Roman Regular"/>
                <w:color w:val="000000"/>
                <w:szCs w:val="21"/>
              </w:rPr>
            </w:pPr>
          </w:p>
        </w:tc>
      </w:tr>
    </w:tbl>
    <w:p>
      <w:pPr>
        <w:pStyle w:val="2"/>
        <w:jc w:val="center"/>
        <w:rPr>
          <w:rFonts w:ascii="Times New Roman Regular" w:hAnsi="Times New Roman Regular" w:eastAsia="宋体" w:cs="Times New Roman Regular"/>
          <w:sz w:val="21"/>
          <w:szCs w:val="21"/>
        </w:rPr>
      </w:pPr>
      <w:r>
        <w:rPr>
          <w:rFonts w:ascii="Times New Roman Regular" w:hAnsi="Times New Roman Regular" w:eastAsia="宋体" w:cs="Times New Roman Regular"/>
          <w:sz w:val="21"/>
          <w:szCs w:val="21"/>
        </w:rPr>
        <w:t>Tab.4 KMO and BARLLET tests</w:t>
      </w:r>
    </w:p>
    <w:tbl>
      <w:tblPr>
        <w:tblStyle w:val="4"/>
        <w:tblW w:w="4999" w:type="pct"/>
        <w:tblInd w:w="0" w:type="dxa"/>
        <w:tblLayout w:type="autofit"/>
        <w:tblCellMar>
          <w:top w:w="0" w:type="dxa"/>
          <w:left w:w="108" w:type="dxa"/>
          <w:bottom w:w="0" w:type="dxa"/>
          <w:right w:w="108" w:type="dxa"/>
        </w:tblCellMar>
      </w:tblPr>
      <w:tblGrid>
        <w:gridCol w:w="2740"/>
        <w:gridCol w:w="2744"/>
        <w:gridCol w:w="3036"/>
      </w:tblGrid>
      <w:tr>
        <w:trPr>
          <w:trHeight w:val="318" w:hRule="atLeast"/>
        </w:trPr>
        <w:tc>
          <w:tcPr>
            <w:tcW w:w="3218" w:type="pct"/>
            <w:gridSpan w:val="2"/>
            <w:tcBorders>
              <w:top w:val="single" w:color="000000" w:sz="12" w:space="0"/>
              <w:left w:val="nil"/>
              <w:bottom w:val="single" w:color="000000" w:sz="4" w:space="0"/>
              <w:right w:val="nil"/>
            </w:tcBorders>
            <w:shd w:val="clear" w:color="auto" w:fill="FFFFFF"/>
            <w:noWrap w:val="0"/>
            <w:vAlign w:val="top"/>
          </w:tcPr>
          <w:p>
            <w:pPr>
              <w:widowControl/>
              <w:textAlignment w:val="top"/>
              <w:rPr>
                <w:rFonts w:hint="default" w:ascii="Times New Roman Regular" w:hAnsi="Times New Roman Regular" w:eastAsia="宋体" w:cs="Times New Roman Regular"/>
                <w:color w:val="000000"/>
                <w:szCs w:val="21"/>
              </w:rPr>
            </w:pPr>
            <w:r>
              <w:rPr>
                <w:rFonts w:hint="default" w:ascii="Times New Roman Regular" w:hAnsi="Times New Roman Regular" w:eastAsia="宋体" w:cs="Times New Roman Regular"/>
                <w:color w:val="000000"/>
                <w:kern w:val="0"/>
                <w:szCs w:val="21"/>
                <w:lang w:bidi="ar"/>
              </w:rPr>
              <w:t>KMO Quantity of Sample Suitability</w:t>
            </w:r>
          </w:p>
        </w:tc>
        <w:tc>
          <w:tcPr>
            <w:tcW w:w="1781" w:type="pct"/>
            <w:tcBorders>
              <w:top w:val="single" w:color="000000" w:sz="12" w:space="0"/>
              <w:left w:val="nil"/>
              <w:bottom w:val="single" w:color="000000" w:sz="4" w:space="0"/>
              <w:right w:val="nil"/>
            </w:tcBorders>
            <w:shd w:val="clear" w:color="auto" w:fill="FFFFFF"/>
            <w:noWrap w:val="0"/>
            <w:vAlign w:val="top"/>
          </w:tcPr>
          <w:p>
            <w:pPr>
              <w:widowControl/>
              <w:jc w:val="right"/>
              <w:textAlignment w:val="top"/>
              <w:rPr>
                <w:rFonts w:hint="default" w:ascii="Times New Roman Regular" w:hAnsi="Times New Roman Regular" w:eastAsia="宋体" w:cs="Times New Roman Regular"/>
                <w:color w:val="000000"/>
                <w:szCs w:val="21"/>
              </w:rPr>
            </w:pPr>
            <w:r>
              <w:rPr>
                <w:rFonts w:hint="default" w:ascii="Times New Roman Regular" w:hAnsi="Times New Roman Regular" w:eastAsia="宋体" w:cs="Times New Roman Regular"/>
                <w:color w:val="000000"/>
                <w:kern w:val="0"/>
                <w:szCs w:val="21"/>
                <w:lang w:bidi="ar"/>
              </w:rPr>
              <w:t>0.938</w:t>
            </w:r>
          </w:p>
        </w:tc>
      </w:tr>
      <w:tr>
        <w:trPr>
          <w:trHeight w:val="318" w:hRule="atLeast"/>
        </w:trPr>
        <w:tc>
          <w:tcPr>
            <w:tcW w:w="1608" w:type="pct"/>
            <w:vMerge w:val="restart"/>
            <w:tcBorders>
              <w:top w:val="single" w:color="000000" w:sz="4" w:space="0"/>
              <w:left w:val="nil"/>
              <w:bottom w:val="nil"/>
              <w:right w:val="nil"/>
            </w:tcBorders>
            <w:shd w:val="clear" w:color="auto" w:fill="FFFFFF"/>
            <w:noWrap w:val="0"/>
            <w:vAlign w:val="top"/>
          </w:tcPr>
          <w:p>
            <w:pPr>
              <w:widowControl/>
              <w:textAlignment w:val="top"/>
              <w:rPr>
                <w:rFonts w:hint="default" w:ascii="Times New Roman Regular" w:hAnsi="Times New Roman Regular" w:eastAsia="宋体" w:cs="Times New Roman Regular"/>
                <w:color w:val="000000"/>
                <w:szCs w:val="21"/>
              </w:rPr>
            </w:pPr>
            <w:r>
              <w:rPr>
                <w:rFonts w:hint="default" w:ascii="Times New Roman Regular" w:hAnsi="Times New Roman Regular" w:eastAsia="宋体" w:cs="Times New Roman Regular"/>
                <w:color w:val="000000"/>
                <w:kern w:val="0"/>
                <w:szCs w:val="21"/>
                <w:lang w:bidi="ar"/>
              </w:rPr>
              <w:t>Bartlett's test of sphericity</w:t>
            </w:r>
          </w:p>
        </w:tc>
        <w:tc>
          <w:tcPr>
            <w:tcW w:w="1609" w:type="pct"/>
            <w:tcBorders>
              <w:top w:val="single" w:color="000000" w:sz="4" w:space="0"/>
              <w:left w:val="nil"/>
              <w:bottom w:val="nil"/>
              <w:right w:val="nil"/>
            </w:tcBorders>
            <w:shd w:val="clear" w:color="auto" w:fill="FFFFFF"/>
            <w:noWrap w:val="0"/>
            <w:vAlign w:val="top"/>
          </w:tcPr>
          <w:p>
            <w:pPr>
              <w:widowControl/>
              <w:textAlignment w:val="top"/>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Approximate cardinality</w:t>
            </w:r>
          </w:p>
        </w:tc>
        <w:tc>
          <w:tcPr>
            <w:tcW w:w="1781" w:type="pct"/>
            <w:tcBorders>
              <w:top w:val="single" w:color="000000" w:sz="4" w:space="0"/>
              <w:left w:val="nil"/>
              <w:bottom w:val="nil"/>
              <w:right w:val="nil"/>
            </w:tcBorders>
            <w:shd w:val="clear" w:color="auto" w:fill="FFFFFF"/>
            <w:noWrap w:val="0"/>
            <w:vAlign w:val="top"/>
          </w:tcPr>
          <w:p>
            <w:pPr>
              <w:widowControl/>
              <w:jc w:val="right"/>
              <w:textAlignment w:val="top"/>
              <w:rPr>
                <w:rFonts w:hint="default" w:ascii="Times New Roman Regular" w:hAnsi="Times New Roman Regular" w:eastAsia="宋体" w:cs="Times New Roman Regular"/>
                <w:color w:val="000000"/>
                <w:szCs w:val="21"/>
              </w:rPr>
            </w:pPr>
            <w:r>
              <w:rPr>
                <w:rFonts w:hint="default" w:ascii="Times New Roman Regular" w:hAnsi="Times New Roman Regular" w:eastAsia="宋体" w:cs="Times New Roman Regular"/>
                <w:color w:val="000000"/>
                <w:kern w:val="0"/>
                <w:szCs w:val="21"/>
                <w:lang w:bidi="ar"/>
              </w:rPr>
              <w:t>8709.929</w:t>
            </w:r>
          </w:p>
        </w:tc>
      </w:tr>
      <w:tr>
        <w:trPr>
          <w:trHeight w:val="288" w:hRule="atLeast"/>
        </w:trPr>
        <w:tc>
          <w:tcPr>
            <w:tcW w:w="1608" w:type="pct"/>
            <w:vMerge w:val="continue"/>
            <w:tcBorders>
              <w:top w:val="nil"/>
              <w:left w:val="nil"/>
              <w:bottom w:val="nil"/>
              <w:right w:val="nil"/>
            </w:tcBorders>
            <w:shd w:val="clear" w:color="auto" w:fill="FFFFFF"/>
            <w:noWrap w:val="0"/>
            <w:vAlign w:val="top"/>
          </w:tcPr>
          <w:p>
            <w:pPr>
              <w:rPr>
                <w:rFonts w:hint="default" w:ascii="Times New Roman Regular" w:hAnsi="Times New Roman Regular" w:eastAsia="宋体" w:cs="Times New Roman Regular"/>
                <w:color w:val="000000"/>
                <w:szCs w:val="21"/>
              </w:rPr>
            </w:pPr>
          </w:p>
        </w:tc>
        <w:tc>
          <w:tcPr>
            <w:tcW w:w="1609" w:type="pct"/>
            <w:tcBorders>
              <w:top w:val="nil"/>
              <w:left w:val="nil"/>
              <w:bottom w:val="nil"/>
              <w:right w:val="nil"/>
            </w:tcBorders>
            <w:shd w:val="clear" w:color="auto" w:fill="FFFFFF"/>
            <w:noWrap w:val="0"/>
            <w:vAlign w:val="top"/>
          </w:tcPr>
          <w:p>
            <w:pPr>
              <w:widowControl/>
              <w:textAlignment w:val="top"/>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Degrees of freedom</w:t>
            </w:r>
          </w:p>
        </w:tc>
        <w:tc>
          <w:tcPr>
            <w:tcW w:w="1781" w:type="pct"/>
            <w:tcBorders>
              <w:top w:val="nil"/>
              <w:left w:val="nil"/>
              <w:bottom w:val="nil"/>
              <w:right w:val="nil"/>
            </w:tcBorders>
            <w:shd w:val="clear" w:color="auto" w:fill="FFFFFF"/>
            <w:noWrap w:val="0"/>
            <w:vAlign w:val="top"/>
          </w:tcPr>
          <w:p>
            <w:pPr>
              <w:widowControl/>
              <w:jc w:val="right"/>
              <w:textAlignment w:val="top"/>
              <w:rPr>
                <w:rFonts w:hint="default" w:ascii="Times New Roman Regular" w:hAnsi="Times New Roman Regular" w:eastAsia="宋体" w:cs="Times New Roman Regular"/>
                <w:color w:val="000000"/>
                <w:szCs w:val="21"/>
              </w:rPr>
            </w:pPr>
            <w:r>
              <w:rPr>
                <w:rFonts w:hint="default" w:ascii="Times New Roman Regular" w:hAnsi="Times New Roman Regular" w:eastAsia="宋体" w:cs="Times New Roman Regular"/>
                <w:color w:val="000000"/>
                <w:kern w:val="0"/>
                <w:szCs w:val="21"/>
                <w:lang w:bidi="ar"/>
              </w:rPr>
              <w:t>703</w:t>
            </w:r>
          </w:p>
        </w:tc>
      </w:tr>
      <w:tr>
        <w:trPr>
          <w:trHeight w:val="288" w:hRule="atLeast"/>
        </w:trPr>
        <w:tc>
          <w:tcPr>
            <w:tcW w:w="1608" w:type="pct"/>
            <w:vMerge w:val="continue"/>
            <w:tcBorders>
              <w:top w:val="nil"/>
              <w:left w:val="nil"/>
              <w:bottom w:val="single" w:color="000000" w:sz="12" w:space="0"/>
              <w:right w:val="nil"/>
            </w:tcBorders>
            <w:shd w:val="clear" w:color="auto" w:fill="FFFFFF"/>
            <w:noWrap w:val="0"/>
            <w:vAlign w:val="top"/>
          </w:tcPr>
          <w:p>
            <w:pPr>
              <w:rPr>
                <w:rFonts w:hint="default" w:ascii="Times New Roman Regular" w:hAnsi="Times New Roman Regular" w:eastAsia="宋体" w:cs="Times New Roman Regular"/>
                <w:color w:val="000000"/>
                <w:szCs w:val="21"/>
              </w:rPr>
            </w:pPr>
          </w:p>
        </w:tc>
        <w:tc>
          <w:tcPr>
            <w:tcW w:w="1609" w:type="pct"/>
            <w:tcBorders>
              <w:top w:val="nil"/>
              <w:left w:val="nil"/>
              <w:bottom w:val="single" w:color="000000" w:sz="12" w:space="0"/>
              <w:right w:val="nil"/>
            </w:tcBorders>
            <w:shd w:val="clear" w:color="auto" w:fill="FFFFFF"/>
            <w:noWrap w:val="0"/>
            <w:vAlign w:val="top"/>
          </w:tcPr>
          <w:p>
            <w:pPr>
              <w:widowControl/>
              <w:textAlignment w:val="top"/>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Significance</w:t>
            </w:r>
          </w:p>
        </w:tc>
        <w:tc>
          <w:tcPr>
            <w:tcW w:w="1781" w:type="pct"/>
            <w:tcBorders>
              <w:top w:val="nil"/>
              <w:left w:val="nil"/>
              <w:bottom w:val="single" w:color="000000" w:sz="12" w:space="0"/>
              <w:right w:val="nil"/>
            </w:tcBorders>
            <w:shd w:val="clear" w:color="auto" w:fill="FFFFFF"/>
            <w:noWrap w:val="0"/>
            <w:vAlign w:val="top"/>
          </w:tcPr>
          <w:p>
            <w:pPr>
              <w:widowControl/>
              <w:jc w:val="right"/>
              <w:textAlignment w:val="top"/>
              <w:rPr>
                <w:rFonts w:hint="default" w:ascii="Times New Roman Regular" w:hAnsi="Times New Roman Regular" w:eastAsia="宋体" w:cs="Times New Roman Regular"/>
                <w:color w:val="000000"/>
                <w:szCs w:val="21"/>
              </w:rPr>
            </w:pPr>
            <w:r>
              <w:rPr>
                <w:rFonts w:hint="default" w:ascii="Times New Roman Regular" w:hAnsi="Times New Roman Regular" w:eastAsia="宋体" w:cs="Times New Roman Regular"/>
                <w:color w:val="000000"/>
                <w:kern w:val="0"/>
                <w:szCs w:val="21"/>
                <w:lang w:bidi="ar"/>
              </w:rPr>
              <w:t>0</w:t>
            </w:r>
          </w:p>
        </w:tc>
      </w:tr>
    </w:tbl>
    <w:p>
      <w:pPr>
        <w:pStyle w:val="2"/>
        <w:jc w:val="center"/>
        <w:rPr>
          <w:rFonts w:ascii="Times New Roman Regular" w:hAnsi="Times New Roman Regular" w:eastAsia="宋体" w:cs="Times New Roman Regular"/>
          <w:sz w:val="21"/>
          <w:szCs w:val="21"/>
        </w:rPr>
      </w:pPr>
      <w:r>
        <w:rPr>
          <w:rFonts w:ascii="Times New Roman Regular" w:hAnsi="Times New Roman Regular" w:eastAsia="宋体" w:cs="Times New Roman Regular"/>
          <w:sz w:val="21"/>
          <w:szCs w:val="21"/>
        </w:rPr>
        <w:t>Tab.5 Discrimination validity analysis</w:t>
      </w:r>
    </w:p>
    <w:tbl>
      <w:tblPr>
        <w:tblStyle w:val="4"/>
        <w:tblW w:w="4997" w:type="pct"/>
        <w:tblInd w:w="0" w:type="dxa"/>
        <w:tblLayout w:type="autofit"/>
        <w:tblCellMar>
          <w:top w:w="0" w:type="dxa"/>
          <w:left w:w="108" w:type="dxa"/>
          <w:bottom w:w="0" w:type="dxa"/>
          <w:right w:w="108" w:type="dxa"/>
        </w:tblCellMar>
      </w:tblPr>
      <w:tblGrid>
        <w:gridCol w:w="1074"/>
        <w:gridCol w:w="674"/>
        <w:gridCol w:w="850"/>
        <w:gridCol w:w="1075"/>
        <w:gridCol w:w="826"/>
        <w:gridCol w:w="785"/>
        <w:gridCol w:w="785"/>
        <w:gridCol w:w="785"/>
        <w:gridCol w:w="818"/>
        <w:gridCol w:w="850"/>
      </w:tblGrid>
      <w:tr>
        <w:trPr>
          <w:trHeight w:val="718" w:hRule="atLeast"/>
        </w:trPr>
        <w:tc>
          <w:tcPr>
            <w:tcW w:w="936" w:type="pct"/>
            <w:tcBorders>
              <w:top w:val="single" w:color="000000" w:sz="12" w:space="0"/>
              <w:left w:val="nil"/>
              <w:bottom w:val="single" w:color="000000" w:sz="4" w:space="0"/>
              <w:right w:val="nil"/>
            </w:tcBorders>
            <w:shd w:val="clear" w:color="auto" w:fill="FFFFFF"/>
            <w:noWrap w:val="0"/>
            <w:vAlign w:val="center"/>
          </w:tcPr>
          <w:p>
            <w:pPr>
              <w:tabs>
                <w:tab w:val="left" w:pos="452"/>
              </w:tabs>
              <w:jc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szCs w:val="21"/>
              </w:rPr>
              <w:t>类目</w:t>
            </w:r>
          </w:p>
        </w:tc>
        <w:tc>
          <w:tcPr>
            <w:tcW w:w="451" w:type="pct"/>
            <w:tcBorders>
              <w:top w:val="single" w:color="000000" w:sz="12" w:space="0"/>
              <w:left w:val="nil"/>
              <w:bottom w:val="single" w:color="000000" w:sz="4"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Policy Support</w:t>
            </w:r>
            <w:r>
              <w:rPr>
                <w:rFonts w:ascii="Times New Roman Regular" w:hAnsi="Times New Roman Regular" w:eastAsia="宋体" w:cs="Times New Roman Regular"/>
                <w:color w:val="000000"/>
                <w:kern w:val="0"/>
                <w:szCs w:val="21"/>
                <w:lang w:bidi="ar"/>
              </w:rPr>
              <w:t>（P）</w:t>
            </w:r>
          </w:p>
        </w:tc>
        <w:tc>
          <w:tcPr>
            <w:tcW w:w="451" w:type="pct"/>
            <w:tcBorders>
              <w:top w:val="single" w:color="000000" w:sz="12" w:space="0"/>
              <w:left w:val="nil"/>
              <w:bottom w:val="single" w:color="000000" w:sz="4"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Perceived Behavioral Control</w:t>
            </w:r>
            <w:r>
              <w:rPr>
                <w:rFonts w:ascii="Times New Roman Regular" w:hAnsi="Times New Roman Regular" w:eastAsia="宋体" w:cs="Times New Roman Regular"/>
                <w:color w:val="000000"/>
                <w:kern w:val="0"/>
                <w:szCs w:val="21"/>
                <w:lang w:bidi="ar"/>
              </w:rPr>
              <w:t>（PBC）</w:t>
            </w:r>
          </w:p>
        </w:tc>
        <w:tc>
          <w:tcPr>
            <w:tcW w:w="451" w:type="pct"/>
            <w:tcBorders>
              <w:top w:val="single" w:color="000000" w:sz="12" w:space="0"/>
              <w:left w:val="nil"/>
              <w:bottom w:val="single" w:color="000000" w:sz="4"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Environmental Awareness</w:t>
            </w:r>
            <w:r>
              <w:rPr>
                <w:rFonts w:ascii="Times New Roman Regular" w:hAnsi="Times New Roman Regular" w:eastAsia="宋体" w:cs="Times New Roman Regular"/>
                <w:color w:val="000000"/>
                <w:kern w:val="0"/>
                <w:szCs w:val="21"/>
                <w:lang w:bidi="ar"/>
              </w:rPr>
              <w:t>（EA）</w:t>
            </w:r>
          </w:p>
        </w:tc>
        <w:tc>
          <w:tcPr>
            <w:tcW w:w="451" w:type="pct"/>
            <w:tcBorders>
              <w:top w:val="single" w:color="000000" w:sz="12" w:space="0"/>
              <w:left w:val="nil"/>
              <w:bottom w:val="single" w:color="000000" w:sz="4"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Subjective Norms</w:t>
            </w:r>
            <w:r>
              <w:rPr>
                <w:rFonts w:ascii="Times New Roman Regular" w:hAnsi="Times New Roman Regular" w:eastAsia="宋体" w:cs="Times New Roman Regular"/>
                <w:color w:val="000000"/>
                <w:kern w:val="0"/>
                <w:szCs w:val="21"/>
                <w:lang w:bidi="ar"/>
              </w:rPr>
              <w:t>（SN</w:t>
            </w:r>
            <w:r>
              <w:rPr>
                <w:rFonts w:ascii="Times New Roman Bold" w:hAnsi="Times New Roman Bold" w:eastAsia="宋体" w:cs="Times New Roman Bold"/>
                <w:color w:val="000000"/>
                <w:kern w:val="0"/>
                <w:szCs w:val="21"/>
                <w:lang w:bidi="ar"/>
              </w:rPr>
              <w:t>）</w:t>
            </w:r>
          </w:p>
        </w:tc>
        <w:tc>
          <w:tcPr>
            <w:tcW w:w="451" w:type="pct"/>
            <w:tcBorders>
              <w:top w:val="single" w:color="000000" w:sz="12" w:space="0"/>
              <w:left w:val="nil"/>
              <w:bottom w:val="single" w:color="000000" w:sz="4"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Perceived</w:t>
            </w:r>
            <w:r>
              <w:rPr>
                <w:rFonts w:hint="default" w:ascii="Times New Roman Regular" w:hAnsi="Times New Roman Regular" w:eastAsia="宋体" w:cs="Times New Roman Regular"/>
                <w:color w:val="000000"/>
                <w:kern w:val="0"/>
                <w:szCs w:val="21"/>
                <w:lang w:bidi="ar"/>
              </w:rPr>
              <w:t xml:space="preserve"> </w:t>
            </w:r>
            <w:r>
              <w:rPr>
                <w:rFonts w:hint="eastAsia" w:ascii="Times New Roman Regular" w:hAnsi="Times New Roman Regular" w:eastAsia="宋体" w:cs="Times New Roman Regular"/>
                <w:color w:val="000000"/>
                <w:kern w:val="0"/>
                <w:szCs w:val="21"/>
                <w:lang w:bidi="ar"/>
              </w:rPr>
              <w:t xml:space="preserve"> Ease of </w:t>
            </w:r>
            <w:r>
              <w:rPr>
                <w:rFonts w:hint="default" w:ascii="Times New Roman Regular" w:hAnsi="Times New Roman Regular" w:eastAsia="宋体" w:cs="Times New Roman Regular"/>
                <w:color w:val="000000"/>
                <w:kern w:val="0"/>
                <w:szCs w:val="21"/>
                <w:lang w:bidi="ar"/>
              </w:rPr>
              <w:t xml:space="preserve"> </w:t>
            </w:r>
            <w:r>
              <w:rPr>
                <w:rFonts w:hint="eastAsia" w:ascii="Times New Roman Regular" w:hAnsi="Times New Roman Regular" w:eastAsia="宋体" w:cs="Times New Roman Regular"/>
                <w:color w:val="000000"/>
                <w:kern w:val="0"/>
                <w:szCs w:val="21"/>
                <w:lang w:bidi="ar"/>
              </w:rPr>
              <w:t>Use</w:t>
            </w:r>
            <w:r>
              <w:rPr>
                <w:rFonts w:ascii="Times New Roman Regular" w:hAnsi="Times New Roman Regular" w:eastAsia="宋体" w:cs="Times New Roman Regular"/>
                <w:color w:val="000000"/>
                <w:kern w:val="0"/>
                <w:szCs w:val="21"/>
                <w:lang w:bidi="ar"/>
              </w:rPr>
              <w:t>（PE）</w:t>
            </w:r>
          </w:p>
        </w:tc>
        <w:tc>
          <w:tcPr>
            <w:tcW w:w="451" w:type="pct"/>
            <w:tcBorders>
              <w:top w:val="single" w:color="000000" w:sz="12" w:space="0"/>
              <w:left w:val="nil"/>
              <w:bottom w:val="single" w:color="000000" w:sz="4" w:space="0"/>
              <w:right w:val="nil"/>
            </w:tcBorders>
            <w:shd w:val="clear" w:color="auto" w:fill="FFFFFF"/>
            <w:noWrap w:val="0"/>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Perceived Risk</w:t>
            </w:r>
            <w:r>
              <w:rPr>
                <w:rFonts w:ascii="Times New Roman Regular" w:hAnsi="Times New Roman Regular" w:eastAsia="宋体" w:cs="Times New Roman Regular"/>
                <w:color w:val="000000"/>
                <w:kern w:val="0"/>
                <w:szCs w:val="21"/>
                <w:lang w:bidi="ar"/>
              </w:rPr>
              <w:t>（PR）</w:t>
            </w:r>
          </w:p>
        </w:tc>
        <w:tc>
          <w:tcPr>
            <w:tcW w:w="451" w:type="pct"/>
            <w:tcBorders>
              <w:top w:val="single" w:color="000000" w:sz="12" w:space="0"/>
              <w:left w:val="nil"/>
              <w:bottom w:val="single" w:color="000000" w:sz="4"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Perceived Cost</w:t>
            </w:r>
            <w:r>
              <w:rPr>
                <w:rFonts w:ascii="Times New Roman Regular" w:hAnsi="Times New Roman Regular" w:eastAsia="宋体" w:cs="Times New Roman Regular"/>
                <w:color w:val="000000"/>
                <w:kern w:val="0"/>
                <w:szCs w:val="21"/>
                <w:lang w:bidi="ar"/>
              </w:rPr>
              <w:t>（PC）</w:t>
            </w:r>
          </w:p>
        </w:tc>
        <w:tc>
          <w:tcPr>
            <w:tcW w:w="451" w:type="pct"/>
            <w:tcBorders>
              <w:top w:val="single" w:color="000000" w:sz="12" w:space="0"/>
              <w:left w:val="nil"/>
              <w:bottom w:val="single" w:color="000000" w:sz="4"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Perceived usefulness</w:t>
            </w:r>
            <w:r>
              <w:rPr>
                <w:rFonts w:ascii="Times New Roman Regular" w:hAnsi="Times New Roman Regular" w:eastAsia="宋体" w:cs="Times New Roman Regular"/>
                <w:color w:val="000000"/>
                <w:kern w:val="0"/>
                <w:szCs w:val="21"/>
                <w:lang w:bidi="ar"/>
              </w:rPr>
              <w:t>（PU）</w:t>
            </w:r>
          </w:p>
        </w:tc>
        <w:tc>
          <w:tcPr>
            <w:tcW w:w="451" w:type="pct"/>
            <w:tcBorders>
              <w:top w:val="single" w:color="000000" w:sz="12" w:space="0"/>
              <w:left w:val="nil"/>
              <w:bottom w:val="single" w:color="000000" w:sz="4"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Behavioral Imagery</w:t>
            </w:r>
            <w:r>
              <w:rPr>
                <w:rFonts w:ascii="Times New Roman Regular" w:hAnsi="Times New Roman Regular" w:eastAsia="宋体" w:cs="Times New Roman Regular"/>
                <w:color w:val="000000"/>
                <w:kern w:val="0"/>
                <w:szCs w:val="21"/>
                <w:lang w:bidi="ar"/>
              </w:rPr>
              <w:t>（BI）</w:t>
            </w:r>
          </w:p>
        </w:tc>
      </w:tr>
      <w:tr>
        <w:trPr>
          <w:trHeight w:val="288" w:hRule="atLeast"/>
        </w:trPr>
        <w:tc>
          <w:tcPr>
            <w:tcW w:w="1596" w:type="dxa"/>
            <w:tcBorders>
              <w:top w:val="single" w:color="000000" w:sz="4" w:space="0"/>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Perceived Cost</w:t>
            </w:r>
            <w:r>
              <w:rPr>
                <w:rFonts w:ascii="Times New Roman Regular" w:hAnsi="Times New Roman Regular" w:eastAsia="宋体" w:cs="Times New Roman Regular"/>
                <w:color w:val="000000"/>
                <w:kern w:val="0"/>
                <w:szCs w:val="21"/>
                <w:lang w:bidi="ar"/>
              </w:rPr>
              <w:t>（PC）</w:t>
            </w:r>
          </w:p>
        </w:tc>
        <w:tc>
          <w:tcPr>
            <w:tcW w:w="451" w:type="pct"/>
            <w:tcBorders>
              <w:top w:val="single" w:color="000000" w:sz="4" w:space="0"/>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0.727</w:t>
            </w:r>
          </w:p>
        </w:tc>
        <w:tc>
          <w:tcPr>
            <w:tcW w:w="451" w:type="pct"/>
            <w:tcBorders>
              <w:top w:val="single" w:color="000000" w:sz="4" w:space="0"/>
              <w:left w:val="nil"/>
              <w:bottom w:val="nil"/>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c>
          <w:tcPr>
            <w:tcW w:w="451" w:type="pct"/>
            <w:tcBorders>
              <w:top w:val="single" w:color="000000" w:sz="4" w:space="0"/>
              <w:left w:val="nil"/>
              <w:bottom w:val="nil"/>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c>
          <w:tcPr>
            <w:tcW w:w="451" w:type="pct"/>
            <w:tcBorders>
              <w:top w:val="single" w:color="000000" w:sz="4" w:space="0"/>
              <w:left w:val="nil"/>
              <w:bottom w:val="nil"/>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c>
          <w:tcPr>
            <w:tcW w:w="451" w:type="pct"/>
            <w:tcBorders>
              <w:top w:val="single" w:color="000000" w:sz="4" w:space="0"/>
              <w:left w:val="nil"/>
              <w:bottom w:val="nil"/>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c>
          <w:tcPr>
            <w:tcW w:w="451" w:type="pct"/>
            <w:tcBorders>
              <w:top w:val="single" w:color="000000" w:sz="4" w:space="0"/>
              <w:left w:val="nil"/>
              <w:bottom w:val="nil"/>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c>
          <w:tcPr>
            <w:tcW w:w="451" w:type="pct"/>
            <w:tcBorders>
              <w:top w:val="single" w:color="000000" w:sz="4" w:space="0"/>
              <w:left w:val="nil"/>
              <w:bottom w:val="nil"/>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c>
          <w:tcPr>
            <w:tcW w:w="451" w:type="pct"/>
            <w:tcBorders>
              <w:top w:val="single" w:color="000000" w:sz="4" w:space="0"/>
              <w:left w:val="nil"/>
              <w:bottom w:val="nil"/>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c>
          <w:tcPr>
            <w:tcW w:w="451" w:type="pct"/>
            <w:tcBorders>
              <w:top w:val="single" w:color="000000" w:sz="4" w:space="0"/>
              <w:left w:val="nil"/>
              <w:bottom w:val="nil"/>
              <w:right w:val="nil"/>
            </w:tcBorders>
            <w:shd w:val="clear" w:color="auto" w:fill="FFFFFF"/>
            <w:noWrap w:val="0"/>
            <w:vAlign w:val="center"/>
          </w:tcPr>
          <w:p>
            <w:pPr>
              <w:jc w:val="center"/>
              <w:rPr>
                <w:rFonts w:ascii="Times New Roman Regular" w:hAnsi="Times New Roman Regular" w:eastAsia="宋体" w:cs="Times New Roman Regular"/>
                <w:color w:val="000000"/>
                <w:szCs w:val="21"/>
              </w:rPr>
            </w:pPr>
          </w:p>
        </w:tc>
      </w:tr>
      <w:tr>
        <w:trPr>
          <w:trHeight w:val="288" w:hRule="atLeast"/>
        </w:trPr>
        <w:tc>
          <w:tcPr>
            <w:tcW w:w="1596" w:type="dxa"/>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Perceived Behavioral Control</w:t>
            </w:r>
            <w:r>
              <w:rPr>
                <w:rFonts w:ascii="Times New Roman Regular" w:hAnsi="Times New Roman Regular" w:eastAsia="宋体" w:cs="Times New Roman Regular"/>
                <w:color w:val="000000"/>
                <w:kern w:val="0"/>
                <w:szCs w:val="21"/>
                <w:lang w:bidi="ar"/>
              </w:rPr>
              <w:t>（PBC）</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0.401</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0.783</w:t>
            </w: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r>
      <w:tr>
        <w:trPr>
          <w:trHeight w:val="288" w:hRule="atLeast"/>
        </w:trPr>
        <w:tc>
          <w:tcPr>
            <w:tcW w:w="1596" w:type="dxa"/>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Subjective Norms</w:t>
            </w:r>
            <w:r>
              <w:rPr>
                <w:rFonts w:ascii="Times New Roman Regular" w:hAnsi="Times New Roman Regular" w:eastAsia="宋体" w:cs="Times New Roman Regular"/>
                <w:color w:val="000000"/>
                <w:kern w:val="0"/>
                <w:szCs w:val="21"/>
                <w:lang w:bidi="ar"/>
              </w:rPr>
              <w:t>（SN</w:t>
            </w:r>
            <w:r>
              <w:rPr>
                <w:rFonts w:ascii="Times New Roman Bold" w:hAnsi="Times New Roman Bold" w:eastAsia="宋体" w:cs="Times New Roman Bold"/>
                <w:color w:val="000000"/>
                <w:kern w:val="0"/>
                <w:szCs w:val="21"/>
                <w:lang w:bidi="ar"/>
              </w:rPr>
              <w:t>）</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0.322</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0.452</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0.85</w:t>
            </w: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r>
      <w:tr>
        <w:trPr>
          <w:trHeight w:val="288" w:hRule="atLeast"/>
        </w:trPr>
        <w:tc>
          <w:tcPr>
            <w:tcW w:w="1596" w:type="dxa"/>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Behavioral Imagery</w:t>
            </w:r>
            <w:r>
              <w:rPr>
                <w:rFonts w:ascii="Times New Roman Regular" w:hAnsi="Times New Roman Regular" w:eastAsia="宋体" w:cs="Times New Roman Regular"/>
                <w:color w:val="000000"/>
                <w:kern w:val="0"/>
                <w:szCs w:val="21"/>
                <w:lang w:bidi="ar"/>
              </w:rPr>
              <w:t>（BI）</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0.419</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0.794</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0.417</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0.78</w:t>
            </w: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r>
      <w:tr>
        <w:trPr>
          <w:trHeight w:val="288" w:hRule="atLeast"/>
        </w:trPr>
        <w:tc>
          <w:tcPr>
            <w:tcW w:w="1596" w:type="dxa"/>
            <w:tcBorders>
              <w:top w:val="nil"/>
              <w:left w:val="nil"/>
              <w:bottom w:val="nil"/>
              <w:right w:val="nil"/>
            </w:tcBorders>
            <w:shd w:val="clear" w:color="auto" w:fill="FFFFFF"/>
            <w:noWrap w:val="0"/>
            <w:vAlign w:val="center"/>
          </w:tcPr>
          <w:p>
            <w:pPr>
              <w:widowControl/>
              <w:jc w:val="center"/>
              <w:textAlignment w:val="center"/>
              <w:rPr>
                <w:rFonts w:hint="eastAsia" w:ascii="Times New Roman Regular" w:hAnsi="Times New Roman Regular" w:eastAsia="宋体" w:cs="Times New Roman Regular"/>
                <w:color w:val="000000"/>
                <w:kern w:val="0"/>
                <w:szCs w:val="21"/>
                <w:lang w:bidi="ar"/>
              </w:rPr>
            </w:pPr>
          </w:p>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Policy Support</w:t>
            </w:r>
            <w:r>
              <w:rPr>
                <w:rFonts w:ascii="Times New Roman Regular" w:hAnsi="Times New Roman Regular" w:eastAsia="宋体" w:cs="Times New Roman Regular"/>
                <w:color w:val="000000"/>
                <w:kern w:val="0"/>
                <w:szCs w:val="21"/>
                <w:lang w:bidi="ar"/>
              </w:rPr>
              <w:t>（P）</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0.443</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0.416</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0.391</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0.408</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0.859</w:t>
            </w: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r>
      <w:tr>
        <w:trPr>
          <w:trHeight w:val="288" w:hRule="atLeast"/>
        </w:trPr>
        <w:tc>
          <w:tcPr>
            <w:tcW w:w="1596" w:type="dxa"/>
            <w:tcBorders>
              <w:top w:val="nil"/>
              <w:left w:val="nil"/>
              <w:bottom w:val="nil"/>
              <w:right w:val="nil"/>
            </w:tcBorders>
            <w:shd w:val="clear" w:color="auto" w:fill="FFFFFF"/>
            <w:noWrap w:val="0"/>
            <w:vAlign w:val="center"/>
          </w:tcPr>
          <w:p>
            <w:pPr>
              <w:widowControl/>
              <w:jc w:val="both"/>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Perceived Risk</w:t>
            </w:r>
            <w:r>
              <w:rPr>
                <w:rFonts w:ascii="Times New Roman Regular" w:hAnsi="Times New Roman Regular" w:eastAsia="宋体" w:cs="Times New Roman Regular"/>
                <w:color w:val="000000"/>
                <w:kern w:val="0"/>
                <w:szCs w:val="21"/>
                <w:lang w:bidi="ar"/>
              </w:rPr>
              <w:t>（PR）</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0.283</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0.319</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0.451</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0.304</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0.467</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1.034</w:t>
            </w: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r>
      <w:tr>
        <w:trPr>
          <w:trHeight w:val="288" w:hRule="atLeast"/>
        </w:trPr>
        <w:tc>
          <w:tcPr>
            <w:tcW w:w="1596" w:type="dxa"/>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Perceived usefulness</w:t>
            </w:r>
            <w:r>
              <w:rPr>
                <w:rFonts w:ascii="Times New Roman Regular" w:hAnsi="Times New Roman Regular" w:eastAsia="宋体" w:cs="Times New Roman Regular"/>
                <w:color w:val="000000"/>
                <w:kern w:val="0"/>
                <w:szCs w:val="21"/>
                <w:lang w:bidi="ar"/>
              </w:rPr>
              <w:t>（PU）</w:t>
            </w:r>
          </w:p>
        </w:tc>
        <w:tc>
          <w:tcPr>
            <w:tcW w:w="451" w:type="pct"/>
            <w:tcBorders>
              <w:top w:val="nil"/>
              <w:left w:val="nil"/>
              <w:bottom w:val="nil"/>
              <w:right w:val="nil"/>
            </w:tcBorders>
            <w:shd w:val="clear" w:color="auto" w:fill="FFFFFF"/>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-0.232</w:t>
            </w:r>
          </w:p>
        </w:tc>
        <w:tc>
          <w:tcPr>
            <w:tcW w:w="451" w:type="pct"/>
            <w:tcBorders>
              <w:top w:val="nil"/>
              <w:left w:val="nil"/>
              <w:bottom w:val="nil"/>
              <w:right w:val="nil"/>
            </w:tcBorders>
            <w:shd w:val="clear" w:color="auto" w:fill="FFFFFF"/>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-0.235</w:t>
            </w:r>
          </w:p>
        </w:tc>
        <w:tc>
          <w:tcPr>
            <w:tcW w:w="451" w:type="pct"/>
            <w:tcBorders>
              <w:top w:val="nil"/>
              <w:left w:val="nil"/>
              <w:bottom w:val="nil"/>
              <w:right w:val="nil"/>
            </w:tcBorders>
            <w:shd w:val="clear" w:color="auto" w:fill="FFFFFF"/>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-0.271</w:t>
            </w:r>
          </w:p>
        </w:tc>
        <w:tc>
          <w:tcPr>
            <w:tcW w:w="451" w:type="pct"/>
            <w:tcBorders>
              <w:top w:val="nil"/>
              <w:left w:val="nil"/>
              <w:bottom w:val="nil"/>
              <w:right w:val="nil"/>
            </w:tcBorders>
            <w:shd w:val="clear" w:color="auto" w:fill="FFFFFF"/>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-0.228</w:t>
            </w:r>
          </w:p>
        </w:tc>
        <w:tc>
          <w:tcPr>
            <w:tcW w:w="451" w:type="pct"/>
            <w:tcBorders>
              <w:top w:val="nil"/>
              <w:left w:val="nil"/>
              <w:bottom w:val="nil"/>
              <w:right w:val="nil"/>
            </w:tcBorders>
            <w:shd w:val="clear" w:color="auto" w:fill="FFFFFF"/>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-0.422</w:t>
            </w:r>
          </w:p>
        </w:tc>
        <w:tc>
          <w:tcPr>
            <w:tcW w:w="451" w:type="pct"/>
            <w:tcBorders>
              <w:top w:val="nil"/>
              <w:left w:val="nil"/>
              <w:bottom w:val="nil"/>
              <w:right w:val="nil"/>
            </w:tcBorders>
            <w:shd w:val="clear" w:color="auto" w:fill="FFFFFF"/>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-0.487</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0.865</w:t>
            </w: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r>
      <w:tr>
        <w:trPr>
          <w:trHeight w:val="288" w:hRule="atLeast"/>
        </w:trPr>
        <w:tc>
          <w:tcPr>
            <w:tcW w:w="1596" w:type="dxa"/>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Perceived</w:t>
            </w:r>
            <w:r>
              <w:rPr>
                <w:rFonts w:hint="default" w:ascii="Times New Roman Regular" w:hAnsi="Times New Roman Regular" w:eastAsia="宋体" w:cs="Times New Roman Regular"/>
                <w:color w:val="000000"/>
                <w:kern w:val="0"/>
                <w:szCs w:val="21"/>
                <w:lang w:bidi="ar"/>
              </w:rPr>
              <w:t xml:space="preserve"> </w:t>
            </w:r>
            <w:r>
              <w:rPr>
                <w:rFonts w:hint="eastAsia" w:ascii="Times New Roman Regular" w:hAnsi="Times New Roman Regular" w:eastAsia="宋体" w:cs="Times New Roman Regular"/>
                <w:color w:val="000000"/>
                <w:kern w:val="0"/>
                <w:szCs w:val="21"/>
                <w:lang w:bidi="ar"/>
              </w:rPr>
              <w:t xml:space="preserve"> Ease of </w:t>
            </w:r>
            <w:r>
              <w:rPr>
                <w:rFonts w:hint="default" w:ascii="Times New Roman Regular" w:hAnsi="Times New Roman Regular" w:eastAsia="宋体" w:cs="Times New Roman Regular"/>
                <w:color w:val="000000"/>
                <w:kern w:val="0"/>
                <w:szCs w:val="21"/>
                <w:lang w:bidi="ar"/>
              </w:rPr>
              <w:t xml:space="preserve"> </w:t>
            </w:r>
            <w:r>
              <w:rPr>
                <w:rFonts w:hint="eastAsia" w:ascii="Times New Roman Regular" w:hAnsi="Times New Roman Regular" w:eastAsia="宋体" w:cs="Times New Roman Regular"/>
                <w:color w:val="000000"/>
                <w:kern w:val="0"/>
                <w:szCs w:val="21"/>
                <w:lang w:bidi="ar"/>
              </w:rPr>
              <w:t>Use</w:t>
            </w:r>
            <w:r>
              <w:rPr>
                <w:rFonts w:ascii="Times New Roman Regular" w:hAnsi="Times New Roman Regular" w:eastAsia="宋体" w:cs="Times New Roman Regular"/>
                <w:color w:val="000000"/>
                <w:kern w:val="0"/>
                <w:szCs w:val="21"/>
                <w:lang w:bidi="ar"/>
              </w:rPr>
              <w:t>（PE）</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0.117</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0.118</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0.136</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0.115</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0.213</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0.246</w:t>
            </w:r>
          </w:p>
        </w:tc>
        <w:tc>
          <w:tcPr>
            <w:tcW w:w="451" w:type="pct"/>
            <w:tcBorders>
              <w:top w:val="nil"/>
              <w:left w:val="nil"/>
              <w:bottom w:val="nil"/>
              <w:right w:val="nil"/>
            </w:tcBorders>
            <w:shd w:val="clear" w:color="auto" w:fill="FFFFFF"/>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-0.435</w:t>
            </w:r>
          </w:p>
        </w:tc>
        <w:tc>
          <w:tcPr>
            <w:tcW w:w="451" w:type="pct"/>
            <w:tcBorders>
              <w:top w:val="nil"/>
              <w:left w:val="nil"/>
              <w:bottom w:val="nil"/>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0.838</w:t>
            </w:r>
          </w:p>
        </w:tc>
        <w:tc>
          <w:tcPr>
            <w:tcW w:w="451" w:type="pct"/>
            <w:tcBorders>
              <w:top w:val="nil"/>
              <w:left w:val="nil"/>
              <w:bottom w:val="nil"/>
              <w:right w:val="nil"/>
            </w:tcBorders>
            <w:shd w:val="clear" w:color="auto" w:fill="FFFFFF"/>
            <w:noWrap/>
            <w:vAlign w:val="center"/>
          </w:tcPr>
          <w:p>
            <w:pPr>
              <w:jc w:val="center"/>
              <w:rPr>
                <w:rFonts w:ascii="Times New Roman Regular" w:hAnsi="Times New Roman Regular" w:eastAsia="宋体" w:cs="Times New Roman Regular"/>
                <w:color w:val="000000"/>
                <w:szCs w:val="21"/>
              </w:rPr>
            </w:pPr>
          </w:p>
        </w:tc>
      </w:tr>
      <w:tr>
        <w:trPr>
          <w:trHeight w:val="288" w:hRule="atLeast"/>
        </w:trPr>
        <w:tc>
          <w:tcPr>
            <w:tcW w:w="1596" w:type="dxa"/>
            <w:tcBorders>
              <w:top w:val="nil"/>
              <w:left w:val="nil"/>
              <w:bottom w:val="single" w:color="000000" w:sz="12"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Environmental Awareness</w:t>
            </w:r>
            <w:r>
              <w:rPr>
                <w:rFonts w:ascii="Times New Roman Regular" w:hAnsi="Times New Roman Regular" w:eastAsia="宋体" w:cs="Times New Roman Regular"/>
                <w:color w:val="000000"/>
                <w:kern w:val="0"/>
                <w:szCs w:val="21"/>
                <w:lang w:bidi="ar"/>
              </w:rPr>
              <w:t>（EA）</w:t>
            </w:r>
          </w:p>
        </w:tc>
        <w:tc>
          <w:tcPr>
            <w:tcW w:w="451" w:type="pct"/>
            <w:tcBorders>
              <w:top w:val="nil"/>
              <w:left w:val="nil"/>
              <w:bottom w:val="single" w:color="000000" w:sz="12"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0.356</w:t>
            </w:r>
          </w:p>
        </w:tc>
        <w:tc>
          <w:tcPr>
            <w:tcW w:w="451" w:type="pct"/>
            <w:tcBorders>
              <w:top w:val="nil"/>
              <w:left w:val="nil"/>
              <w:bottom w:val="single" w:color="000000" w:sz="12"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0.304</w:t>
            </w:r>
          </w:p>
        </w:tc>
        <w:tc>
          <w:tcPr>
            <w:tcW w:w="451" w:type="pct"/>
            <w:tcBorders>
              <w:top w:val="nil"/>
              <w:left w:val="nil"/>
              <w:bottom w:val="single" w:color="000000" w:sz="12"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0.316</w:t>
            </w:r>
          </w:p>
        </w:tc>
        <w:tc>
          <w:tcPr>
            <w:tcW w:w="451" w:type="pct"/>
            <w:tcBorders>
              <w:top w:val="nil"/>
              <w:left w:val="nil"/>
              <w:bottom w:val="single" w:color="000000" w:sz="12"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0.298</w:t>
            </w:r>
          </w:p>
        </w:tc>
        <w:tc>
          <w:tcPr>
            <w:tcW w:w="451" w:type="pct"/>
            <w:tcBorders>
              <w:top w:val="nil"/>
              <w:left w:val="nil"/>
              <w:bottom w:val="single" w:color="000000" w:sz="12"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0.327</w:t>
            </w:r>
          </w:p>
        </w:tc>
        <w:tc>
          <w:tcPr>
            <w:tcW w:w="451" w:type="pct"/>
            <w:tcBorders>
              <w:top w:val="nil"/>
              <w:left w:val="nil"/>
              <w:bottom w:val="single" w:color="000000" w:sz="12"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0.326</w:t>
            </w:r>
          </w:p>
        </w:tc>
        <w:tc>
          <w:tcPr>
            <w:tcW w:w="451" w:type="pct"/>
            <w:tcBorders>
              <w:top w:val="nil"/>
              <w:left w:val="nil"/>
              <w:bottom w:val="single" w:color="000000" w:sz="12" w:space="0"/>
              <w:right w:val="nil"/>
            </w:tcBorders>
            <w:shd w:val="clear" w:color="auto" w:fill="FFFFFF"/>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-0.311</w:t>
            </w:r>
          </w:p>
        </w:tc>
        <w:tc>
          <w:tcPr>
            <w:tcW w:w="451" w:type="pct"/>
            <w:tcBorders>
              <w:top w:val="nil"/>
              <w:left w:val="nil"/>
              <w:bottom w:val="single" w:color="000000" w:sz="12"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0.22</w:t>
            </w:r>
          </w:p>
        </w:tc>
        <w:tc>
          <w:tcPr>
            <w:tcW w:w="451" w:type="pct"/>
            <w:tcBorders>
              <w:top w:val="nil"/>
              <w:left w:val="nil"/>
              <w:bottom w:val="single" w:color="000000" w:sz="12" w:space="0"/>
              <w:right w:val="nil"/>
            </w:tcBorders>
            <w:shd w:val="clear" w:color="auto" w:fill="FFFFFF"/>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0.686</w:t>
            </w:r>
          </w:p>
        </w:tc>
      </w:tr>
    </w:tbl>
    <w:p>
      <w:pPr>
        <w:jc w:val="center"/>
        <w:rPr>
          <w:rFonts w:ascii="Times New Roman Regular" w:hAnsi="Times New Roman Regular" w:eastAsia="宋体" w:cs="Times New Roman Regular"/>
          <w:szCs w:val="21"/>
        </w:rPr>
      </w:pPr>
      <w:r>
        <w:rPr>
          <w:rFonts w:ascii="Times New Roman Regular" w:hAnsi="Times New Roman Regular" w:eastAsia="宋体" w:cs="Times New Roman Regular"/>
          <w:szCs w:val="21"/>
        </w:rPr>
        <w:t>Tab.6 Model fitting index</w:t>
      </w:r>
    </w:p>
    <w:tbl>
      <w:tblPr>
        <w:tblStyle w:val="4"/>
        <w:tblW w:w="5109" w:type="pct"/>
        <w:tblInd w:w="0" w:type="dxa"/>
        <w:tblLayout w:type="fixed"/>
        <w:tblCellMar>
          <w:top w:w="0" w:type="dxa"/>
          <w:left w:w="108" w:type="dxa"/>
          <w:bottom w:w="0" w:type="dxa"/>
          <w:right w:w="108" w:type="dxa"/>
        </w:tblCellMar>
      </w:tblPr>
      <w:tblGrid>
        <w:gridCol w:w="1223"/>
        <w:gridCol w:w="1295"/>
        <w:gridCol w:w="898"/>
        <w:gridCol w:w="857"/>
        <w:gridCol w:w="885"/>
        <w:gridCol w:w="898"/>
        <w:gridCol w:w="851"/>
        <w:gridCol w:w="877"/>
        <w:gridCol w:w="925"/>
      </w:tblGrid>
      <w:tr>
        <w:trPr>
          <w:trHeight w:val="288" w:hRule="atLeast"/>
        </w:trPr>
        <w:tc>
          <w:tcPr>
            <w:tcW w:w="702" w:type="pct"/>
            <w:tcBorders>
              <w:top w:val="single" w:color="000000" w:sz="12" w:space="0"/>
              <w:left w:val="nil"/>
              <w:bottom w:val="nil"/>
              <w:right w:val="nil"/>
            </w:tcBorders>
            <w:noWrap/>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 xml:space="preserve">Indicator </w:t>
            </w:r>
          </w:p>
        </w:tc>
        <w:tc>
          <w:tcPr>
            <w:tcW w:w="743" w:type="pct"/>
            <w:tcBorders>
              <w:top w:val="single" w:color="000000" w:sz="12" w:space="0"/>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PCMIN/DF</w:t>
            </w:r>
          </w:p>
        </w:tc>
        <w:tc>
          <w:tcPr>
            <w:tcW w:w="515" w:type="pct"/>
            <w:tcBorders>
              <w:top w:val="single" w:color="000000" w:sz="12" w:space="0"/>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 xml:space="preserve">RMSEA </w:t>
            </w:r>
          </w:p>
        </w:tc>
        <w:tc>
          <w:tcPr>
            <w:tcW w:w="492" w:type="pct"/>
            <w:tcBorders>
              <w:top w:val="single" w:color="000000" w:sz="12" w:space="0"/>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 xml:space="preserve"> GFI </w:t>
            </w:r>
          </w:p>
        </w:tc>
        <w:tc>
          <w:tcPr>
            <w:tcW w:w="508" w:type="pct"/>
            <w:tcBorders>
              <w:top w:val="single" w:color="000000" w:sz="12" w:space="0"/>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 xml:space="preserve">CFI  </w:t>
            </w:r>
          </w:p>
        </w:tc>
        <w:tc>
          <w:tcPr>
            <w:tcW w:w="515" w:type="pct"/>
            <w:tcBorders>
              <w:top w:val="single" w:color="000000" w:sz="12" w:space="0"/>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 xml:space="preserve">IFI  </w:t>
            </w:r>
          </w:p>
        </w:tc>
        <w:tc>
          <w:tcPr>
            <w:tcW w:w="488" w:type="pct"/>
            <w:tcBorders>
              <w:top w:val="single" w:color="000000" w:sz="12" w:space="0"/>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TLI</w:t>
            </w:r>
          </w:p>
        </w:tc>
        <w:tc>
          <w:tcPr>
            <w:tcW w:w="503" w:type="pct"/>
            <w:tcBorders>
              <w:top w:val="single" w:color="000000" w:sz="12" w:space="0"/>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 xml:space="preserve">PGFI </w:t>
            </w:r>
          </w:p>
        </w:tc>
        <w:tc>
          <w:tcPr>
            <w:tcW w:w="531" w:type="pct"/>
            <w:tcBorders>
              <w:top w:val="single" w:color="000000" w:sz="12" w:space="0"/>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 xml:space="preserve"> PNFI </w:t>
            </w:r>
          </w:p>
        </w:tc>
      </w:tr>
      <w:tr>
        <w:trPr>
          <w:trHeight w:val="288" w:hRule="atLeast"/>
        </w:trPr>
        <w:tc>
          <w:tcPr>
            <w:tcW w:w="702" w:type="pct"/>
            <w:tcBorders>
              <w:top w:val="single" w:color="000000" w:sz="4" w:space="0"/>
              <w:left w:val="nil"/>
              <w:bottom w:val="nil"/>
              <w:right w:val="nil"/>
            </w:tcBorders>
            <w:noWrap/>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Standard value</w:t>
            </w:r>
          </w:p>
        </w:tc>
        <w:tc>
          <w:tcPr>
            <w:tcW w:w="743" w:type="pct"/>
            <w:tcBorders>
              <w:top w:val="single" w:color="000000" w:sz="4" w:space="0"/>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1～3</w:t>
            </w:r>
          </w:p>
        </w:tc>
        <w:tc>
          <w:tcPr>
            <w:tcW w:w="515" w:type="pct"/>
            <w:tcBorders>
              <w:top w:val="single" w:color="000000" w:sz="4" w:space="0"/>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&lt;0.08</w:t>
            </w:r>
          </w:p>
        </w:tc>
        <w:tc>
          <w:tcPr>
            <w:tcW w:w="492" w:type="pct"/>
            <w:tcBorders>
              <w:top w:val="single" w:color="000000" w:sz="4" w:space="0"/>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&gt;0.8</w:t>
            </w:r>
          </w:p>
        </w:tc>
        <w:tc>
          <w:tcPr>
            <w:tcW w:w="508" w:type="pct"/>
            <w:tcBorders>
              <w:top w:val="single" w:color="000000" w:sz="4" w:space="0"/>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&gt;0.9</w:t>
            </w:r>
          </w:p>
        </w:tc>
        <w:tc>
          <w:tcPr>
            <w:tcW w:w="515" w:type="pct"/>
            <w:tcBorders>
              <w:top w:val="single" w:color="000000" w:sz="4" w:space="0"/>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&gt;0.9</w:t>
            </w:r>
          </w:p>
        </w:tc>
        <w:tc>
          <w:tcPr>
            <w:tcW w:w="488" w:type="pct"/>
            <w:tcBorders>
              <w:top w:val="single" w:color="000000" w:sz="4" w:space="0"/>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&gt;0.8</w:t>
            </w:r>
          </w:p>
        </w:tc>
        <w:tc>
          <w:tcPr>
            <w:tcW w:w="503" w:type="pct"/>
            <w:tcBorders>
              <w:top w:val="single" w:color="000000" w:sz="4" w:space="0"/>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&gt;0.5</w:t>
            </w:r>
          </w:p>
        </w:tc>
        <w:tc>
          <w:tcPr>
            <w:tcW w:w="531" w:type="pct"/>
            <w:tcBorders>
              <w:top w:val="single" w:color="000000" w:sz="4" w:space="0"/>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&gt;0.5</w:t>
            </w:r>
          </w:p>
        </w:tc>
      </w:tr>
      <w:tr>
        <w:trPr>
          <w:trHeight w:val="288" w:hRule="atLeast"/>
        </w:trPr>
        <w:tc>
          <w:tcPr>
            <w:tcW w:w="702" w:type="pct"/>
            <w:tcBorders>
              <w:top w:val="single" w:color="000000" w:sz="4" w:space="0"/>
              <w:left w:val="nil"/>
              <w:bottom w:val="nil"/>
              <w:right w:val="nil"/>
            </w:tcBorders>
            <w:noWrap/>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Parameter value</w:t>
            </w:r>
          </w:p>
        </w:tc>
        <w:tc>
          <w:tcPr>
            <w:tcW w:w="743" w:type="pct"/>
            <w:tcBorders>
              <w:top w:val="single" w:color="000000" w:sz="4" w:space="0"/>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1.617</w:t>
            </w:r>
          </w:p>
        </w:tc>
        <w:tc>
          <w:tcPr>
            <w:tcW w:w="515" w:type="pct"/>
            <w:tcBorders>
              <w:top w:val="single" w:color="000000" w:sz="4" w:space="0"/>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0.039</w:t>
            </w:r>
          </w:p>
        </w:tc>
        <w:tc>
          <w:tcPr>
            <w:tcW w:w="492" w:type="pct"/>
            <w:tcBorders>
              <w:top w:val="single" w:color="000000" w:sz="4" w:space="0"/>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0.887</w:t>
            </w:r>
          </w:p>
        </w:tc>
        <w:tc>
          <w:tcPr>
            <w:tcW w:w="508" w:type="pct"/>
            <w:tcBorders>
              <w:top w:val="single" w:color="000000" w:sz="4" w:space="0"/>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0.953</w:t>
            </w:r>
          </w:p>
        </w:tc>
        <w:tc>
          <w:tcPr>
            <w:tcW w:w="515" w:type="pct"/>
            <w:tcBorders>
              <w:top w:val="single" w:color="000000" w:sz="4" w:space="0"/>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0.954</w:t>
            </w:r>
          </w:p>
        </w:tc>
        <w:tc>
          <w:tcPr>
            <w:tcW w:w="488" w:type="pct"/>
            <w:tcBorders>
              <w:top w:val="single" w:color="000000" w:sz="4" w:space="0"/>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0.949</w:t>
            </w:r>
          </w:p>
        </w:tc>
        <w:tc>
          <w:tcPr>
            <w:tcW w:w="503" w:type="pct"/>
            <w:tcBorders>
              <w:top w:val="single" w:color="000000" w:sz="4" w:space="0"/>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0.764</w:t>
            </w:r>
          </w:p>
        </w:tc>
        <w:tc>
          <w:tcPr>
            <w:tcW w:w="531" w:type="pct"/>
            <w:tcBorders>
              <w:top w:val="single" w:color="000000" w:sz="4" w:space="0"/>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0.808</w:t>
            </w:r>
          </w:p>
        </w:tc>
      </w:tr>
      <w:tr>
        <w:trPr>
          <w:trHeight w:val="288" w:hRule="atLeast"/>
        </w:trPr>
        <w:tc>
          <w:tcPr>
            <w:tcW w:w="702" w:type="pct"/>
            <w:tcBorders>
              <w:top w:val="single" w:color="000000" w:sz="4" w:space="0"/>
              <w:left w:val="nil"/>
              <w:bottom w:val="single" w:color="000000" w:sz="12" w:space="0"/>
              <w:right w:val="nil"/>
            </w:tcBorders>
            <w:noWrap/>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Result</w:t>
            </w:r>
          </w:p>
        </w:tc>
        <w:tc>
          <w:tcPr>
            <w:tcW w:w="743" w:type="pct"/>
            <w:tcBorders>
              <w:top w:val="single" w:color="000000" w:sz="4" w:space="0"/>
              <w:left w:val="nil"/>
              <w:bottom w:val="single" w:color="000000" w:sz="12" w:space="0"/>
              <w:right w:val="nil"/>
            </w:tcBorders>
            <w:noWrap/>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eligible</w:t>
            </w:r>
          </w:p>
        </w:tc>
        <w:tc>
          <w:tcPr>
            <w:tcW w:w="515" w:type="pct"/>
            <w:tcBorders>
              <w:top w:val="single" w:color="000000" w:sz="4" w:space="0"/>
              <w:left w:val="nil"/>
              <w:bottom w:val="single" w:color="000000" w:sz="12" w:space="0"/>
              <w:right w:val="nil"/>
            </w:tcBorders>
            <w:noWrap/>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eligible</w:t>
            </w:r>
          </w:p>
        </w:tc>
        <w:tc>
          <w:tcPr>
            <w:tcW w:w="492" w:type="pct"/>
            <w:tcBorders>
              <w:top w:val="single" w:color="000000" w:sz="4" w:space="0"/>
              <w:left w:val="nil"/>
              <w:bottom w:val="single" w:color="000000" w:sz="12" w:space="0"/>
              <w:right w:val="nil"/>
            </w:tcBorders>
            <w:noWrap/>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eligible</w:t>
            </w:r>
          </w:p>
        </w:tc>
        <w:tc>
          <w:tcPr>
            <w:tcW w:w="508" w:type="pct"/>
            <w:tcBorders>
              <w:top w:val="single" w:color="000000" w:sz="4" w:space="0"/>
              <w:left w:val="nil"/>
              <w:bottom w:val="single" w:color="000000" w:sz="12" w:space="0"/>
              <w:right w:val="nil"/>
            </w:tcBorders>
            <w:noWrap/>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eligible</w:t>
            </w:r>
          </w:p>
        </w:tc>
        <w:tc>
          <w:tcPr>
            <w:tcW w:w="515" w:type="pct"/>
            <w:tcBorders>
              <w:top w:val="single" w:color="000000" w:sz="4" w:space="0"/>
              <w:left w:val="nil"/>
              <w:bottom w:val="single" w:color="000000" w:sz="12" w:space="0"/>
              <w:right w:val="nil"/>
            </w:tcBorders>
            <w:noWrap/>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eligible</w:t>
            </w:r>
          </w:p>
        </w:tc>
        <w:tc>
          <w:tcPr>
            <w:tcW w:w="488" w:type="pct"/>
            <w:tcBorders>
              <w:top w:val="single" w:color="000000" w:sz="4" w:space="0"/>
              <w:left w:val="nil"/>
              <w:bottom w:val="single" w:color="000000" w:sz="12" w:space="0"/>
              <w:right w:val="nil"/>
            </w:tcBorders>
            <w:noWrap/>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eligible</w:t>
            </w:r>
          </w:p>
        </w:tc>
        <w:tc>
          <w:tcPr>
            <w:tcW w:w="503" w:type="pct"/>
            <w:tcBorders>
              <w:top w:val="single" w:color="000000" w:sz="4" w:space="0"/>
              <w:left w:val="nil"/>
              <w:bottom w:val="single" w:color="000000" w:sz="12" w:space="0"/>
              <w:right w:val="nil"/>
            </w:tcBorders>
            <w:noWrap/>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eligible</w:t>
            </w:r>
          </w:p>
        </w:tc>
        <w:tc>
          <w:tcPr>
            <w:tcW w:w="531" w:type="pct"/>
            <w:tcBorders>
              <w:top w:val="single" w:color="000000" w:sz="4" w:space="0"/>
              <w:left w:val="nil"/>
              <w:bottom w:val="single" w:color="000000" w:sz="12" w:space="0"/>
              <w:right w:val="nil"/>
            </w:tcBorders>
            <w:noWrap/>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eligible</w:t>
            </w:r>
          </w:p>
        </w:tc>
      </w:tr>
    </w:tbl>
    <w:p>
      <w:pPr>
        <w:rPr>
          <w:rFonts w:ascii="Times New Roman Regular" w:hAnsi="Times New Roman Regular" w:eastAsia="宋体" w:cs="Times New Roman Regular"/>
          <w:szCs w:val="21"/>
        </w:rPr>
      </w:pPr>
    </w:p>
    <w:p>
      <w:pPr>
        <w:jc w:val="center"/>
        <w:rPr>
          <w:rFonts w:ascii="Times New Roman Regular" w:hAnsi="Times New Roman Regular" w:eastAsia="宋体" w:cs="Times New Roman Regular"/>
          <w:szCs w:val="21"/>
        </w:rPr>
      </w:pPr>
      <w:r>
        <w:rPr>
          <w:rFonts w:ascii="Times New Roman Regular" w:hAnsi="Times New Roman Regular" w:eastAsia="宋体" w:cs="Times New Roman Regular"/>
          <w:szCs w:val="21"/>
        </w:rPr>
        <w:t>Tab.7 Results of hypotheses</w:t>
      </w:r>
    </w:p>
    <w:tbl>
      <w:tblPr>
        <w:tblStyle w:val="4"/>
        <w:tblW w:w="4997" w:type="pct"/>
        <w:tblInd w:w="0" w:type="dxa"/>
        <w:tblLayout w:type="autofit"/>
        <w:tblCellMar>
          <w:top w:w="0" w:type="dxa"/>
          <w:left w:w="108" w:type="dxa"/>
          <w:bottom w:w="0" w:type="dxa"/>
          <w:right w:w="108" w:type="dxa"/>
        </w:tblCellMar>
      </w:tblPr>
      <w:tblGrid>
        <w:gridCol w:w="1297"/>
        <w:gridCol w:w="1021"/>
        <w:gridCol w:w="1515"/>
        <w:gridCol w:w="682"/>
        <w:gridCol w:w="751"/>
        <w:gridCol w:w="889"/>
        <w:gridCol w:w="1298"/>
        <w:gridCol w:w="1069"/>
      </w:tblGrid>
      <w:tr>
        <w:trPr>
          <w:trHeight w:val="306" w:hRule="atLeast"/>
        </w:trPr>
        <w:tc>
          <w:tcPr>
            <w:tcW w:w="602" w:type="pct"/>
            <w:tcBorders>
              <w:top w:val="single" w:color="000000" w:sz="12"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Assumptions</w:t>
            </w:r>
          </w:p>
        </w:tc>
        <w:tc>
          <w:tcPr>
            <w:tcW w:w="606" w:type="pct"/>
            <w:tcBorders>
              <w:top w:val="single" w:color="000000" w:sz="12"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 xml:space="preserve">Path </w:t>
            </w:r>
          </w:p>
        </w:tc>
        <w:tc>
          <w:tcPr>
            <w:tcW w:w="606" w:type="pct"/>
            <w:tcBorders>
              <w:top w:val="single" w:color="000000" w:sz="12" w:space="0"/>
              <w:left w:val="nil"/>
              <w:bottom w:val="nil"/>
              <w:right w:val="nil"/>
            </w:tcBorders>
            <w:noWrap w:val="0"/>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Unstandardized path</w:t>
            </w:r>
            <w:r>
              <w:rPr>
                <w:rFonts w:hint="default" w:ascii="Times New Roman Regular" w:hAnsi="Times New Roman Regular" w:eastAsia="宋体" w:cs="Times New Roman Regular"/>
                <w:color w:val="000000"/>
                <w:kern w:val="0"/>
                <w:szCs w:val="21"/>
                <w:lang w:bidi="ar"/>
              </w:rPr>
              <w:t xml:space="preserve"> coefficients</w:t>
            </w:r>
          </w:p>
        </w:tc>
        <w:tc>
          <w:tcPr>
            <w:tcW w:w="605" w:type="pct"/>
            <w:tcBorders>
              <w:top w:val="single" w:color="000000" w:sz="12"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S.E.</w:t>
            </w:r>
          </w:p>
        </w:tc>
        <w:tc>
          <w:tcPr>
            <w:tcW w:w="606" w:type="pct"/>
            <w:tcBorders>
              <w:top w:val="single" w:color="000000" w:sz="12"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C.R.</w:t>
            </w:r>
          </w:p>
        </w:tc>
        <w:tc>
          <w:tcPr>
            <w:tcW w:w="623" w:type="pct"/>
            <w:tcBorders>
              <w:top w:val="single" w:color="000000" w:sz="12"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w:t>
            </w:r>
          </w:p>
        </w:tc>
        <w:tc>
          <w:tcPr>
            <w:tcW w:w="747" w:type="pct"/>
            <w:tcBorders>
              <w:top w:val="single" w:color="000000" w:sz="12"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hint="eastAsia" w:ascii="Times New Roman Regular" w:hAnsi="Times New Roman Regular" w:eastAsia="宋体" w:cs="Times New Roman Regular"/>
                <w:color w:val="000000"/>
                <w:kern w:val="0"/>
                <w:szCs w:val="21"/>
                <w:lang w:bidi="ar"/>
              </w:rPr>
              <w:t>Standardized path factor</w:t>
            </w:r>
          </w:p>
        </w:tc>
        <w:tc>
          <w:tcPr>
            <w:tcW w:w="601" w:type="pct"/>
            <w:tcBorders>
              <w:top w:val="single" w:color="000000" w:sz="12" w:space="0"/>
              <w:left w:val="nil"/>
              <w:bottom w:val="nil"/>
              <w:right w:val="nil"/>
            </w:tcBorders>
            <w:noWrap w:val="0"/>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Result</w:t>
            </w:r>
          </w:p>
        </w:tc>
      </w:tr>
      <w:tr>
        <w:trPr>
          <w:trHeight w:val="306" w:hRule="atLeast"/>
        </w:trPr>
        <w:tc>
          <w:tcPr>
            <w:tcW w:w="602"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H1</w:t>
            </w:r>
          </w:p>
        </w:tc>
        <w:tc>
          <w:tcPr>
            <w:tcW w:w="606"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PU→BI</w:t>
            </w:r>
          </w:p>
        </w:tc>
        <w:tc>
          <w:tcPr>
            <w:tcW w:w="606"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0.078</w:t>
            </w:r>
          </w:p>
        </w:tc>
        <w:tc>
          <w:tcPr>
            <w:tcW w:w="605"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0.053</w:t>
            </w:r>
          </w:p>
        </w:tc>
        <w:tc>
          <w:tcPr>
            <w:tcW w:w="606"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1.467</w:t>
            </w:r>
          </w:p>
        </w:tc>
        <w:tc>
          <w:tcPr>
            <w:tcW w:w="623"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0.142</w:t>
            </w:r>
          </w:p>
        </w:tc>
        <w:tc>
          <w:tcPr>
            <w:tcW w:w="747" w:type="pct"/>
            <w:tcBorders>
              <w:top w:val="single" w:color="000000" w:sz="4" w:space="0"/>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0.102</w:t>
            </w:r>
          </w:p>
        </w:tc>
        <w:tc>
          <w:tcPr>
            <w:tcW w:w="601" w:type="pct"/>
            <w:tcBorders>
              <w:top w:val="single" w:color="000000" w:sz="4" w:space="0"/>
              <w:left w:val="nil"/>
              <w:bottom w:val="nil"/>
              <w:right w:val="nil"/>
            </w:tcBorders>
            <w:noWrap w:val="0"/>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No support</w:t>
            </w:r>
          </w:p>
        </w:tc>
      </w:tr>
      <w:tr>
        <w:trPr>
          <w:trHeight w:val="306" w:hRule="atLeast"/>
        </w:trPr>
        <w:tc>
          <w:tcPr>
            <w:tcW w:w="602"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H2a</w:t>
            </w:r>
          </w:p>
        </w:tc>
        <w:tc>
          <w:tcPr>
            <w:tcW w:w="606"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PE→PU</w:t>
            </w:r>
          </w:p>
        </w:tc>
        <w:tc>
          <w:tcPr>
            <w:tcW w:w="606"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0.409</w:t>
            </w:r>
          </w:p>
        </w:tc>
        <w:tc>
          <w:tcPr>
            <w:tcW w:w="605"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0.063</w:t>
            </w:r>
          </w:p>
        </w:tc>
        <w:tc>
          <w:tcPr>
            <w:tcW w:w="606"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6.484</w:t>
            </w:r>
          </w:p>
        </w:tc>
        <w:tc>
          <w:tcPr>
            <w:tcW w:w="623"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w:t>
            </w:r>
          </w:p>
        </w:tc>
        <w:tc>
          <w:tcPr>
            <w:tcW w:w="747"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0.389</w:t>
            </w:r>
          </w:p>
        </w:tc>
        <w:tc>
          <w:tcPr>
            <w:tcW w:w="601" w:type="pct"/>
            <w:tcBorders>
              <w:top w:val="nil"/>
              <w:left w:val="nil"/>
              <w:bottom w:val="nil"/>
              <w:right w:val="nil"/>
            </w:tcBorders>
            <w:noWrap w:val="0"/>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Support</w:t>
            </w:r>
          </w:p>
        </w:tc>
      </w:tr>
      <w:tr>
        <w:trPr>
          <w:trHeight w:val="306" w:hRule="atLeast"/>
        </w:trPr>
        <w:tc>
          <w:tcPr>
            <w:tcW w:w="602"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H2b</w:t>
            </w:r>
          </w:p>
        </w:tc>
        <w:tc>
          <w:tcPr>
            <w:tcW w:w="606"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PE→BI</w:t>
            </w:r>
          </w:p>
        </w:tc>
        <w:tc>
          <w:tcPr>
            <w:tcW w:w="606"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0.039</w:t>
            </w:r>
          </w:p>
        </w:tc>
        <w:tc>
          <w:tcPr>
            <w:tcW w:w="605"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0.056</w:t>
            </w:r>
          </w:p>
        </w:tc>
        <w:tc>
          <w:tcPr>
            <w:tcW w:w="606"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0.698</w:t>
            </w:r>
          </w:p>
        </w:tc>
        <w:tc>
          <w:tcPr>
            <w:tcW w:w="623"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0.485</w:t>
            </w:r>
          </w:p>
        </w:tc>
        <w:tc>
          <w:tcPr>
            <w:tcW w:w="747"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0.049</w:t>
            </w:r>
          </w:p>
        </w:tc>
        <w:tc>
          <w:tcPr>
            <w:tcW w:w="601" w:type="pct"/>
            <w:tcBorders>
              <w:top w:val="nil"/>
              <w:left w:val="nil"/>
              <w:bottom w:val="nil"/>
              <w:right w:val="nil"/>
            </w:tcBorders>
            <w:noWrap w:val="0"/>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Not Supported</w:t>
            </w:r>
          </w:p>
        </w:tc>
      </w:tr>
      <w:tr>
        <w:trPr>
          <w:trHeight w:val="306" w:hRule="atLeast"/>
        </w:trPr>
        <w:tc>
          <w:tcPr>
            <w:tcW w:w="602"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H2c</w:t>
            </w:r>
          </w:p>
        </w:tc>
        <w:tc>
          <w:tcPr>
            <w:tcW w:w="606"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PE→PR</w:t>
            </w:r>
          </w:p>
        </w:tc>
        <w:tc>
          <w:tcPr>
            <w:tcW w:w="606" w:type="pct"/>
            <w:tcBorders>
              <w:top w:val="nil"/>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-0.456</w:t>
            </w:r>
          </w:p>
        </w:tc>
        <w:tc>
          <w:tcPr>
            <w:tcW w:w="605"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0.058</w:t>
            </w:r>
          </w:p>
        </w:tc>
        <w:tc>
          <w:tcPr>
            <w:tcW w:w="606" w:type="pct"/>
            <w:tcBorders>
              <w:top w:val="nil"/>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-7.846</w:t>
            </w:r>
          </w:p>
        </w:tc>
        <w:tc>
          <w:tcPr>
            <w:tcW w:w="623"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w:t>
            </w:r>
          </w:p>
        </w:tc>
        <w:tc>
          <w:tcPr>
            <w:tcW w:w="747"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-0.455</w:t>
            </w:r>
          </w:p>
        </w:tc>
        <w:tc>
          <w:tcPr>
            <w:tcW w:w="601" w:type="pct"/>
            <w:tcBorders>
              <w:top w:val="nil"/>
              <w:left w:val="nil"/>
              <w:bottom w:val="nil"/>
              <w:right w:val="nil"/>
            </w:tcBorders>
            <w:noWrap w:val="0"/>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Supported</w:t>
            </w:r>
          </w:p>
        </w:tc>
      </w:tr>
      <w:tr>
        <w:trPr>
          <w:trHeight w:val="306" w:hRule="atLeast"/>
        </w:trPr>
        <w:tc>
          <w:tcPr>
            <w:tcW w:w="602"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H3</w:t>
            </w:r>
          </w:p>
        </w:tc>
        <w:tc>
          <w:tcPr>
            <w:tcW w:w="606"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PR→BI</w:t>
            </w:r>
          </w:p>
        </w:tc>
        <w:tc>
          <w:tcPr>
            <w:tcW w:w="606" w:type="pct"/>
            <w:tcBorders>
              <w:top w:val="nil"/>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-0.137</w:t>
            </w:r>
          </w:p>
        </w:tc>
        <w:tc>
          <w:tcPr>
            <w:tcW w:w="605"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0.055</w:t>
            </w:r>
          </w:p>
        </w:tc>
        <w:tc>
          <w:tcPr>
            <w:tcW w:w="606" w:type="pct"/>
            <w:tcBorders>
              <w:top w:val="nil"/>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-2.462</w:t>
            </w:r>
          </w:p>
        </w:tc>
        <w:tc>
          <w:tcPr>
            <w:tcW w:w="623"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0.014**</w:t>
            </w:r>
          </w:p>
        </w:tc>
        <w:tc>
          <w:tcPr>
            <w:tcW w:w="747"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 xml:space="preserve">-0.170 </w:t>
            </w:r>
          </w:p>
        </w:tc>
        <w:tc>
          <w:tcPr>
            <w:tcW w:w="601" w:type="pct"/>
            <w:tcBorders>
              <w:top w:val="nil"/>
              <w:left w:val="nil"/>
              <w:bottom w:val="nil"/>
              <w:right w:val="nil"/>
            </w:tcBorders>
            <w:noWrap w:val="0"/>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Support</w:t>
            </w:r>
          </w:p>
        </w:tc>
      </w:tr>
      <w:tr>
        <w:trPr>
          <w:trHeight w:val="306" w:hRule="atLeast"/>
        </w:trPr>
        <w:tc>
          <w:tcPr>
            <w:tcW w:w="602"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H4a</w:t>
            </w:r>
          </w:p>
        </w:tc>
        <w:tc>
          <w:tcPr>
            <w:tcW w:w="606"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EA→PU</w:t>
            </w:r>
          </w:p>
        </w:tc>
        <w:tc>
          <w:tcPr>
            <w:tcW w:w="606"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0.322</w:t>
            </w:r>
          </w:p>
        </w:tc>
        <w:tc>
          <w:tcPr>
            <w:tcW w:w="605"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0.062</w:t>
            </w:r>
          </w:p>
        </w:tc>
        <w:tc>
          <w:tcPr>
            <w:tcW w:w="606"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5.16</w:t>
            </w:r>
          </w:p>
        </w:tc>
        <w:tc>
          <w:tcPr>
            <w:tcW w:w="623"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Style w:val="9"/>
                <w:rFonts w:hint="default" w:ascii="Times New Roman Regular" w:hAnsi="Times New Roman Regular" w:cs="Times New Roman Regular"/>
                <w:sz w:val="21"/>
                <w:szCs w:val="21"/>
                <w:lang w:bidi="ar"/>
              </w:rPr>
              <w:t>***</w:t>
            </w:r>
          </w:p>
        </w:tc>
        <w:tc>
          <w:tcPr>
            <w:tcW w:w="747"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0.306</w:t>
            </w:r>
          </w:p>
        </w:tc>
        <w:tc>
          <w:tcPr>
            <w:tcW w:w="601" w:type="pct"/>
            <w:tcBorders>
              <w:top w:val="nil"/>
              <w:left w:val="nil"/>
              <w:bottom w:val="nil"/>
              <w:right w:val="nil"/>
            </w:tcBorders>
            <w:noWrap w:val="0"/>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Support</w:t>
            </w:r>
          </w:p>
        </w:tc>
      </w:tr>
      <w:tr>
        <w:trPr>
          <w:trHeight w:val="306" w:hRule="atLeast"/>
        </w:trPr>
        <w:tc>
          <w:tcPr>
            <w:tcW w:w="602"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H4b</w:t>
            </w:r>
          </w:p>
        </w:tc>
        <w:tc>
          <w:tcPr>
            <w:tcW w:w="606"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EA→BI</w:t>
            </w:r>
          </w:p>
        </w:tc>
        <w:tc>
          <w:tcPr>
            <w:tcW w:w="606"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0.126</w:t>
            </w:r>
          </w:p>
        </w:tc>
        <w:tc>
          <w:tcPr>
            <w:tcW w:w="605"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0.053</w:t>
            </w:r>
          </w:p>
        </w:tc>
        <w:tc>
          <w:tcPr>
            <w:tcW w:w="606"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2.358</w:t>
            </w:r>
          </w:p>
        </w:tc>
        <w:tc>
          <w:tcPr>
            <w:tcW w:w="623"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0.018**</w:t>
            </w:r>
          </w:p>
        </w:tc>
        <w:tc>
          <w:tcPr>
            <w:tcW w:w="747"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0.157</w:t>
            </w:r>
          </w:p>
        </w:tc>
        <w:tc>
          <w:tcPr>
            <w:tcW w:w="601" w:type="pct"/>
            <w:tcBorders>
              <w:top w:val="nil"/>
              <w:left w:val="nil"/>
              <w:bottom w:val="nil"/>
              <w:right w:val="nil"/>
            </w:tcBorders>
            <w:noWrap w:val="0"/>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Support</w:t>
            </w:r>
          </w:p>
        </w:tc>
      </w:tr>
      <w:tr>
        <w:trPr>
          <w:trHeight w:val="306" w:hRule="atLeast"/>
        </w:trPr>
        <w:tc>
          <w:tcPr>
            <w:tcW w:w="602"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H5</w:t>
            </w:r>
          </w:p>
        </w:tc>
        <w:tc>
          <w:tcPr>
            <w:tcW w:w="606"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P→BI</w:t>
            </w:r>
          </w:p>
        </w:tc>
        <w:tc>
          <w:tcPr>
            <w:tcW w:w="606"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0.26</w:t>
            </w:r>
          </w:p>
        </w:tc>
        <w:tc>
          <w:tcPr>
            <w:tcW w:w="605"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0.06</w:t>
            </w:r>
          </w:p>
        </w:tc>
        <w:tc>
          <w:tcPr>
            <w:tcW w:w="606"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4.351</w:t>
            </w:r>
          </w:p>
        </w:tc>
        <w:tc>
          <w:tcPr>
            <w:tcW w:w="623"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Style w:val="9"/>
                <w:rFonts w:hint="default" w:ascii="Times New Roman Regular" w:hAnsi="Times New Roman Regular" w:cs="Times New Roman Regular"/>
                <w:sz w:val="21"/>
                <w:szCs w:val="21"/>
                <w:lang w:bidi="ar"/>
              </w:rPr>
              <w:t>***</w:t>
            </w:r>
          </w:p>
        </w:tc>
        <w:tc>
          <w:tcPr>
            <w:tcW w:w="747"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0.309</w:t>
            </w:r>
          </w:p>
        </w:tc>
        <w:tc>
          <w:tcPr>
            <w:tcW w:w="601" w:type="pct"/>
            <w:tcBorders>
              <w:top w:val="nil"/>
              <w:left w:val="nil"/>
              <w:bottom w:val="nil"/>
              <w:right w:val="nil"/>
            </w:tcBorders>
            <w:noWrap w:val="0"/>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Support</w:t>
            </w:r>
          </w:p>
        </w:tc>
      </w:tr>
      <w:tr>
        <w:trPr>
          <w:trHeight w:val="306" w:hRule="atLeast"/>
        </w:trPr>
        <w:tc>
          <w:tcPr>
            <w:tcW w:w="602"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H6</w:t>
            </w:r>
          </w:p>
        </w:tc>
        <w:tc>
          <w:tcPr>
            <w:tcW w:w="606"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PC→BI</w:t>
            </w:r>
          </w:p>
        </w:tc>
        <w:tc>
          <w:tcPr>
            <w:tcW w:w="606"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0.109</w:t>
            </w:r>
          </w:p>
        </w:tc>
        <w:tc>
          <w:tcPr>
            <w:tcW w:w="605"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0.054</w:t>
            </w:r>
          </w:p>
        </w:tc>
        <w:tc>
          <w:tcPr>
            <w:tcW w:w="606"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2.021</w:t>
            </w:r>
          </w:p>
        </w:tc>
        <w:tc>
          <w:tcPr>
            <w:tcW w:w="623"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0.043**</w:t>
            </w:r>
          </w:p>
        </w:tc>
        <w:tc>
          <w:tcPr>
            <w:tcW w:w="747"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0.134</w:t>
            </w:r>
          </w:p>
        </w:tc>
        <w:tc>
          <w:tcPr>
            <w:tcW w:w="601" w:type="pct"/>
            <w:tcBorders>
              <w:top w:val="nil"/>
              <w:left w:val="nil"/>
              <w:bottom w:val="nil"/>
              <w:right w:val="nil"/>
            </w:tcBorders>
            <w:noWrap w:val="0"/>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Support</w:t>
            </w:r>
          </w:p>
        </w:tc>
      </w:tr>
      <w:tr>
        <w:trPr>
          <w:trHeight w:val="306" w:hRule="atLeast"/>
        </w:trPr>
        <w:tc>
          <w:tcPr>
            <w:tcW w:w="602"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H7</w:t>
            </w:r>
          </w:p>
        </w:tc>
        <w:tc>
          <w:tcPr>
            <w:tcW w:w="606"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PBC→BI</w:t>
            </w:r>
          </w:p>
        </w:tc>
        <w:tc>
          <w:tcPr>
            <w:tcW w:w="606" w:type="pct"/>
            <w:tcBorders>
              <w:top w:val="nil"/>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-0.08</w:t>
            </w:r>
          </w:p>
        </w:tc>
        <w:tc>
          <w:tcPr>
            <w:tcW w:w="605"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0.835</w:t>
            </w:r>
          </w:p>
        </w:tc>
        <w:tc>
          <w:tcPr>
            <w:tcW w:w="606" w:type="pct"/>
            <w:tcBorders>
              <w:top w:val="nil"/>
              <w:left w:val="nil"/>
              <w:bottom w:val="nil"/>
              <w:right w:val="nil"/>
            </w:tcBorders>
            <w:noWrap/>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-0.096</w:t>
            </w:r>
          </w:p>
        </w:tc>
        <w:tc>
          <w:tcPr>
            <w:tcW w:w="623"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0.924</w:t>
            </w:r>
          </w:p>
        </w:tc>
        <w:tc>
          <w:tcPr>
            <w:tcW w:w="747" w:type="pct"/>
            <w:tcBorders>
              <w:top w:val="nil"/>
              <w:left w:val="nil"/>
              <w:bottom w:val="nil"/>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-0.94</w:t>
            </w:r>
          </w:p>
        </w:tc>
        <w:tc>
          <w:tcPr>
            <w:tcW w:w="601" w:type="pct"/>
            <w:tcBorders>
              <w:top w:val="nil"/>
              <w:left w:val="nil"/>
              <w:bottom w:val="nil"/>
              <w:right w:val="nil"/>
            </w:tcBorders>
            <w:noWrap w:val="0"/>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Not Supported</w:t>
            </w:r>
          </w:p>
        </w:tc>
      </w:tr>
      <w:tr>
        <w:trPr>
          <w:trHeight w:val="306" w:hRule="atLeast"/>
        </w:trPr>
        <w:tc>
          <w:tcPr>
            <w:tcW w:w="602" w:type="pct"/>
            <w:tcBorders>
              <w:top w:val="nil"/>
              <w:left w:val="nil"/>
              <w:bottom w:val="single" w:color="000000" w:sz="12" w:space="0"/>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H8</w:t>
            </w:r>
          </w:p>
        </w:tc>
        <w:tc>
          <w:tcPr>
            <w:tcW w:w="606" w:type="pct"/>
            <w:tcBorders>
              <w:top w:val="nil"/>
              <w:left w:val="nil"/>
              <w:bottom w:val="single" w:color="000000" w:sz="12" w:space="0"/>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SN→BI</w:t>
            </w:r>
          </w:p>
        </w:tc>
        <w:tc>
          <w:tcPr>
            <w:tcW w:w="606" w:type="pct"/>
            <w:tcBorders>
              <w:top w:val="nil"/>
              <w:left w:val="nil"/>
              <w:bottom w:val="single" w:color="000000" w:sz="12" w:space="0"/>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0.182</w:t>
            </w:r>
          </w:p>
        </w:tc>
        <w:tc>
          <w:tcPr>
            <w:tcW w:w="605" w:type="pct"/>
            <w:tcBorders>
              <w:top w:val="nil"/>
              <w:left w:val="nil"/>
              <w:bottom w:val="single" w:color="000000" w:sz="12" w:space="0"/>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0.833</w:t>
            </w:r>
          </w:p>
        </w:tc>
        <w:tc>
          <w:tcPr>
            <w:tcW w:w="606" w:type="pct"/>
            <w:tcBorders>
              <w:top w:val="nil"/>
              <w:left w:val="nil"/>
              <w:bottom w:val="single" w:color="000000" w:sz="12" w:space="0"/>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0.219</w:t>
            </w:r>
          </w:p>
        </w:tc>
        <w:tc>
          <w:tcPr>
            <w:tcW w:w="623" w:type="pct"/>
            <w:tcBorders>
              <w:top w:val="nil"/>
              <w:left w:val="nil"/>
              <w:bottom w:val="single" w:color="000000" w:sz="12" w:space="0"/>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0.827</w:t>
            </w:r>
          </w:p>
        </w:tc>
        <w:tc>
          <w:tcPr>
            <w:tcW w:w="747" w:type="pct"/>
            <w:tcBorders>
              <w:top w:val="nil"/>
              <w:left w:val="nil"/>
              <w:bottom w:val="single" w:color="000000" w:sz="12" w:space="0"/>
              <w:right w:val="nil"/>
            </w:tcBorders>
            <w:noWrap w:val="0"/>
            <w:vAlign w:val="center"/>
          </w:tcPr>
          <w:p>
            <w:pPr>
              <w:widowControl/>
              <w:jc w:val="center"/>
              <w:textAlignment w:val="center"/>
              <w:rPr>
                <w:rFonts w:ascii="Times New Roman Regular" w:hAnsi="Times New Roman Regular" w:eastAsia="宋体" w:cs="Times New Roman Regular"/>
                <w:color w:val="000000"/>
                <w:szCs w:val="21"/>
              </w:rPr>
            </w:pPr>
            <w:r>
              <w:rPr>
                <w:rFonts w:ascii="Times New Roman Regular" w:hAnsi="Times New Roman Regular" w:eastAsia="宋体" w:cs="Times New Roman Regular"/>
                <w:color w:val="000000"/>
                <w:kern w:val="0"/>
                <w:szCs w:val="21"/>
                <w:lang w:bidi="ar"/>
              </w:rPr>
              <w:t>0.216</w:t>
            </w:r>
          </w:p>
        </w:tc>
        <w:tc>
          <w:tcPr>
            <w:tcW w:w="601" w:type="pct"/>
            <w:tcBorders>
              <w:top w:val="nil"/>
              <w:left w:val="nil"/>
              <w:bottom w:val="single" w:color="000000" w:sz="12" w:space="0"/>
              <w:right w:val="nil"/>
            </w:tcBorders>
            <w:noWrap w:val="0"/>
            <w:vAlign w:val="center"/>
          </w:tcPr>
          <w:p>
            <w:pPr>
              <w:widowControl/>
              <w:jc w:val="center"/>
              <w:textAlignment w:val="center"/>
              <w:rPr>
                <w:rFonts w:hint="default" w:ascii="Times New Roman Regular" w:hAnsi="Times New Roman Regular" w:eastAsia="宋体" w:cs="Times New Roman Regular"/>
                <w:color w:val="000000"/>
                <w:szCs w:val="21"/>
              </w:rPr>
            </w:pPr>
            <w:r>
              <w:rPr>
                <w:rFonts w:hint="default" w:ascii="Times New Roman Regular" w:hAnsi="Times New Roman Regular" w:cs="Times New Roman Regular"/>
              </w:rPr>
              <w:t>Not Supported</w:t>
            </w:r>
          </w:p>
        </w:tc>
      </w:tr>
    </w:tbl>
    <w:p>
      <w:pPr>
        <w:rPr>
          <w:rFonts w:ascii="Times New Roman Regular" w:hAnsi="Times New Roman Regular" w:eastAsia="宋体" w:cs="Times New Roman Regular"/>
          <w:szCs w:val="21"/>
        </w:rPr>
      </w:pPr>
    </w:p>
    <w:p>
      <w:pPr>
        <w:rPr>
          <w:rFonts w:ascii="Times New Roman Regular" w:hAnsi="Times New Roman Regular" w:eastAsia="宋体" w:cs="Times New Roman Regular"/>
          <w:szCs w:val="21"/>
        </w:rPr>
      </w:pPr>
    </w:p>
    <w:p>
      <w:pPr>
        <w:rPr>
          <w:rFonts w:ascii="Times New Roman Regular" w:hAnsi="Times New Roman Regular" w:eastAsia="宋体" w:cs="Times New Roman Regular"/>
          <w:szCs w:val="21"/>
        </w:rPr>
      </w:pPr>
      <w:r>
        <w:rPr>
          <w:rFonts w:ascii="Times New Roman Regular" w:hAnsi="Times New Roman Regular" w:eastAsia="宋体" w:cs="Times New Roman Regular"/>
          <w:szCs w:val="21"/>
        </w:rPr>
        <w:drawing>
          <wp:inline distT="0" distB="0" distL="114300" distR="114300">
            <wp:extent cx="5255895" cy="3529330"/>
            <wp:effectExtent l="0" t="0" r="1905" b="1270"/>
            <wp:docPr id="2" name="图片 2" descr="Slide 4_3 -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Slide 4_3 - 3"/>
                    <pic:cNvPicPr>
                      <a:picLocks noChangeAspect="1"/>
                    </pic:cNvPicPr>
                  </pic:nvPicPr>
                  <pic:blipFill>
                    <a:blip r:embed="rId4"/>
                    <a:stretch>
                      <a:fillRect/>
                    </a:stretch>
                  </pic:blipFill>
                  <pic:spPr>
                    <a:xfrm>
                      <a:off x="0" y="0"/>
                      <a:ext cx="5255895" cy="3529330"/>
                    </a:xfrm>
                    <a:prstGeom prst="rect">
                      <a:avLst/>
                    </a:prstGeom>
                  </pic:spPr>
                </pic:pic>
              </a:graphicData>
            </a:graphic>
          </wp:inline>
        </w:drawing>
      </w:r>
    </w:p>
    <w:p>
      <w:pPr>
        <w:jc w:val="center"/>
        <w:rPr>
          <w:rFonts w:ascii="Times New Roman Regular" w:hAnsi="Times New Roman Regular" w:eastAsia="宋体" w:cs="Times New Roman Regular"/>
          <w:szCs w:val="21"/>
        </w:rPr>
      </w:pPr>
      <w:r>
        <w:rPr>
          <w:rFonts w:ascii="Times New Roman Regular" w:hAnsi="Times New Roman Regular" w:eastAsia="宋体" w:cs="Times New Roman Regular"/>
          <w:szCs w:val="21"/>
        </w:rPr>
        <w:t>Fig.2 Structural equation model path diagram</w:t>
      </w:r>
    </w:p>
    <w:p>
      <w:pPr>
        <w:jc w:val="left"/>
        <w:rPr>
          <w:rFonts w:hint="eastAsia" w:ascii="Times New Roman Regular" w:hAnsi="Times New Roman Regular" w:eastAsia="宋体" w:cs="Times New Roman Regular"/>
          <w:szCs w:val="21"/>
        </w:rPr>
      </w:pPr>
      <w:r>
        <w:rPr>
          <w:rFonts w:hint="eastAsia" w:ascii="Times New Roman Regular" w:hAnsi="Times New Roman Regular" w:eastAsia="宋体" w:cs="Times New Roman Regular"/>
          <w:szCs w:val="21"/>
        </w:rPr>
        <w:t>4</w:t>
      </w:r>
      <w:r>
        <w:rPr>
          <w:rFonts w:hint="default" w:ascii="Times New Roman Regular" w:hAnsi="Times New Roman Regular" w:eastAsia="宋体" w:cs="Times New Roman Regular"/>
          <w:szCs w:val="21"/>
        </w:rPr>
        <w:t xml:space="preserve"> </w:t>
      </w:r>
      <w:r>
        <w:rPr>
          <w:rFonts w:hint="eastAsia" w:ascii="Times New Roman Regular" w:hAnsi="Times New Roman Regular" w:eastAsia="宋体" w:cs="Times New Roman Regular"/>
          <w:szCs w:val="21"/>
        </w:rPr>
        <w:t>Recommendations</w:t>
      </w:r>
    </w:p>
    <w:p>
      <w:pPr>
        <w:jc w:val="left"/>
        <w:rPr>
          <w:rFonts w:hint="eastAsia" w:ascii="Times New Roman Regular" w:hAnsi="Times New Roman Regular" w:eastAsia="宋体" w:cs="Times New Roman Regular"/>
          <w:szCs w:val="21"/>
        </w:rPr>
      </w:pPr>
      <w:r>
        <w:rPr>
          <w:rFonts w:hint="eastAsia" w:ascii="Times New Roman Regular" w:hAnsi="Times New Roman Regular" w:eastAsia="宋体" w:cs="Times New Roman Regular"/>
          <w:szCs w:val="21"/>
        </w:rPr>
        <w:t>4.1 For Academics and Designer Groups</w:t>
      </w:r>
    </w:p>
    <w:p>
      <w:pPr>
        <w:jc w:val="left"/>
        <w:rPr>
          <w:rFonts w:hint="eastAsia" w:ascii="Times New Roman Regular" w:hAnsi="Times New Roman Regular" w:eastAsia="宋体" w:cs="Times New Roman Regular"/>
          <w:szCs w:val="21"/>
        </w:rPr>
      </w:pPr>
      <w:r>
        <w:rPr>
          <w:rFonts w:hint="eastAsia" w:ascii="Times New Roman Regular" w:hAnsi="Times New Roman Regular" w:eastAsia="宋体" w:cs="Times New Roman Regular"/>
          <w:szCs w:val="21"/>
        </w:rPr>
        <w:t>When designing new energy vehicle products and services, design practitioners need to focus on how to make it possible to reduce the perceived risk of elderly users, such as providing comprehensive and transparent product information, including the safety performance of new energy vehicles, the ease of maintenance, battery life, etc., to help the elderly reduce the concern about the uncertainty of product performance. Meanwhile, the environmental attributes of the vehicle are conveyed through visual design, information display, material use, and functional improvements, such as improvements to the vehicle's exterior design, color expression, and pattern markings, or highlighting data such as energy efficiency, amount of fuel saved, and carbon emissions reduced on the vehicle's dashboard or information display, so that drivers can intuitively feel the environmental benefits of driving a new energy vehicle . In addition, although studies have shown that perceived ease of use does not have a significant direct effect on the elderly, designers still need to consider improving the user-friendliness of their products, such as simplifying the user interface and adding audible prompts, as a way to indirectly increase their acceptance of new technologies by reducing perceived risk. Improving the product service system of new energy vehicles through these comprehensive strategies can not only enhance the trust and acceptance of new energy vehicles by elderly users, but also promote their behavioral willingness, and ultimately achieve widespread market acceptance.</w:t>
      </w:r>
    </w:p>
    <w:p>
      <w:pPr>
        <w:jc w:val="left"/>
        <w:rPr>
          <w:rFonts w:hint="eastAsia" w:ascii="Times New Roman Regular" w:hAnsi="Times New Roman Regular" w:eastAsia="宋体" w:cs="Times New Roman Regular"/>
          <w:szCs w:val="21"/>
        </w:rPr>
      </w:pPr>
      <w:r>
        <w:rPr>
          <w:rFonts w:hint="eastAsia" w:ascii="Times New Roman Regular" w:hAnsi="Times New Roman Regular" w:eastAsia="宋体" w:cs="Times New Roman Regular"/>
          <w:szCs w:val="21"/>
        </w:rPr>
        <w:t>4.2 Targeting Manufacturers and Marketers</w:t>
      </w:r>
    </w:p>
    <w:p>
      <w:pPr>
        <w:jc w:val="left"/>
        <w:rPr>
          <w:rFonts w:hint="eastAsia" w:ascii="Times New Roman Regular" w:hAnsi="Times New Roman Regular" w:eastAsia="宋体" w:cs="Times New Roman Regular"/>
          <w:szCs w:val="21"/>
        </w:rPr>
      </w:pPr>
      <w:r>
        <w:rPr>
          <w:rFonts w:hint="eastAsia" w:ascii="Times New Roman Regular" w:hAnsi="Times New Roman Regular" w:eastAsia="宋体" w:cs="Times New Roman Regular"/>
          <w:szCs w:val="21"/>
        </w:rPr>
        <w:t>Manufacturers should give in-depth consideration to the specific needs of older users during the design phase of new energy vehicles, such as simplifying the vehicle operating system, providing an intuitive user interface and adding voice control functions to reduce the technology learning curve. In marketing campaigns, the ease of use of new energy vehicles should be demonstrated visually through hands-on demonstrations and user experience activities to eliminate older consumers' concerns about the new technology. Manufacturers and marketers should emphasize the advantages of new energy vehicles in reducing carbon emissions and protecting the environment through various channels, taking into account the positive impact of environmental awareness on the purchase intentions of the elderly. This can promote older consumers' awareness of the environmental value of new energy vehicles and thus increase their interest in new energy vehicle consumption.</w:t>
      </w:r>
    </w:p>
    <w:p>
      <w:pPr>
        <w:jc w:val="left"/>
        <w:rPr>
          <w:rFonts w:hint="eastAsia" w:ascii="Times New Roman Regular" w:hAnsi="Times New Roman Regular" w:eastAsia="宋体" w:cs="Times New Roman Regular"/>
          <w:szCs w:val="21"/>
        </w:rPr>
      </w:pPr>
      <w:r>
        <w:rPr>
          <w:rFonts w:hint="eastAsia" w:ascii="Times New Roman Regular" w:hAnsi="Times New Roman Regular" w:eastAsia="宋体" w:cs="Times New Roman Regular"/>
          <w:szCs w:val="21"/>
        </w:rPr>
        <w:t>4.3 Targeting governments and policy makers</w:t>
      </w:r>
    </w:p>
    <w:p>
      <w:pPr>
        <w:jc w:val="left"/>
        <w:rPr>
          <w:rFonts w:hint="eastAsia" w:ascii="Times New Roman Regular" w:hAnsi="Times New Roman Regular" w:eastAsia="宋体" w:cs="Times New Roman Regular"/>
          <w:szCs w:val="21"/>
        </w:rPr>
      </w:pPr>
      <w:r>
        <w:rPr>
          <w:rFonts w:hint="eastAsia" w:ascii="Times New Roman Regular" w:hAnsi="Times New Roman Regular" w:eastAsia="宋体" w:cs="Times New Roman Regular"/>
          <w:szCs w:val="21"/>
        </w:rPr>
        <w:t>The government should continue to implement and expand the purchase subsidy policy for new energy vehicles, reduce or waive related taxes and fees, and accelerate the construction and optimization of charging infrastructure, especially in areas where the elderly live and near amenities. These measures will not only reduce the economic cost of purchasing and using new energy vehicles for the elderly, but also improve their convenience, thus increasing their intention to purchase.</w:t>
      </w:r>
    </w:p>
    <w:p>
      <w:pPr>
        <w:jc w:val="left"/>
        <w:rPr>
          <w:rFonts w:ascii="Times New Roman Regular" w:hAnsi="Times New Roman Regular" w:eastAsia="宋体" w:cs="Times New Roman Regular"/>
          <w:szCs w:val="21"/>
        </w:rPr>
      </w:pPr>
      <w:r>
        <w:rPr>
          <w:rFonts w:hint="eastAsia" w:ascii="Times New Roman Regular" w:hAnsi="Times New Roman Regular" w:eastAsia="宋体" w:cs="Times New Roman Regular"/>
          <w:szCs w:val="21"/>
        </w:rPr>
        <w:t>The government and relevant organizations should carry out activities to popularize and educate the elderly about new energy vehicles, including technical principles, operating methods, maintenance knowledge and safety guidelines. These activities can be conducted in the form of community lectures, online courses and interactive experiences aimed at improving older persons' understanding of new energy vehicle technology, reducing their perception of risk and increasing their confidence in purchasing.</w:t>
      </w:r>
    </w:p>
    <w:p>
      <w:pPr>
        <w:rPr>
          <w:rFonts w:hint="default" w:ascii="Times New Roman Regular" w:hAnsi="Times New Roman Regular" w:cs="Times New Roman Regular"/>
          <w:lang w:eastAsia="zh-Hans"/>
        </w:rPr>
      </w:pPr>
      <w:r>
        <w:rPr>
          <w:rFonts w:hint="default" w:ascii="Times New Roman Regular" w:hAnsi="Times New Roman Regular" w:cs="Times New Roman Regular"/>
          <w:lang w:eastAsia="zh-Hans"/>
        </w:rPr>
        <w:t>5</w:t>
      </w:r>
      <w:r>
        <w:rPr>
          <w:rFonts w:hint="eastAsia" w:ascii="Times New Roman Regular" w:hAnsi="Times New Roman Regular" w:cs="Times New Roman Regular"/>
          <w:lang w:val="en-US" w:eastAsia="zh-Hans"/>
        </w:rPr>
        <w:t>.</w:t>
      </w:r>
      <w:r>
        <w:rPr>
          <w:rFonts w:hint="default" w:ascii="Times New Roman Regular" w:hAnsi="Times New Roman Regular" w:cs="Times New Roman Regular"/>
          <w:lang w:val="en-US" w:eastAsia="zh-Hans"/>
        </w:rPr>
        <w:t>Limitation</w:t>
      </w:r>
    </w:p>
    <w:p>
      <w:pPr>
        <w:rPr>
          <w:rFonts w:hint="default" w:ascii="Times New Roman Regular" w:hAnsi="Times New Roman Regular" w:cs="Times New Roman Regular"/>
          <w:lang w:val="en-US" w:eastAsia="zh-Hans"/>
        </w:rPr>
      </w:pPr>
      <w:r>
        <w:rPr>
          <w:rFonts w:hint="default" w:ascii="Times New Roman Regular" w:hAnsi="Times New Roman Regular" w:cs="Times New Roman Regular"/>
          <w:lang w:val="en-US" w:eastAsia="zh-Hans"/>
        </w:rPr>
        <w:t>The choice of appropriate factors and variables in an integrated model can be influenced by subjective factors, which may lead to less rigorous research results. Although the author has studied relevant literature as much as possible and used it as a reference when selecting factors and variables, he may choose specific factors based on his own experience and theoretical tendencies during the research, and ignore other factors that may have an impact on the research results. factor. This preference may lead to the limitations of the model, causing the model to be unable to fully explain the real situation, or produce biased research results. When conducting similar studies in the future, you can seek the opinions and suggestions of experts in the field during the selection process of research variables, and use the help of Expert knowledge and experience to ensure the scientificity and rationality of the research design.</w:t>
      </w:r>
    </w:p>
    <w:p>
      <w:pPr>
        <w:numPr>
          <w:ilvl w:val="0"/>
          <w:numId w:val="1"/>
        </w:numPr>
        <w:ind w:left="425" w:leftChars="0" w:hanging="425" w:firstLineChars="0"/>
        <w:rPr>
          <w:rFonts w:hint="default" w:ascii="Times New Roman Regular" w:hAnsi="Times New Roman Regular" w:cs="Times New Roman Regular"/>
          <w:sz w:val="20"/>
          <w:szCs w:val="22"/>
          <w:lang w:val="en-US" w:eastAsia="zh-Hans"/>
        </w:rPr>
      </w:pPr>
      <w:r>
        <w:rPr>
          <w:rFonts w:hint="default" w:ascii="Times New Roman Regular" w:hAnsi="Times New Roman Regular" w:cs="Times New Roman Regular"/>
          <w:sz w:val="20"/>
          <w:szCs w:val="22"/>
          <w:lang w:val="en-US" w:eastAsia="zh-Hans"/>
        </w:rPr>
        <w:t>Axsen, J., &amp; Kurani, K. S. (2013). Hybrid, plug-in hybrid, or electric—What do car buyers want? Energy Policy, 61, 532-543.</w:t>
      </w:r>
    </w:p>
    <w:p>
      <w:pPr>
        <w:numPr>
          <w:ilvl w:val="0"/>
          <w:numId w:val="1"/>
        </w:numPr>
        <w:ind w:left="425" w:leftChars="0" w:hanging="425" w:firstLineChars="0"/>
        <w:rPr>
          <w:rFonts w:hint="default" w:ascii="Times New Roman Regular" w:hAnsi="Times New Roman Regular" w:cs="Times New Roman Regular"/>
          <w:sz w:val="20"/>
          <w:szCs w:val="22"/>
          <w:lang w:val="en-US" w:eastAsia="zh-Hans"/>
        </w:rPr>
      </w:pPr>
      <w:r>
        <w:rPr>
          <w:rFonts w:hint="default" w:ascii="Times New Roman Regular" w:hAnsi="Times New Roman Regular" w:cs="Times New Roman Regular"/>
          <w:sz w:val="20"/>
          <w:szCs w:val="22"/>
          <w:lang w:val="en-US" w:eastAsia="zh-Hans"/>
        </w:rPr>
        <w:t>Graham-Rowe, E., Gardner, B., Abraham, C., et al. (2012). Mainstream consumers driving plug-in battery-electric and plug-in hybrid electric cars: A qualitative analysis of responses and evaluations. Transportation Research Part A: Policy and Practice, 46(1), 140-153.</w:t>
      </w:r>
    </w:p>
    <w:p>
      <w:pPr>
        <w:numPr>
          <w:ilvl w:val="0"/>
          <w:numId w:val="1"/>
        </w:numPr>
        <w:ind w:left="425" w:leftChars="0" w:hanging="425" w:firstLineChars="0"/>
        <w:rPr>
          <w:rFonts w:hint="default" w:ascii="Times New Roman Regular" w:hAnsi="Times New Roman Regular" w:cs="Times New Roman Regular"/>
          <w:sz w:val="20"/>
          <w:szCs w:val="22"/>
          <w:lang w:val="en-US" w:eastAsia="zh-Hans"/>
        </w:rPr>
      </w:pPr>
      <w:r>
        <w:rPr>
          <w:rFonts w:hint="default" w:ascii="Times New Roman Regular" w:hAnsi="Times New Roman Regular" w:cs="Times New Roman Regular"/>
          <w:sz w:val="20"/>
          <w:szCs w:val="22"/>
          <w:lang w:val="en-US" w:eastAsia="zh-Hans"/>
        </w:rPr>
        <w:t>Haytko, D. L., &amp; Matulich, E. (2008). Green advertising and environmentally responsible consumer behaviors: Linkages examined. Journal of Management and Marketing Research, 1, 2.</w:t>
      </w:r>
    </w:p>
    <w:p>
      <w:pPr>
        <w:numPr>
          <w:ilvl w:val="0"/>
          <w:numId w:val="1"/>
        </w:numPr>
        <w:ind w:left="425" w:leftChars="0" w:hanging="425" w:firstLineChars="0"/>
        <w:rPr>
          <w:rFonts w:hint="default" w:ascii="Times New Roman Regular" w:hAnsi="Times New Roman Regular" w:cs="Times New Roman Regular"/>
          <w:sz w:val="20"/>
          <w:szCs w:val="22"/>
          <w:lang w:val="en-US" w:eastAsia="zh-Hans"/>
        </w:rPr>
      </w:pPr>
      <w:r>
        <w:rPr>
          <w:rFonts w:hint="default" w:ascii="Times New Roman Regular" w:hAnsi="Times New Roman Regular" w:cs="Times New Roman Regular"/>
          <w:sz w:val="20"/>
          <w:szCs w:val="22"/>
          <w:lang w:val="en-US" w:eastAsia="zh-Hans"/>
        </w:rPr>
        <w:t>Wang, N., Tang, L., &amp; Pan, H. (2018). Analysis of public acceptance of electric vehicles: An empirical study in Shanghai. Technological Forecasting and Social Change, 126, 284-291.</w:t>
      </w:r>
    </w:p>
    <w:p>
      <w:pPr>
        <w:numPr>
          <w:ilvl w:val="0"/>
          <w:numId w:val="1"/>
        </w:numPr>
        <w:ind w:left="425" w:leftChars="0" w:hanging="425" w:firstLineChars="0"/>
        <w:rPr>
          <w:rFonts w:hint="default" w:ascii="Times New Roman Regular" w:hAnsi="Times New Roman Regular" w:cs="Times New Roman Regular"/>
          <w:sz w:val="20"/>
          <w:szCs w:val="22"/>
          <w:lang w:val="en-US" w:eastAsia="zh-Hans"/>
        </w:rPr>
      </w:pPr>
      <w:r>
        <w:rPr>
          <w:rFonts w:hint="default" w:ascii="Times New Roman Regular" w:hAnsi="Times New Roman Regular" w:cs="Times New Roman Regular"/>
          <w:sz w:val="20"/>
          <w:szCs w:val="22"/>
          <w:lang w:val="en-US" w:eastAsia="zh-Hans"/>
        </w:rPr>
        <w:t>Junquera, B., Moreno, B., &amp; Álvarez, R. (2016). Analyzing consumer attitudes towards electric vehicle purchasing intentions in Spain: Technological limitations and vehicle confidence. Technological Forecasting and Social Change, 109, 6-14.</w:t>
      </w:r>
    </w:p>
    <w:p>
      <w:pPr>
        <w:numPr>
          <w:ilvl w:val="0"/>
          <w:numId w:val="1"/>
        </w:numPr>
        <w:ind w:left="425" w:leftChars="0" w:hanging="425" w:firstLineChars="0"/>
        <w:rPr>
          <w:rFonts w:hint="default" w:ascii="Times New Roman Regular" w:hAnsi="Times New Roman Regular" w:cs="Times New Roman Regular"/>
          <w:sz w:val="20"/>
          <w:szCs w:val="22"/>
          <w:lang w:val="en-US" w:eastAsia="zh-Hans"/>
        </w:rPr>
      </w:pPr>
      <w:r>
        <w:rPr>
          <w:rFonts w:hint="default" w:ascii="Times New Roman Regular" w:hAnsi="Times New Roman Regular" w:cs="Times New Roman Regular"/>
          <w:sz w:val="20"/>
          <w:szCs w:val="22"/>
          <w:lang w:val="en-US" w:eastAsia="zh-Hans"/>
        </w:rPr>
        <w:t>Li, W., Long, R., Chen, H., et al. (2017). Household factors and adopting intention of battery electric vehicles: A multi-group structural equation model analysis among consumers in Jiangsu Province, China. Natural Hazards, 87, 945-960.</w:t>
      </w:r>
    </w:p>
    <w:p>
      <w:pPr>
        <w:numPr>
          <w:ilvl w:val="0"/>
          <w:numId w:val="1"/>
        </w:numPr>
        <w:ind w:left="425" w:leftChars="0" w:hanging="425" w:firstLineChars="0"/>
        <w:rPr>
          <w:rFonts w:hint="default" w:ascii="Times New Roman Regular" w:hAnsi="Times New Roman Regular" w:cs="Times New Roman Regular"/>
          <w:sz w:val="20"/>
          <w:szCs w:val="22"/>
          <w:lang w:val="en-US" w:eastAsia="zh-Hans"/>
        </w:rPr>
      </w:pPr>
      <w:r>
        <w:rPr>
          <w:rFonts w:hint="default" w:ascii="Times New Roman Regular" w:hAnsi="Times New Roman Regular" w:cs="Times New Roman Regular"/>
          <w:sz w:val="20"/>
          <w:szCs w:val="22"/>
          <w:lang w:val="en-US" w:eastAsia="zh-Hans"/>
        </w:rPr>
        <w:t>Egbue, O., &amp; Long, S. (2012). Barriers to widespread adoption of electric vehicles: An analysis of consumer attitudes and perceptions. Energy Policy, 48, 717-729.</w:t>
      </w:r>
    </w:p>
    <w:p>
      <w:pPr>
        <w:numPr>
          <w:ilvl w:val="0"/>
          <w:numId w:val="1"/>
        </w:numPr>
        <w:ind w:left="425" w:leftChars="0" w:hanging="425" w:firstLineChars="0"/>
        <w:rPr>
          <w:rFonts w:hint="default" w:ascii="Times New Roman Regular" w:hAnsi="Times New Roman Regular" w:cs="Times New Roman Regular"/>
          <w:sz w:val="20"/>
          <w:szCs w:val="22"/>
          <w:lang w:val="en-US" w:eastAsia="zh-Hans"/>
        </w:rPr>
      </w:pPr>
      <w:r>
        <w:rPr>
          <w:rFonts w:hint="default" w:ascii="Times New Roman Regular" w:hAnsi="Times New Roman Regular" w:cs="Times New Roman Regular"/>
          <w:sz w:val="20"/>
          <w:szCs w:val="22"/>
          <w:lang w:val="en-US" w:eastAsia="zh-Hans"/>
        </w:rPr>
        <w:t>Bamberg, S. (2003). How does environmental concern influence specific environmentally related behaviors? A new answer to an old question. Journal of environmental psychology, 23(1), 21-32.</w:t>
      </w:r>
    </w:p>
    <w:p>
      <w:pPr>
        <w:numPr>
          <w:ilvl w:val="0"/>
          <w:numId w:val="1"/>
        </w:numPr>
        <w:ind w:left="425" w:leftChars="0" w:hanging="425" w:firstLineChars="0"/>
        <w:rPr>
          <w:rFonts w:hint="default" w:ascii="Times New Roman Regular" w:hAnsi="Times New Roman Regular" w:cs="Times New Roman Regular"/>
          <w:sz w:val="20"/>
          <w:szCs w:val="22"/>
          <w:lang w:val="en-US" w:eastAsia="zh-Hans"/>
        </w:rPr>
      </w:pPr>
      <w:r>
        <w:rPr>
          <w:rFonts w:hint="default" w:ascii="Times New Roman Regular" w:hAnsi="Times New Roman Regular" w:cs="Times New Roman Regular"/>
          <w:sz w:val="20"/>
          <w:szCs w:val="22"/>
          <w:lang w:val="en-US" w:eastAsia="zh-Hans"/>
        </w:rPr>
        <w:t>Lopes, M. M., Moura, F., &amp; Martinez, L. M. (2014). A rule-based approach for determining the plausible universe of electric vehicle buyers in the Lisbon Metropolitan Area. Transportation Research Part A: Policy and Practice, 59, 22-36.</w:t>
      </w:r>
    </w:p>
    <w:p>
      <w:pPr>
        <w:numPr>
          <w:ilvl w:val="0"/>
          <w:numId w:val="1"/>
        </w:numPr>
        <w:ind w:left="425" w:leftChars="0" w:hanging="425" w:firstLineChars="0"/>
        <w:rPr>
          <w:rFonts w:hint="default" w:ascii="Times New Roman Regular" w:hAnsi="Times New Roman Regular" w:cs="Times New Roman Regular"/>
          <w:sz w:val="20"/>
          <w:szCs w:val="22"/>
          <w:lang w:val="en-US" w:eastAsia="zh-Hans"/>
        </w:rPr>
      </w:pPr>
      <w:r>
        <w:rPr>
          <w:rFonts w:hint="default" w:ascii="Times New Roman Regular" w:hAnsi="Times New Roman Regular" w:cs="Times New Roman Regular"/>
          <w:sz w:val="20"/>
          <w:szCs w:val="22"/>
          <w:lang w:val="en-US" w:eastAsia="zh-Hans"/>
        </w:rPr>
        <w:t>Wang, S., Li, J., &amp; Zhao, D. (2017). The impact of policy measures on consumer intention to adopt electric vehicles: Evidence from China. Transportation Research Part A: Policy and Practice, 105, 14-26.</w:t>
      </w:r>
    </w:p>
    <w:p>
      <w:pPr>
        <w:numPr>
          <w:ilvl w:val="0"/>
          <w:numId w:val="1"/>
        </w:numPr>
        <w:ind w:left="425" w:leftChars="0" w:hanging="425" w:firstLineChars="0"/>
        <w:rPr>
          <w:rFonts w:hint="default" w:ascii="Times New Roman Regular" w:hAnsi="Times New Roman Regular" w:cs="Times New Roman Regular"/>
          <w:sz w:val="20"/>
          <w:szCs w:val="22"/>
          <w:lang w:val="en-US" w:eastAsia="zh-Hans"/>
        </w:rPr>
      </w:pPr>
      <w:r>
        <w:rPr>
          <w:rFonts w:hint="default" w:ascii="Times New Roman Regular" w:hAnsi="Times New Roman Regular" w:cs="Times New Roman Regular"/>
          <w:sz w:val="20"/>
          <w:szCs w:val="22"/>
          <w:lang w:val="en-US" w:eastAsia="zh-Hans"/>
        </w:rPr>
        <w:t>Yu, H., Pan, S. Y., Tang, B. J., et al. (2015). Urban energy consumption and CO2 emissions in Beijing: current and future. Energy Efficiency, 8, 527-543.</w:t>
      </w:r>
    </w:p>
    <w:p>
      <w:pPr>
        <w:numPr>
          <w:ilvl w:val="0"/>
          <w:numId w:val="1"/>
        </w:numPr>
        <w:ind w:left="425" w:leftChars="0" w:hanging="425" w:firstLineChars="0"/>
        <w:rPr>
          <w:rFonts w:hint="default" w:ascii="Times New Roman Regular" w:hAnsi="Times New Roman Regular" w:cs="Times New Roman Regular"/>
          <w:sz w:val="20"/>
          <w:szCs w:val="22"/>
          <w:lang w:val="en-US" w:eastAsia="zh-Hans"/>
        </w:rPr>
      </w:pPr>
      <w:r>
        <w:rPr>
          <w:rFonts w:hint="default" w:ascii="Times New Roman Regular" w:hAnsi="Times New Roman Regular" w:cs="Times New Roman Regular"/>
          <w:sz w:val="20"/>
          <w:szCs w:val="22"/>
          <w:lang w:val="en-US" w:eastAsia="zh-Hans"/>
        </w:rPr>
        <w:t>Zhang, X., Wang, K., Hao, Y., et al. (2013). The impact of government policy on preference for NEVs: The evidence from China. Energy Policy, 61, 382-393.</w:t>
      </w:r>
    </w:p>
    <w:p>
      <w:pPr>
        <w:numPr>
          <w:ilvl w:val="0"/>
          <w:numId w:val="1"/>
        </w:numPr>
        <w:ind w:left="425" w:leftChars="0" w:hanging="425" w:firstLineChars="0"/>
        <w:rPr>
          <w:rFonts w:hint="default" w:ascii="Times New Roman Regular" w:hAnsi="Times New Roman Regular" w:cs="Times New Roman Regular"/>
          <w:sz w:val="20"/>
          <w:szCs w:val="22"/>
          <w:lang w:val="en-US" w:eastAsia="zh-Hans"/>
        </w:rPr>
      </w:pPr>
      <w:r>
        <w:rPr>
          <w:rFonts w:hint="default" w:ascii="Times New Roman Regular" w:hAnsi="Times New Roman Regular" w:cs="Times New Roman Regular"/>
          <w:sz w:val="20"/>
          <w:szCs w:val="22"/>
          <w:lang w:val="en-US" w:eastAsia="zh-Hans"/>
        </w:rPr>
        <w:t>Lin, B., &amp; Wu, W. (2018). Why people want to buy electric vehicle: An empirical study in first-tier cities of China. Energy Policy, 112, 233-241.</w:t>
      </w:r>
    </w:p>
    <w:p>
      <w:pPr>
        <w:numPr>
          <w:ilvl w:val="0"/>
          <w:numId w:val="1"/>
        </w:numPr>
        <w:ind w:left="425" w:leftChars="0" w:hanging="425" w:firstLineChars="0"/>
        <w:rPr>
          <w:rFonts w:hint="default" w:ascii="Times New Roman Regular" w:hAnsi="Times New Roman Regular" w:cs="Times New Roman Regular"/>
          <w:sz w:val="20"/>
          <w:szCs w:val="22"/>
          <w:lang w:val="en-US" w:eastAsia="zh-Hans"/>
        </w:rPr>
      </w:pPr>
      <w:r>
        <w:rPr>
          <w:rFonts w:hint="default" w:ascii="Times New Roman Regular" w:hAnsi="Times New Roman Regular" w:cs="Times New Roman Regular"/>
          <w:sz w:val="20"/>
          <w:szCs w:val="22"/>
          <w:lang w:val="en-US" w:eastAsia="zh-Hans"/>
        </w:rPr>
        <w:t>Carley, S., Krause, R. M., Lane, B. W., et al. (2013). Intent to purchase a plug-in electric vehicle: A survey of early impressions in large US cities. Transportation Research Part D: Transport and Environment, 18, 39-45.</w:t>
      </w:r>
      <w:bookmarkStart w:id="0" w:name="_GoBack"/>
      <w:bookmarkEnd w:id="0"/>
    </w:p>
    <w:p>
      <w:pPr>
        <w:numPr>
          <w:ilvl w:val="0"/>
          <w:numId w:val="1"/>
        </w:numPr>
        <w:ind w:left="425" w:leftChars="0" w:hanging="425" w:firstLineChars="0"/>
        <w:rPr>
          <w:rFonts w:hint="default" w:ascii="Times New Roman Regular" w:hAnsi="Times New Roman Regular" w:cs="Times New Roman Regular"/>
          <w:sz w:val="20"/>
          <w:szCs w:val="22"/>
          <w:lang w:val="en-US" w:eastAsia="zh-Hans"/>
        </w:rPr>
      </w:pPr>
      <w:r>
        <w:rPr>
          <w:rFonts w:hint="default" w:ascii="Times New Roman Regular" w:hAnsi="Times New Roman Regular" w:cs="Times New Roman Regular"/>
          <w:sz w:val="20"/>
          <w:szCs w:val="22"/>
          <w:lang w:val="en-US" w:eastAsia="zh-Hans"/>
        </w:rPr>
        <w:t>Venkatesh, V., &amp; Davis, F. D. (2000). A theoretical extension of the technology acceptance model: Four longitudinal field studies. Management Science, 46(2), 186-204.</w:t>
      </w:r>
    </w:p>
    <w:p>
      <w:pPr>
        <w:rPr>
          <w:rFonts w:hint="default"/>
          <w:lang w:val="en-US" w:eastAsia="zh-Hans"/>
        </w:rPr>
      </w:pPr>
    </w:p>
    <w:p>
      <w:pPr>
        <w:rPr>
          <w:rFonts w:hint="default"/>
          <w:lang w:val="en-US" w:eastAsia="zh-Hans"/>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Times New Roman Bold">
    <w:panose1 w:val="02020603050405020304"/>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00000000" w:usb2="00000000" w:usb3="00000000" w:csb0="00000000" w:csb1="00000000"/>
  </w:font>
  <w:font w:name="DengXian">
    <w:altName w:val="汉仪中等线KW"/>
    <w:panose1 w:val="02010600030101010101"/>
    <w:charset w:val="00"/>
    <w:family w:val="auto"/>
    <w:pitch w:val="default"/>
    <w:sig w:usb0="00000000" w:usb1="00000000" w:usb2="00000016" w:usb3="00000000" w:csb0="0004000F" w:csb1="00000000"/>
  </w:font>
  <w:font w:name="汉仪中等线KW">
    <w:panose1 w:val="01010104010101010101"/>
    <w:charset w:val="86"/>
    <w:family w:val="auto"/>
    <w:pitch w:val="default"/>
    <w:sig w:usb0="00000000" w:usb1="00000000" w:usb2="00000000" w:usb3="00000000" w:csb0="00160000" w:csb1="00000000"/>
  </w:font>
  <w:font w:name="宋体-简">
    <w:panose1 w:val="02010600040101010101"/>
    <w:charset w:val="86"/>
    <w:family w:val="auto"/>
    <w:pitch w:val="default"/>
    <w:sig w:usb0="00000000" w:usb1="00000000" w:usb2="00000000" w:usb3="00000000" w:csb0="00160000" w:csb1="00000000"/>
  </w:font>
  <w:font w:name="Roboto">
    <w:panose1 w:val="02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97B530D"/>
    <w:multiLevelType w:val="singleLevel"/>
    <w:tmpl w:val="A97B530D"/>
    <w:lvl w:ilvl="0" w:tentative="0">
      <w:start w:val="1"/>
      <w:numFmt w:val="decimal"/>
      <w:lvlText w:val="[%1]"/>
      <w:lvlJc w:val="left"/>
      <w:pPr>
        <w:tabs>
          <w:tab w:val="left" w:pos="420"/>
        </w:tabs>
        <w:ind w:left="425" w:leftChars="0" w:hanging="425"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9"/>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B9FFF2D"/>
    <w:rsid w:val="DDB988B3"/>
    <w:rsid w:val="FB9FFF2D"/>
    <w:rsid w:val="FFEFC8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nhideWhenUsed="0" w:uiPriority="35" w:semiHidden="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styleId="2">
    <w:name w:val="caption"/>
    <w:basedOn w:val="1"/>
    <w:next w:val="1"/>
    <w:qFormat/>
    <w:uiPriority w:val="35"/>
    <w:rPr>
      <w:rFonts w:ascii="Arial" w:hAnsi="Arial" w:eastAsia="黑体"/>
      <w:sz w:val="20"/>
    </w:rPr>
  </w:style>
  <w:style w:type="paragraph" w:styleId="3">
    <w:name w:val="Normal (Web)"/>
    <w:basedOn w:val="1"/>
    <w:uiPriority w:val="0"/>
    <w:pPr>
      <w:spacing w:before="0" w:beforeAutospacing="1" w:after="0" w:afterAutospacing="1"/>
      <w:ind w:left="0" w:right="0"/>
      <w:jc w:val="left"/>
    </w:pPr>
    <w:rPr>
      <w:kern w:val="0"/>
      <w:sz w:val="24"/>
      <w:lang w:val="en-US" w:eastAsia="zh-CN" w:bidi="ar"/>
    </w:rPr>
  </w:style>
  <w:style w:type="character" w:styleId="6">
    <w:name w:val="Strong"/>
    <w:basedOn w:val="5"/>
    <w:qFormat/>
    <w:uiPriority w:val="0"/>
    <w:rPr>
      <w:b/>
    </w:rPr>
  </w:style>
  <w:style w:type="character" w:styleId="7">
    <w:name w:val="Emphasis"/>
    <w:basedOn w:val="5"/>
    <w:qFormat/>
    <w:uiPriority w:val="0"/>
    <w:rPr>
      <w:i/>
    </w:rPr>
  </w:style>
  <w:style w:type="paragraph" w:customStyle="1" w:styleId="8">
    <w:name w:val="列出段落1"/>
    <w:basedOn w:val="1"/>
    <w:qFormat/>
    <w:uiPriority w:val="34"/>
    <w:pPr>
      <w:ind w:firstLine="420" w:firstLineChars="200"/>
    </w:pPr>
    <w:rPr>
      <w:rFonts w:ascii="Times New Roman" w:hAnsi="Times New Roman" w:eastAsia="宋体"/>
      <w:szCs w:val="24"/>
    </w:rPr>
  </w:style>
  <w:style w:type="character" w:customStyle="1" w:styleId="9">
    <w:name w:val="font01"/>
    <w:uiPriority w:val="0"/>
    <w:rPr>
      <w:rFonts w:hint="eastAsia" w:ascii="宋体" w:hAnsi="宋体" w:eastAsia="宋体" w:cs="宋体"/>
      <w:color w:val="000000"/>
      <w:sz w:val="22"/>
      <w:szCs w:val="22"/>
      <w:u w:val="non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6</TotalTime>
  <ScaleCrop>false</ScaleCrop>
  <LinksUpToDate>false</LinksUpToDate>
  <CharactersWithSpaces>0</CharactersWithSpaces>
  <Application>WPS Office_5.4.1.7920_F1E327BC-269C-435d-A152-05C5408002CA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2024-04-23T22:14:00Z</dcterms:created>
  <dc:creator>不高兴</dc:creator>
  <cp:lastModifiedBy>辗吭艺琳洞</cp:lastModifiedBy>
  <dcterms:modified xsi:type="dcterms:W3CDTF">2024-05-15T18:39:44Z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2052-5.4.1.7920</vt:lpwstr>
  </property>
  <property fmtid="{D5CDD505-2E9C-101B-9397-08002B2CF9AE}" pid="3" name="ICV">
    <vt:lpwstr>D88341FD0A7D95E18408286659BEC57B_41</vt:lpwstr>
  </property>
</Properties>
</file>