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A7C6D" w14:textId="77777777" w:rsidR="00852F70" w:rsidRPr="00090F0D" w:rsidRDefault="00852F70" w:rsidP="007B6F28">
      <w:pPr>
        <w:spacing w:line="480" w:lineRule="auto"/>
        <w:rPr>
          <w:rFonts w:ascii="Times New Roman" w:hAnsi="Times New Roman" w:cs="Times New Roman"/>
          <w:b/>
          <w:bCs/>
          <w:sz w:val="24"/>
          <w:szCs w:val="24"/>
        </w:rPr>
      </w:pPr>
    </w:p>
    <w:p w14:paraId="62B72D6C" w14:textId="07F6B092" w:rsidR="007B6F28" w:rsidRDefault="007B6F28" w:rsidP="007B6F28">
      <w:pPr>
        <w:spacing w:line="480" w:lineRule="auto"/>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0247C09" wp14:editId="7F8E0F87">
            <wp:extent cx="3347085" cy="14478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7085" cy="1447800"/>
                    </a:xfrm>
                    <a:prstGeom prst="rect">
                      <a:avLst/>
                    </a:prstGeom>
                    <a:noFill/>
                    <a:ln>
                      <a:noFill/>
                    </a:ln>
                  </pic:spPr>
                </pic:pic>
              </a:graphicData>
            </a:graphic>
          </wp:inline>
        </w:drawing>
      </w:r>
    </w:p>
    <w:p w14:paraId="2856855E" w14:textId="77777777" w:rsidR="007B6F28" w:rsidRDefault="007B6F28" w:rsidP="007B6F28">
      <w:pPr>
        <w:spacing w:line="480" w:lineRule="auto"/>
        <w:jc w:val="center"/>
        <w:rPr>
          <w:rFonts w:ascii="Times New Roman" w:hAnsi="Times New Roman" w:cs="Times New Roman"/>
          <w:b/>
          <w:bCs/>
          <w:sz w:val="24"/>
          <w:szCs w:val="24"/>
        </w:rPr>
      </w:pPr>
    </w:p>
    <w:p w14:paraId="1A4727AA" w14:textId="77777777" w:rsidR="007B6F28" w:rsidRDefault="007B6F28" w:rsidP="007B6F28">
      <w:pPr>
        <w:spacing w:line="480" w:lineRule="auto"/>
        <w:jc w:val="center"/>
        <w:rPr>
          <w:rFonts w:ascii="Times New Roman" w:hAnsi="Times New Roman" w:cs="Times New Roman"/>
          <w:b/>
          <w:bCs/>
          <w:sz w:val="24"/>
          <w:szCs w:val="24"/>
        </w:rPr>
      </w:pPr>
    </w:p>
    <w:p w14:paraId="36C9674C" w14:textId="77777777" w:rsidR="007B6F28" w:rsidRPr="007B6F28" w:rsidRDefault="007B6F28" w:rsidP="007B6F28">
      <w:pPr>
        <w:spacing w:line="480" w:lineRule="auto"/>
        <w:jc w:val="center"/>
        <w:rPr>
          <w:rFonts w:asciiTheme="minorBidi" w:hAnsiTheme="minorBidi"/>
          <w:b/>
          <w:bCs/>
        </w:rPr>
      </w:pPr>
    </w:p>
    <w:p w14:paraId="678C8D79" w14:textId="77777777" w:rsidR="007B6F28" w:rsidRPr="007B6F28" w:rsidRDefault="007B6F28" w:rsidP="007B6F28">
      <w:pPr>
        <w:spacing w:line="480" w:lineRule="auto"/>
        <w:jc w:val="center"/>
        <w:rPr>
          <w:rFonts w:asciiTheme="minorBidi" w:hAnsiTheme="minorBidi"/>
          <w:b/>
          <w:bCs/>
          <w:sz w:val="28"/>
          <w:szCs w:val="28"/>
        </w:rPr>
      </w:pPr>
      <w:r w:rsidRPr="007B6F28">
        <w:rPr>
          <w:rFonts w:asciiTheme="minorBidi" w:hAnsiTheme="minorBidi"/>
          <w:b/>
          <w:bCs/>
          <w:sz w:val="28"/>
          <w:szCs w:val="28"/>
        </w:rPr>
        <w:t>Student Name: Kawther Chible</w:t>
      </w:r>
    </w:p>
    <w:p w14:paraId="161C4402" w14:textId="77777777" w:rsidR="007B6F28" w:rsidRPr="007B6F28" w:rsidRDefault="007B6F28" w:rsidP="007B6F28">
      <w:pPr>
        <w:spacing w:line="480" w:lineRule="auto"/>
        <w:jc w:val="center"/>
        <w:rPr>
          <w:rFonts w:asciiTheme="minorBidi" w:hAnsiTheme="minorBidi"/>
          <w:b/>
          <w:bCs/>
          <w:sz w:val="28"/>
          <w:szCs w:val="28"/>
        </w:rPr>
      </w:pPr>
      <w:r w:rsidRPr="007B6F28">
        <w:rPr>
          <w:rFonts w:asciiTheme="minorBidi" w:hAnsiTheme="minorBidi"/>
          <w:b/>
          <w:bCs/>
          <w:sz w:val="28"/>
          <w:szCs w:val="28"/>
        </w:rPr>
        <w:t>Student ID: 2008114</w:t>
      </w:r>
    </w:p>
    <w:p w14:paraId="5569CD87" w14:textId="77777777" w:rsidR="007B6F28" w:rsidRPr="007B6F28" w:rsidRDefault="007B6F28" w:rsidP="007B6F28">
      <w:pPr>
        <w:spacing w:line="480" w:lineRule="auto"/>
        <w:jc w:val="center"/>
        <w:rPr>
          <w:rFonts w:asciiTheme="minorBidi" w:hAnsiTheme="minorBidi"/>
          <w:b/>
          <w:bCs/>
          <w:sz w:val="28"/>
          <w:szCs w:val="28"/>
        </w:rPr>
      </w:pPr>
      <w:r w:rsidRPr="007B6F28">
        <w:rPr>
          <w:rFonts w:asciiTheme="minorBidi" w:hAnsiTheme="minorBidi"/>
          <w:b/>
          <w:bCs/>
          <w:sz w:val="28"/>
          <w:szCs w:val="28"/>
        </w:rPr>
        <w:t>Module Name: Living with Care: The Older Person</w:t>
      </w:r>
    </w:p>
    <w:p w14:paraId="56FE94D9" w14:textId="77777777" w:rsidR="007B6F28" w:rsidRPr="007B6F28" w:rsidRDefault="007B6F28" w:rsidP="007B6F28">
      <w:pPr>
        <w:spacing w:line="480" w:lineRule="auto"/>
        <w:jc w:val="center"/>
        <w:rPr>
          <w:rFonts w:asciiTheme="minorBidi" w:hAnsiTheme="minorBidi"/>
          <w:b/>
          <w:bCs/>
          <w:sz w:val="28"/>
          <w:szCs w:val="28"/>
        </w:rPr>
      </w:pPr>
      <w:r w:rsidRPr="007B6F28">
        <w:rPr>
          <w:rFonts w:asciiTheme="minorBidi" w:hAnsiTheme="minorBidi"/>
          <w:b/>
          <w:bCs/>
          <w:sz w:val="28"/>
          <w:szCs w:val="28"/>
        </w:rPr>
        <w:t>Module Code: BMHP6009</w:t>
      </w:r>
    </w:p>
    <w:p w14:paraId="7FA13CBE" w14:textId="77777777" w:rsidR="007B6F28" w:rsidRPr="007B6F28" w:rsidRDefault="007B6F28" w:rsidP="007B6F28">
      <w:pPr>
        <w:spacing w:line="480" w:lineRule="auto"/>
        <w:jc w:val="center"/>
        <w:rPr>
          <w:rFonts w:asciiTheme="minorBidi" w:hAnsiTheme="minorBidi"/>
          <w:b/>
          <w:bCs/>
          <w:sz w:val="28"/>
          <w:szCs w:val="28"/>
        </w:rPr>
      </w:pPr>
      <w:r w:rsidRPr="007B6F28">
        <w:rPr>
          <w:rFonts w:asciiTheme="minorBidi" w:hAnsiTheme="minorBidi"/>
          <w:b/>
          <w:bCs/>
          <w:sz w:val="28"/>
          <w:szCs w:val="28"/>
        </w:rPr>
        <w:t>Lecturer Name: Diola Bijlhout</w:t>
      </w:r>
    </w:p>
    <w:p w14:paraId="37225C25" w14:textId="77777777" w:rsidR="00852F70" w:rsidRPr="007B6F28" w:rsidRDefault="00852F70" w:rsidP="00090F0D">
      <w:pPr>
        <w:spacing w:line="480" w:lineRule="auto"/>
        <w:jc w:val="center"/>
        <w:rPr>
          <w:rFonts w:asciiTheme="minorBidi" w:hAnsiTheme="minorBidi"/>
          <w:b/>
          <w:bCs/>
        </w:rPr>
      </w:pPr>
    </w:p>
    <w:p w14:paraId="3C35B99B" w14:textId="77777777" w:rsidR="00852F70" w:rsidRPr="007B6F28" w:rsidRDefault="00852F70" w:rsidP="00090F0D">
      <w:pPr>
        <w:spacing w:line="480" w:lineRule="auto"/>
        <w:jc w:val="center"/>
        <w:rPr>
          <w:rFonts w:asciiTheme="minorBidi" w:hAnsiTheme="minorBidi"/>
          <w:b/>
          <w:bCs/>
        </w:rPr>
      </w:pPr>
    </w:p>
    <w:p w14:paraId="741E31B1" w14:textId="77777777" w:rsidR="00852F70" w:rsidRPr="007B6F28" w:rsidRDefault="00852F70" w:rsidP="00090F0D">
      <w:pPr>
        <w:spacing w:line="480" w:lineRule="auto"/>
        <w:jc w:val="center"/>
        <w:rPr>
          <w:rFonts w:asciiTheme="minorBidi" w:hAnsiTheme="minorBidi"/>
          <w:b/>
          <w:bCs/>
        </w:rPr>
      </w:pPr>
    </w:p>
    <w:p w14:paraId="456550F5" w14:textId="77777777" w:rsidR="00852F70" w:rsidRPr="007B6F28" w:rsidRDefault="00852F70" w:rsidP="00090F0D">
      <w:pPr>
        <w:spacing w:line="480" w:lineRule="auto"/>
        <w:jc w:val="center"/>
        <w:rPr>
          <w:rFonts w:asciiTheme="minorBidi" w:hAnsiTheme="minorBidi"/>
          <w:b/>
          <w:bCs/>
        </w:rPr>
      </w:pPr>
    </w:p>
    <w:p w14:paraId="4BB571B1" w14:textId="77777777" w:rsidR="007B6F28" w:rsidRPr="007B6F28" w:rsidRDefault="007B6F28" w:rsidP="007B6F28">
      <w:pPr>
        <w:spacing w:line="480" w:lineRule="auto"/>
        <w:rPr>
          <w:rFonts w:asciiTheme="minorBidi" w:hAnsiTheme="minorBidi"/>
          <w:b/>
          <w:bCs/>
        </w:rPr>
      </w:pPr>
    </w:p>
    <w:p w14:paraId="3C877EB4" w14:textId="0AD764E7" w:rsidR="00852F70" w:rsidRPr="007B6F28" w:rsidRDefault="005846FC" w:rsidP="007B6F28">
      <w:pPr>
        <w:spacing w:line="480" w:lineRule="auto"/>
        <w:jc w:val="center"/>
        <w:rPr>
          <w:rFonts w:asciiTheme="minorBidi" w:hAnsiTheme="minorBidi"/>
          <w:b/>
          <w:bCs/>
        </w:rPr>
      </w:pPr>
      <w:r w:rsidRPr="007B6F28">
        <w:rPr>
          <w:rFonts w:asciiTheme="minorBidi" w:hAnsiTheme="minorBidi"/>
          <w:b/>
          <w:bCs/>
        </w:rPr>
        <w:lastRenderedPageBreak/>
        <w:t>TABLE OF CONTENT</w:t>
      </w:r>
    </w:p>
    <w:sdt>
      <w:sdtPr>
        <w:rPr>
          <w:rFonts w:asciiTheme="minorBidi" w:eastAsiaTheme="minorHAnsi" w:hAnsiTheme="minorBidi" w:cstheme="minorBidi"/>
          <w:color w:val="auto"/>
          <w:sz w:val="22"/>
          <w:szCs w:val="22"/>
        </w:rPr>
        <w:id w:val="890156463"/>
        <w:docPartObj>
          <w:docPartGallery w:val="Table of Contents"/>
          <w:docPartUnique/>
        </w:docPartObj>
      </w:sdtPr>
      <w:sdtEndPr>
        <w:rPr>
          <w:b/>
          <w:bCs/>
          <w:noProof/>
        </w:rPr>
      </w:sdtEndPr>
      <w:sdtContent>
        <w:p w14:paraId="3514921D" w14:textId="77777777" w:rsidR="00E80686" w:rsidRPr="007B6F28" w:rsidRDefault="00E80686" w:rsidP="00090F0D">
          <w:pPr>
            <w:pStyle w:val="TOCHeading"/>
            <w:spacing w:line="480" w:lineRule="auto"/>
            <w:rPr>
              <w:rFonts w:asciiTheme="minorBidi" w:hAnsiTheme="minorBidi" w:cstheme="minorBidi"/>
              <w:sz w:val="22"/>
              <w:szCs w:val="22"/>
            </w:rPr>
          </w:pPr>
          <w:r w:rsidRPr="007B6F28">
            <w:rPr>
              <w:rFonts w:asciiTheme="minorBidi" w:hAnsiTheme="minorBidi" w:cstheme="minorBidi"/>
              <w:sz w:val="22"/>
              <w:szCs w:val="22"/>
            </w:rPr>
            <w:t>Contents</w:t>
          </w:r>
        </w:p>
        <w:p w14:paraId="71362A64" w14:textId="77777777" w:rsidR="00090F0D" w:rsidRPr="007B6F28" w:rsidRDefault="00E80686" w:rsidP="00090F0D">
          <w:pPr>
            <w:pStyle w:val="TOC1"/>
            <w:tabs>
              <w:tab w:val="right" w:leader="dot" w:pos="9350"/>
            </w:tabs>
            <w:spacing w:line="480" w:lineRule="auto"/>
            <w:rPr>
              <w:rFonts w:asciiTheme="minorBidi" w:eastAsiaTheme="minorEastAsia" w:hAnsiTheme="minorBidi"/>
              <w:noProof/>
            </w:rPr>
          </w:pPr>
          <w:r w:rsidRPr="007B6F28">
            <w:rPr>
              <w:rFonts w:asciiTheme="minorBidi" w:hAnsiTheme="minorBidi"/>
            </w:rPr>
            <w:fldChar w:fldCharType="begin"/>
          </w:r>
          <w:r w:rsidRPr="007B6F28">
            <w:rPr>
              <w:rFonts w:asciiTheme="minorBidi" w:hAnsiTheme="minorBidi"/>
            </w:rPr>
            <w:instrText xml:space="preserve"> TOC \o "1-3" \h \z \u </w:instrText>
          </w:r>
          <w:r w:rsidRPr="007B6F28">
            <w:rPr>
              <w:rFonts w:asciiTheme="minorBidi" w:hAnsiTheme="minorBidi"/>
            </w:rPr>
            <w:fldChar w:fldCharType="separate"/>
          </w:r>
          <w:hyperlink w:anchor="_Toc120014466" w:history="1">
            <w:r w:rsidR="00090F0D" w:rsidRPr="007B6F28">
              <w:rPr>
                <w:rStyle w:val="Hyperlink"/>
                <w:rFonts w:asciiTheme="minorBidi" w:hAnsiTheme="minorBidi"/>
                <w:b/>
                <w:noProof/>
              </w:rPr>
              <w:t>INTRODUCTION</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_Toc120014466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3</w:t>
            </w:r>
            <w:r w:rsidR="00090F0D" w:rsidRPr="007B6F28">
              <w:rPr>
                <w:rFonts w:asciiTheme="minorBidi" w:hAnsiTheme="minorBidi"/>
                <w:noProof/>
                <w:webHidden/>
              </w:rPr>
              <w:fldChar w:fldCharType="end"/>
            </w:r>
          </w:hyperlink>
        </w:p>
        <w:p w14:paraId="46051F96" w14:textId="77777777" w:rsidR="00090F0D" w:rsidRPr="007B6F28" w:rsidRDefault="00000000" w:rsidP="00090F0D">
          <w:pPr>
            <w:pStyle w:val="TOC2"/>
            <w:tabs>
              <w:tab w:val="right" w:leader="dot" w:pos="9350"/>
            </w:tabs>
            <w:spacing w:line="480" w:lineRule="auto"/>
            <w:rPr>
              <w:rFonts w:asciiTheme="minorBidi" w:eastAsiaTheme="minorEastAsia" w:hAnsiTheme="minorBidi"/>
              <w:noProof/>
            </w:rPr>
          </w:pPr>
          <w:hyperlink w:anchor="_Toc120014467" w:history="1">
            <w:r w:rsidR="00090F0D" w:rsidRPr="007B6F28">
              <w:rPr>
                <w:rStyle w:val="Hyperlink"/>
                <w:rFonts w:asciiTheme="minorBidi" w:hAnsiTheme="minorBidi"/>
                <w:b/>
                <w:noProof/>
              </w:rPr>
              <w:t>Statistics</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_Toc120014467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4</w:t>
            </w:r>
            <w:r w:rsidR="00090F0D" w:rsidRPr="007B6F28">
              <w:rPr>
                <w:rFonts w:asciiTheme="minorBidi" w:hAnsiTheme="minorBidi"/>
                <w:noProof/>
                <w:webHidden/>
              </w:rPr>
              <w:fldChar w:fldCharType="end"/>
            </w:r>
          </w:hyperlink>
        </w:p>
        <w:p w14:paraId="4D998EA4" w14:textId="77777777" w:rsidR="00090F0D" w:rsidRPr="007B6F28" w:rsidRDefault="00000000" w:rsidP="00090F0D">
          <w:pPr>
            <w:pStyle w:val="TOC1"/>
            <w:tabs>
              <w:tab w:val="right" w:leader="dot" w:pos="9350"/>
            </w:tabs>
            <w:spacing w:line="480" w:lineRule="auto"/>
            <w:rPr>
              <w:rFonts w:asciiTheme="minorBidi" w:eastAsiaTheme="minorEastAsia" w:hAnsiTheme="minorBidi"/>
              <w:noProof/>
            </w:rPr>
          </w:pPr>
          <w:hyperlink w:anchor="_Toc120014468" w:history="1">
            <w:r w:rsidR="00090F0D" w:rsidRPr="007B6F28">
              <w:rPr>
                <w:rStyle w:val="Hyperlink"/>
                <w:rFonts w:asciiTheme="minorBidi" w:hAnsiTheme="minorBidi"/>
                <w:b/>
                <w:noProof/>
              </w:rPr>
              <w:t>Theories of Loneliness and Isolation</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_Toc120014468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5</w:t>
            </w:r>
            <w:r w:rsidR="00090F0D" w:rsidRPr="007B6F28">
              <w:rPr>
                <w:rFonts w:asciiTheme="minorBidi" w:hAnsiTheme="minorBidi"/>
                <w:noProof/>
                <w:webHidden/>
              </w:rPr>
              <w:fldChar w:fldCharType="end"/>
            </w:r>
          </w:hyperlink>
        </w:p>
        <w:p w14:paraId="1701F88E" w14:textId="77777777" w:rsidR="00090F0D" w:rsidRPr="007B6F28" w:rsidRDefault="00000000" w:rsidP="00090F0D">
          <w:pPr>
            <w:pStyle w:val="TOC2"/>
            <w:tabs>
              <w:tab w:val="right" w:leader="dot" w:pos="9350"/>
            </w:tabs>
            <w:spacing w:line="480" w:lineRule="auto"/>
            <w:rPr>
              <w:rFonts w:asciiTheme="minorBidi" w:eastAsiaTheme="minorEastAsia" w:hAnsiTheme="minorBidi"/>
              <w:noProof/>
            </w:rPr>
          </w:pPr>
          <w:hyperlink w:anchor="_Toc120014469" w:history="1">
            <w:r w:rsidR="00090F0D" w:rsidRPr="007B6F28">
              <w:rPr>
                <w:rStyle w:val="Hyperlink"/>
                <w:rFonts w:asciiTheme="minorBidi" w:hAnsiTheme="minorBidi"/>
                <w:b/>
                <w:noProof/>
              </w:rPr>
              <w:t>Cognitive Approach</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_Toc120014469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5</w:t>
            </w:r>
            <w:r w:rsidR="00090F0D" w:rsidRPr="007B6F28">
              <w:rPr>
                <w:rFonts w:asciiTheme="minorBidi" w:hAnsiTheme="minorBidi"/>
                <w:noProof/>
                <w:webHidden/>
              </w:rPr>
              <w:fldChar w:fldCharType="end"/>
            </w:r>
          </w:hyperlink>
        </w:p>
        <w:p w14:paraId="41A9244C" w14:textId="77777777" w:rsidR="00090F0D" w:rsidRPr="007B6F28" w:rsidRDefault="00000000" w:rsidP="00090F0D">
          <w:pPr>
            <w:pStyle w:val="TOC2"/>
            <w:tabs>
              <w:tab w:val="right" w:leader="dot" w:pos="9350"/>
            </w:tabs>
            <w:spacing w:line="480" w:lineRule="auto"/>
            <w:rPr>
              <w:rFonts w:asciiTheme="minorBidi" w:eastAsiaTheme="minorEastAsia" w:hAnsiTheme="minorBidi"/>
              <w:noProof/>
            </w:rPr>
          </w:pPr>
          <w:hyperlink w:anchor="_Toc120014470" w:history="1">
            <w:r w:rsidR="00090F0D" w:rsidRPr="007B6F28">
              <w:rPr>
                <w:rStyle w:val="Hyperlink"/>
                <w:rFonts w:asciiTheme="minorBidi" w:hAnsiTheme="minorBidi"/>
                <w:b/>
                <w:noProof/>
              </w:rPr>
              <w:t>Privacy Approach</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_Toc120014470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5</w:t>
            </w:r>
            <w:r w:rsidR="00090F0D" w:rsidRPr="007B6F28">
              <w:rPr>
                <w:rFonts w:asciiTheme="minorBidi" w:hAnsiTheme="minorBidi"/>
                <w:noProof/>
                <w:webHidden/>
              </w:rPr>
              <w:fldChar w:fldCharType="end"/>
            </w:r>
          </w:hyperlink>
        </w:p>
        <w:p w14:paraId="10E240BE" w14:textId="77777777" w:rsidR="00090F0D" w:rsidRPr="007B6F28" w:rsidRDefault="00000000" w:rsidP="00090F0D">
          <w:pPr>
            <w:pStyle w:val="TOC1"/>
            <w:tabs>
              <w:tab w:val="right" w:leader="dot" w:pos="9350"/>
            </w:tabs>
            <w:spacing w:line="480" w:lineRule="auto"/>
            <w:rPr>
              <w:rFonts w:asciiTheme="minorBidi" w:eastAsiaTheme="minorEastAsia" w:hAnsiTheme="minorBidi"/>
              <w:noProof/>
            </w:rPr>
          </w:pPr>
          <w:hyperlink w:anchor="_Toc120014471" w:history="1">
            <w:r w:rsidR="00090F0D" w:rsidRPr="007B6F28">
              <w:rPr>
                <w:rStyle w:val="Hyperlink"/>
                <w:rFonts w:asciiTheme="minorBidi" w:hAnsiTheme="minorBidi"/>
                <w:b/>
                <w:noProof/>
              </w:rPr>
              <w:t>COMPARISON BETWEEN TWO COUNTRIES</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_Toc120014471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5</w:t>
            </w:r>
            <w:r w:rsidR="00090F0D" w:rsidRPr="007B6F28">
              <w:rPr>
                <w:rFonts w:asciiTheme="minorBidi" w:hAnsiTheme="minorBidi"/>
                <w:noProof/>
                <w:webHidden/>
              </w:rPr>
              <w:fldChar w:fldCharType="end"/>
            </w:r>
          </w:hyperlink>
        </w:p>
        <w:p w14:paraId="52DA774A" w14:textId="77777777" w:rsidR="00090F0D" w:rsidRPr="007B6F28" w:rsidRDefault="00000000" w:rsidP="00090F0D">
          <w:pPr>
            <w:pStyle w:val="TOC2"/>
            <w:tabs>
              <w:tab w:val="right" w:leader="dot" w:pos="9350"/>
            </w:tabs>
            <w:spacing w:line="480" w:lineRule="auto"/>
            <w:rPr>
              <w:rFonts w:asciiTheme="minorBidi" w:eastAsiaTheme="minorEastAsia" w:hAnsiTheme="minorBidi"/>
              <w:noProof/>
            </w:rPr>
          </w:pPr>
          <w:hyperlink w:anchor="_Toc120014472" w:history="1">
            <w:r w:rsidR="00090F0D" w:rsidRPr="007B6F28">
              <w:rPr>
                <w:rStyle w:val="Hyperlink"/>
                <w:rFonts w:asciiTheme="minorBidi" w:hAnsiTheme="minorBidi"/>
                <w:b/>
                <w:noProof/>
              </w:rPr>
              <w:t>Effects of isolation and loneliness on older people.</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_Toc120014472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5</w:t>
            </w:r>
            <w:r w:rsidR="00090F0D" w:rsidRPr="007B6F28">
              <w:rPr>
                <w:rFonts w:asciiTheme="minorBidi" w:hAnsiTheme="minorBidi"/>
                <w:noProof/>
                <w:webHidden/>
              </w:rPr>
              <w:fldChar w:fldCharType="end"/>
            </w:r>
          </w:hyperlink>
        </w:p>
        <w:p w14:paraId="221F298D" w14:textId="77777777" w:rsidR="00090F0D" w:rsidRPr="007B6F28" w:rsidRDefault="00000000" w:rsidP="00090F0D">
          <w:pPr>
            <w:pStyle w:val="TOC2"/>
            <w:tabs>
              <w:tab w:val="right" w:leader="dot" w:pos="9350"/>
            </w:tabs>
            <w:spacing w:line="480" w:lineRule="auto"/>
            <w:rPr>
              <w:rFonts w:asciiTheme="minorBidi" w:eastAsiaTheme="minorEastAsia" w:hAnsiTheme="minorBidi"/>
              <w:noProof/>
            </w:rPr>
          </w:pPr>
          <w:hyperlink w:anchor="_Toc120014473" w:history="1">
            <w:r w:rsidR="00090F0D" w:rsidRPr="007B6F28">
              <w:rPr>
                <w:rStyle w:val="Hyperlink"/>
                <w:rFonts w:asciiTheme="minorBidi" w:hAnsiTheme="minorBidi"/>
                <w:b/>
                <w:noProof/>
              </w:rPr>
              <w:t>Technology for the provision of care provided to lonely older persons.</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_Toc120014473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7</w:t>
            </w:r>
            <w:r w:rsidR="00090F0D" w:rsidRPr="007B6F28">
              <w:rPr>
                <w:rFonts w:asciiTheme="minorBidi" w:hAnsiTheme="minorBidi"/>
                <w:noProof/>
                <w:webHidden/>
              </w:rPr>
              <w:fldChar w:fldCharType="end"/>
            </w:r>
          </w:hyperlink>
        </w:p>
        <w:p w14:paraId="2089CDA2" w14:textId="77777777" w:rsidR="00090F0D" w:rsidRPr="007B6F28" w:rsidRDefault="00000000" w:rsidP="00090F0D">
          <w:pPr>
            <w:pStyle w:val="TOC1"/>
            <w:tabs>
              <w:tab w:val="right" w:leader="dot" w:pos="9350"/>
            </w:tabs>
            <w:spacing w:line="480" w:lineRule="auto"/>
            <w:rPr>
              <w:rFonts w:asciiTheme="minorBidi" w:eastAsiaTheme="minorEastAsia" w:hAnsiTheme="minorBidi"/>
              <w:noProof/>
            </w:rPr>
          </w:pPr>
          <w:hyperlink w:anchor="_Toc120014474" w:history="1">
            <w:r w:rsidR="00090F0D" w:rsidRPr="007B6F28">
              <w:rPr>
                <w:rStyle w:val="Hyperlink"/>
                <w:rFonts w:asciiTheme="minorBidi" w:hAnsiTheme="minorBidi"/>
                <w:b/>
                <w:noProof/>
              </w:rPr>
              <w:t>Policies and Legislation</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_Toc120014474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8</w:t>
            </w:r>
            <w:r w:rsidR="00090F0D" w:rsidRPr="007B6F28">
              <w:rPr>
                <w:rFonts w:asciiTheme="minorBidi" w:hAnsiTheme="minorBidi"/>
                <w:noProof/>
                <w:webHidden/>
              </w:rPr>
              <w:fldChar w:fldCharType="end"/>
            </w:r>
          </w:hyperlink>
        </w:p>
        <w:p w14:paraId="61A2774C" w14:textId="77777777" w:rsidR="00090F0D" w:rsidRPr="007B6F28" w:rsidRDefault="00000000" w:rsidP="00090F0D">
          <w:pPr>
            <w:pStyle w:val="TOC2"/>
            <w:tabs>
              <w:tab w:val="right" w:leader="dot" w:pos="9350"/>
            </w:tabs>
            <w:spacing w:line="480" w:lineRule="auto"/>
            <w:rPr>
              <w:rFonts w:asciiTheme="minorBidi" w:eastAsiaTheme="minorEastAsia" w:hAnsiTheme="minorBidi"/>
              <w:noProof/>
            </w:rPr>
          </w:pPr>
          <w:hyperlink w:anchor="_Toc120014475" w:history="1">
            <w:r w:rsidR="00090F0D" w:rsidRPr="007B6F28">
              <w:rPr>
                <w:rStyle w:val="Hyperlink"/>
                <w:rFonts w:asciiTheme="minorBidi" w:hAnsiTheme="minorBidi"/>
                <w:b/>
                <w:noProof/>
              </w:rPr>
              <w:t>U.N. Healthy Ageing Decade</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_Toc120014475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8</w:t>
            </w:r>
            <w:r w:rsidR="00090F0D" w:rsidRPr="007B6F28">
              <w:rPr>
                <w:rFonts w:asciiTheme="minorBidi" w:hAnsiTheme="minorBidi"/>
                <w:noProof/>
                <w:webHidden/>
              </w:rPr>
              <w:fldChar w:fldCharType="end"/>
            </w:r>
          </w:hyperlink>
        </w:p>
        <w:p w14:paraId="30C78856" w14:textId="77777777" w:rsidR="00090F0D" w:rsidRPr="007B6F28" w:rsidRDefault="00000000" w:rsidP="00090F0D">
          <w:pPr>
            <w:pStyle w:val="TOC2"/>
            <w:tabs>
              <w:tab w:val="right" w:leader="dot" w:pos="9350"/>
            </w:tabs>
            <w:spacing w:line="480" w:lineRule="auto"/>
            <w:rPr>
              <w:rFonts w:asciiTheme="minorBidi" w:eastAsiaTheme="minorEastAsia" w:hAnsiTheme="minorBidi"/>
              <w:noProof/>
            </w:rPr>
          </w:pPr>
          <w:hyperlink w:anchor="_Toc120014476" w:history="1">
            <w:r w:rsidR="00090F0D" w:rsidRPr="007B6F28">
              <w:rPr>
                <w:rStyle w:val="Hyperlink"/>
                <w:rFonts w:asciiTheme="minorBidi" w:hAnsiTheme="minorBidi"/>
                <w:b/>
                <w:noProof/>
              </w:rPr>
              <w:t>Connected society (2018)</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_Toc120014476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8</w:t>
            </w:r>
            <w:r w:rsidR="00090F0D" w:rsidRPr="007B6F28">
              <w:rPr>
                <w:rFonts w:asciiTheme="minorBidi" w:hAnsiTheme="minorBidi"/>
                <w:noProof/>
                <w:webHidden/>
              </w:rPr>
              <w:fldChar w:fldCharType="end"/>
            </w:r>
          </w:hyperlink>
        </w:p>
        <w:p w14:paraId="71C60A08" w14:textId="77777777" w:rsidR="00090F0D" w:rsidRPr="007B6F28" w:rsidRDefault="00000000" w:rsidP="00090F0D">
          <w:pPr>
            <w:pStyle w:val="TOC1"/>
            <w:tabs>
              <w:tab w:val="right" w:leader="dot" w:pos="9350"/>
            </w:tabs>
            <w:spacing w:line="480" w:lineRule="auto"/>
            <w:rPr>
              <w:rFonts w:asciiTheme="minorBidi" w:eastAsiaTheme="minorEastAsia" w:hAnsiTheme="minorBidi"/>
              <w:noProof/>
            </w:rPr>
          </w:pPr>
          <w:hyperlink w:anchor="_Toc120014477" w:history="1">
            <w:r w:rsidR="00090F0D" w:rsidRPr="007B6F28">
              <w:rPr>
                <w:rStyle w:val="Hyperlink"/>
                <w:rFonts w:asciiTheme="minorBidi" w:hAnsiTheme="minorBidi"/>
                <w:b/>
                <w:noProof/>
              </w:rPr>
              <w:t>RECOMMENDATIONS</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_Toc120014477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10</w:t>
            </w:r>
            <w:r w:rsidR="00090F0D" w:rsidRPr="007B6F28">
              <w:rPr>
                <w:rFonts w:asciiTheme="minorBidi" w:hAnsiTheme="minorBidi"/>
                <w:noProof/>
                <w:webHidden/>
              </w:rPr>
              <w:fldChar w:fldCharType="end"/>
            </w:r>
          </w:hyperlink>
        </w:p>
        <w:p w14:paraId="557BB6FD" w14:textId="77777777" w:rsidR="00090F0D" w:rsidRPr="007B6F28" w:rsidRDefault="00000000" w:rsidP="00090F0D">
          <w:pPr>
            <w:pStyle w:val="TOC1"/>
            <w:tabs>
              <w:tab w:val="right" w:leader="dot" w:pos="9350"/>
            </w:tabs>
            <w:spacing w:line="480" w:lineRule="auto"/>
            <w:rPr>
              <w:rFonts w:asciiTheme="minorBidi" w:eastAsiaTheme="minorEastAsia" w:hAnsiTheme="minorBidi"/>
              <w:noProof/>
            </w:rPr>
          </w:pPr>
          <w:hyperlink w:anchor="_Toc120014478" w:history="1">
            <w:r w:rsidR="00090F0D" w:rsidRPr="007B6F28">
              <w:rPr>
                <w:rStyle w:val="Hyperlink"/>
                <w:rFonts w:asciiTheme="minorBidi" w:hAnsiTheme="minorBidi"/>
                <w:b/>
                <w:noProof/>
              </w:rPr>
              <w:t>CONCLUSION</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_Toc120014478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10</w:t>
            </w:r>
            <w:r w:rsidR="00090F0D" w:rsidRPr="007B6F28">
              <w:rPr>
                <w:rFonts w:asciiTheme="minorBidi" w:hAnsiTheme="minorBidi"/>
                <w:noProof/>
                <w:webHidden/>
              </w:rPr>
              <w:fldChar w:fldCharType="end"/>
            </w:r>
          </w:hyperlink>
        </w:p>
        <w:p w14:paraId="0627D8E9" w14:textId="77777777" w:rsidR="00090F0D" w:rsidRPr="007B6F28" w:rsidRDefault="00000000" w:rsidP="00090F0D">
          <w:pPr>
            <w:pStyle w:val="TOC1"/>
            <w:tabs>
              <w:tab w:val="right" w:leader="dot" w:pos="9350"/>
            </w:tabs>
            <w:spacing w:line="480" w:lineRule="auto"/>
            <w:rPr>
              <w:rFonts w:asciiTheme="minorBidi" w:eastAsiaTheme="minorEastAsia" w:hAnsiTheme="minorBidi"/>
              <w:noProof/>
            </w:rPr>
          </w:pPr>
          <w:hyperlink w:anchor="_Toc120014479" w:history="1">
            <w:r w:rsidR="00090F0D" w:rsidRPr="007B6F28">
              <w:rPr>
                <w:rStyle w:val="Hyperlink"/>
                <w:rFonts w:asciiTheme="minorBidi" w:hAnsiTheme="minorBidi"/>
                <w:b/>
                <w:noProof/>
              </w:rPr>
              <w:t>References</w:t>
            </w:r>
            <w:r w:rsidR="00090F0D" w:rsidRPr="007B6F28">
              <w:rPr>
                <w:rFonts w:asciiTheme="minorBidi" w:hAnsiTheme="minorBidi"/>
                <w:noProof/>
                <w:webHidden/>
              </w:rPr>
              <w:tab/>
            </w:r>
            <w:r w:rsidR="00090F0D" w:rsidRPr="007B6F28">
              <w:rPr>
                <w:rFonts w:asciiTheme="minorBidi" w:hAnsiTheme="minorBidi"/>
                <w:noProof/>
                <w:webHidden/>
              </w:rPr>
              <w:fldChar w:fldCharType="begin"/>
            </w:r>
            <w:r w:rsidR="00090F0D" w:rsidRPr="007B6F28">
              <w:rPr>
                <w:rFonts w:asciiTheme="minorBidi" w:hAnsiTheme="minorBidi"/>
                <w:noProof/>
                <w:webHidden/>
              </w:rPr>
              <w:instrText xml:space="preserve"> PAGEREF _Toc120014479 \h </w:instrText>
            </w:r>
            <w:r w:rsidR="00090F0D" w:rsidRPr="007B6F28">
              <w:rPr>
                <w:rFonts w:asciiTheme="minorBidi" w:hAnsiTheme="minorBidi"/>
                <w:noProof/>
                <w:webHidden/>
              </w:rPr>
            </w:r>
            <w:r w:rsidR="00090F0D" w:rsidRPr="007B6F28">
              <w:rPr>
                <w:rFonts w:asciiTheme="minorBidi" w:hAnsiTheme="minorBidi"/>
                <w:noProof/>
                <w:webHidden/>
              </w:rPr>
              <w:fldChar w:fldCharType="separate"/>
            </w:r>
            <w:r w:rsidR="00090F0D" w:rsidRPr="007B6F28">
              <w:rPr>
                <w:rFonts w:asciiTheme="minorBidi" w:hAnsiTheme="minorBidi"/>
                <w:noProof/>
                <w:webHidden/>
              </w:rPr>
              <w:t>11</w:t>
            </w:r>
            <w:r w:rsidR="00090F0D" w:rsidRPr="007B6F28">
              <w:rPr>
                <w:rFonts w:asciiTheme="minorBidi" w:hAnsiTheme="minorBidi"/>
                <w:noProof/>
                <w:webHidden/>
              </w:rPr>
              <w:fldChar w:fldCharType="end"/>
            </w:r>
          </w:hyperlink>
        </w:p>
        <w:p w14:paraId="41B923AF" w14:textId="77777777" w:rsidR="00E80686" w:rsidRPr="007B6F28" w:rsidRDefault="00E80686" w:rsidP="00090F0D">
          <w:pPr>
            <w:spacing w:line="480" w:lineRule="auto"/>
            <w:rPr>
              <w:rFonts w:asciiTheme="minorBidi" w:hAnsiTheme="minorBidi"/>
            </w:rPr>
          </w:pPr>
          <w:r w:rsidRPr="007B6F28">
            <w:rPr>
              <w:rFonts w:asciiTheme="minorBidi" w:hAnsiTheme="minorBidi"/>
              <w:b/>
              <w:bCs/>
              <w:noProof/>
            </w:rPr>
            <w:fldChar w:fldCharType="end"/>
          </w:r>
        </w:p>
      </w:sdtContent>
    </w:sdt>
    <w:p w14:paraId="769ABD86" w14:textId="77777777" w:rsidR="00852F70" w:rsidRPr="007B6F28" w:rsidRDefault="00852F70" w:rsidP="00090F0D">
      <w:pPr>
        <w:spacing w:line="480" w:lineRule="auto"/>
        <w:jc w:val="center"/>
        <w:rPr>
          <w:rFonts w:asciiTheme="minorBidi" w:hAnsiTheme="minorBidi"/>
          <w:b/>
          <w:bCs/>
        </w:rPr>
      </w:pPr>
    </w:p>
    <w:p w14:paraId="2965AC6D" w14:textId="77777777" w:rsidR="00852F70" w:rsidRPr="007B6F28" w:rsidRDefault="00852F70" w:rsidP="00090F0D">
      <w:pPr>
        <w:spacing w:line="480" w:lineRule="auto"/>
        <w:jc w:val="center"/>
        <w:rPr>
          <w:rFonts w:asciiTheme="minorBidi" w:hAnsiTheme="minorBidi"/>
          <w:b/>
          <w:bCs/>
        </w:rPr>
      </w:pPr>
    </w:p>
    <w:p w14:paraId="3C94970F" w14:textId="77777777" w:rsidR="00852F70" w:rsidRPr="007B6F28" w:rsidRDefault="00852F70" w:rsidP="00090F0D">
      <w:pPr>
        <w:spacing w:line="480" w:lineRule="auto"/>
        <w:jc w:val="center"/>
        <w:rPr>
          <w:rFonts w:asciiTheme="minorBidi" w:hAnsiTheme="minorBidi"/>
          <w:b/>
          <w:bCs/>
        </w:rPr>
      </w:pPr>
    </w:p>
    <w:p w14:paraId="1A622984" w14:textId="77777777" w:rsidR="00852F70" w:rsidRPr="007B6F28" w:rsidRDefault="00852F70" w:rsidP="00090F0D">
      <w:pPr>
        <w:spacing w:line="480" w:lineRule="auto"/>
        <w:rPr>
          <w:rFonts w:asciiTheme="minorBidi" w:hAnsiTheme="minorBidi"/>
          <w:b/>
          <w:bCs/>
        </w:rPr>
      </w:pPr>
    </w:p>
    <w:p w14:paraId="42DF6539" w14:textId="77777777" w:rsidR="00967DC2" w:rsidRPr="007B6F28" w:rsidRDefault="005846FC" w:rsidP="007B6F28">
      <w:pPr>
        <w:pStyle w:val="Heading1"/>
        <w:spacing w:line="360" w:lineRule="auto"/>
        <w:rPr>
          <w:rFonts w:asciiTheme="minorBidi" w:hAnsiTheme="minorBidi" w:cstheme="minorBidi"/>
          <w:b/>
          <w:color w:val="000000" w:themeColor="text1"/>
          <w:sz w:val="22"/>
          <w:szCs w:val="22"/>
        </w:rPr>
      </w:pPr>
      <w:bookmarkStart w:id="0" w:name="_Toc120014466"/>
      <w:r w:rsidRPr="007B6F28">
        <w:rPr>
          <w:rFonts w:asciiTheme="minorBidi" w:hAnsiTheme="minorBidi" w:cstheme="minorBidi"/>
          <w:b/>
          <w:color w:val="000000" w:themeColor="text1"/>
          <w:sz w:val="22"/>
          <w:szCs w:val="22"/>
        </w:rPr>
        <w:lastRenderedPageBreak/>
        <w:t>INTRODUCTION</w:t>
      </w:r>
      <w:bookmarkEnd w:id="0"/>
    </w:p>
    <w:p w14:paraId="0F3B255C" w14:textId="77777777" w:rsidR="000476E5" w:rsidRPr="007B6F28" w:rsidRDefault="005846FC" w:rsidP="007B6F28">
      <w:pPr>
        <w:spacing w:line="360" w:lineRule="auto"/>
        <w:jc w:val="center"/>
        <w:rPr>
          <w:rFonts w:asciiTheme="minorBidi" w:hAnsiTheme="minorBidi"/>
          <w:b/>
          <w:bCs/>
        </w:rPr>
      </w:pPr>
      <w:r w:rsidRPr="007B6F28">
        <w:rPr>
          <w:rFonts w:asciiTheme="minorBidi" w:hAnsiTheme="minorBidi"/>
          <w:b/>
          <w:bCs/>
        </w:rPr>
        <w:t>Olde</w:t>
      </w:r>
      <w:r w:rsidR="00435E6D" w:rsidRPr="007B6F28">
        <w:rPr>
          <w:rFonts w:asciiTheme="minorBidi" w:hAnsiTheme="minorBidi"/>
          <w:b/>
          <w:bCs/>
        </w:rPr>
        <w:t>r people in the U.K. and USA</w:t>
      </w:r>
    </w:p>
    <w:p w14:paraId="6B14F23E" w14:textId="77777777" w:rsidR="00F1004D" w:rsidRPr="007B6F28" w:rsidRDefault="005846FC" w:rsidP="007B6F28">
      <w:pPr>
        <w:spacing w:line="360" w:lineRule="auto"/>
        <w:ind w:firstLine="720"/>
        <w:rPr>
          <w:rFonts w:asciiTheme="minorBidi" w:hAnsiTheme="minorBidi"/>
          <w:bCs/>
        </w:rPr>
      </w:pPr>
      <w:r w:rsidRPr="007B6F28">
        <w:rPr>
          <w:rFonts w:asciiTheme="minorBidi" w:hAnsiTheme="minorBidi"/>
          <w:bCs/>
        </w:rPr>
        <w:t>The biological fact of aging has its rhythms and is mostly un</w:t>
      </w:r>
      <w:r w:rsidR="006E7A5B" w:rsidRPr="007B6F28">
        <w:rPr>
          <w:rFonts w:asciiTheme="minorBidi" w:hAnsiTheme="minorBidi"/>
          <w:bCs/>
        </w:rPr>
        <w:t xml:space="preserve">affected by human activity, the </w:t>
      </w:r>
      <w:r w:rsidRPr="007B6F28">
        <w:rPr>
          <w:rFonts w:asciiTheme="minorBidi" w:hAnsiTheme="minorBidi"/>
          <w:bCs/>
        </w:rPr>
        <w:t>methods by which each group defines old age also have an impact. Chronological time is essential in developed nations. The traditional definition of old age sets it between 60 and 65, which is when retirement ages take effect in most industrialized nations. In many developing countries, chronological time plays little to no part in determining old age. Other socially constructed definitions of age are more significant, such as the duties assigned to the elderly; in some instances, the loss of roles that comes along with physical decline is an essential factor in defining old age</w:t>
      </w:r>
      <w:r w:rsidR="00EF2C15" w:rsidRPr="007B6F28">
        <w:rPr>
          <w:rFonts w:asciiTheme="minorBidi" w:hAnsiTheme="minorBidi"/>
          <w:bCs/>
        </w:rPr>
        <w:t xml:space="preserve">. </w:t>
      </w:r>
      <w:r w:rsidR="00917480" w:rsidRPr="007B6F28">
        <w:rPr>
          <w:rFonts w:asciiTheme="minorBidi" w:hAnsiTheme="minorBidi"/>
          <w:bCs/>
        </w:rPr>
        <w:t>Barrientos et al (2003</w:t>
      </w:r>
      <w:r w:rsidRPr="007B6F28">
        <w:rPr>
          <w:rFonts w:asciiTheme="minorBidi" w:hAnsiTheme="minorBidi"/>
          <w:bCs/>
        </w:rPr>
        <w:t>) contends that other socially constructed definitions of age, such as the duties assigned to the el</w:t>
      </w:r>
      <w:r w:rsidR="006E7A5B" w:rsidRPr="007B6F28">
        <w:rPr>
          <w:rFonts w:asciiTheme="minorBidi" w:hAnsiTheme="minorBidi"/>
          <w:bCs/>
        </w:rPr>
        <w:t xml:space="preserve">derly, are more significant. In </w:t>
      </w:r>
      <w:r w:rsidRPr="007B6F28">
        <w:rPr>
          <w:rFonts w:asciiTheme="minorBidi" w:hAnsiTheme="minorBidi"/>
          <w:bCs/>
        </w:rPr>
        <w:t>some instances, the loss of responsibilities brought on by physical decline plays a critical role in defining old age.</w:t>
      </w:r>
    </w:p>
    <w:p w14:paraId="1D9E1ABA" w14:textId="77777777" w:rsidR="00C93AB7" w:rsidRPr="007B6F28" w:rsidRDefault="005846FC" w:rsidP="007B6F28">
      <w:pPr>
        <w:spacing w:line="360" w:lineRule="auto"/>
        <w:ind w:firstLine="720"/>
        <w:rPr>
          <w:rFonts w:asciiTheme="minorBidi" w:hAnsiTheme="minorBidi"/>
          <w:bCs/>
        </w:rPr>
      </w:pPr>
      <w:r w:rsidRPr="007B6F28">
        <w:rPr>
          <w:rFonts w:asciiTheme="minorBidi" w:hAnsiTheme="minorBidi"/>
          <w:bCs/>
        </w:rPr>
        <w:t>United Kingdom</w:t>
      </w:r>
      <w:r w:rsidR="00FB4E94" w:rsidRPr="007B6F28">
        <w:rPr>
          <w:rFonts w:asciiTheme="minorBidi" w:hAnsiTheme="minorBidi"/>
          <w:bCs/>
        </w:rPr>
        <w:t xml:space="preserve"> citizens are living longer than ever thanks to advances in healthcare. Over a fifth of the British population will be 65 or older within ten years, according to the Office of National Statistics' most current population overview</w:t>
      </w:r>
      <w:r w:rsidRPr="007B6F28">
        <w:rPr>
          <w:rFonts w:asciiTheme="minorBidi" w:hAnsiTheme="minorBidi"/>
          <w:bCs/>
        </w:rPr>
        <w:t xml:space="preserve"> of the U.K. Additionally, they are</w:t>
      </w:r>
      <w:r w:rsidR="00FB4E94" w:rsidRPr="007B6F28">
        <w:rPr>
          <w:rFonts w:asciiTheme="minorBidi" w:hAnsiTheme="minorBidi"/>
          <w:bCs/>
        </w:rPr>
        <w:t xml:space="preserve"> in better health thanks to the daily physical activity of around 64% of people in that same age range. The eradication of phrases like "elderly," "aged," and "senior," which they claim fail to reflect the content of diverse experiences and skills of older people and instead wrongly show older people as feeble, immobile, and demanding, is one of the goals of anti-ageism supporters' campaigns.</w:t>
      </w:r>
    </w:p>
    <w:p w14:paraId="5574221E" w14:textId="77777777" w:rsidR="00CD3996" w:rsidRPr="007B6F28" w:rsidRDefault="005846FC" w:rsidP="007B6F28">
      <w:pPr>
        <w:spacing w:line="360" w:lineRule="auto"/>
        <w:ind w:firstLine="720"/>
        <w:rPr>
          <w:rFonts w:asciiTheme="minorBidi" w:hAnsiTheme="minorBidi"/>
          <w:bCs/>
        </w:rPr>
      </w:pPr>
      <w:r w:rsidRPr="007B6F28">
        <w:rPr>
          <w:rFonts w:asciiTheme="minorBidi" w:hAnsiTheme="minorBidi"/>
          <w:bCs/>
        </w:rPr>
        <w:t>The World Factbook, published by the Central Intelligence Agency, estimates that 16% of Americans were 65 years of age or older (elderly) in 2018. In the United States, the senior population is increasing faster than any other age group. According to figures from the 2010 U.S. Census, the aged population increased by 15% between 2000 and 2010, compared to a 10% growth in the general population. By 2030, it is predicted that the old will make up around 20% of the country's population. For the ensuing ten years, 10,000 Americans every day will reach retirement age. As a result, the United States is experiencing one of its most significant demographic transitions.</w:t>
      </w:r>
    </w:p>
    <w:p w14:paraId="634DBCDA" w14:textId="77777777" w:rsidR="007826FA" w:rsidRPr="007B6F28" w:rsidRDefault="005846FC" w:rsidP="007B6F28">
      <w:pPr>
        <w:spacing w:line="360" w:lineRule="auto"/>
        <w:ind w:firstLine="720"/>
        <w:rPr>
          <w:rFonts w:asciiTheme="minorBidi" w:hAnsiTheme="minorBidi"/>
          <w:bCs/>
        </w:rPr>
      </w:pPr>
      <w:r w:rsidRPr="007B6F28">
        <w:rPr>
          <w:rFonts w:asciiTheme="minorBidi" w:hAnsiTheme="minorBidi"/>
          <w:bCs/>
        </w:rPr>
        <w:t>American</w:t>
      </w:r>
      <w:r w:rsidR="00FB4E94" w:rsidRPr="007B6F28">
        <w:rPr>
          <w:rFonts w:asciiTheme="minorBidi" w:hAnsiTheme="minorBidi"/>
          <w:bCs/>
        </w:rPr>
        <w:t>s over 65 comprise a varied population with various ages, socioeconomic statuses, life experiences, and lifestyles. In terms of time, health, and culture, the concept of an "older" individual is re</w:t>
      </w:r>
      <w:r w:rsidR="00862139" w:rsidRPr="007B6F28">
        <w:rPr>
          <w:rFonts w:asciiTheme="minorBidi" w:hAnsiTheme="minorBidi"/>
          <w:bCs/>
        </w:rPr>
        <w:t>lative (Valtorta &amp; Hanratty, 2012</w:t>
      </w:r>
      <w:r w:rsidR="00FB4E94" w:rsidRPr="007B6F28">
        <w:rPr>
          <w:rFonts w:asciiTheme="minorBidi" w:hAnsiTheme="minorBidi"/>
          <w:bCs/>
        </w:rPr>
        <w:t>). Distinct ages may be employed for specific reas</w:t>
      </w:r>
      <w:r w:rsidRPr="007B6F28">
        <w:rPr>
          <w:rFonts w:asciiTheme="minorBidi" w:hAnsiTheme="minorBidi"/>
          <w:bCs/>
        </w:rPr>
        <w:t>ons and need a clear definition. The</w:t>
      </w:r>
      <w:r w:rsidR="00FB4E94" w:rsidRPr="007B6F28">
        <w:rPr>
          <w:rFonts w:asciiTheme="minorBidi" w:hAnsiTheme="minorBidi"/>
          <w:bCs/>
        </w:rPr>
        <w:t xml:space="preserve"> sense of a reduced social network or the </w:t>
      </w:r>
      <w:r w:rsidR="00FB4E94" w:rsidRPr="007B6F28">
        <w:rPr>
          <w:rFonts w:asciiTheme="minorBidi" w:hAnsiTheme="minorBidi"/>
          <w:bCs/>
        </w:rPr>
        <w:lastRenderedPageBreak/>
        <w:t>absence of a specifically wanted companion is associated with the unpleasant sensation of loneliness (Luanaigh &amp; Lawlor, 2008). Even though there is not a universally recognized definition, writers have taken a complete approach and stated that social isolation is the absolute absence of social relationships and contact with family, friends, or the greater community.</w:t>
      </w:r>
    </w:p>
    <w:p w14:paraId="3852DCE0" w14:textId="77777777" w:rsidR="00F54965" w:rsidRPr="007B6F28" w:rsidRDefault="005846FC" w:rsidP="007B6F28">
      <w:pPr>
        <w:spacing w:line="360" w:lineRule="auto"/>
        <w:ind w:firstLine="720"/>
        <w:rPr>
          <w:rFonts w:asciiTheme="minorBidi" w:hAnsiTheme="minorBidi"/>
          <w:bCs/>
        </w:rPr>
      </w:pPr>
      <w:r w:rsidRPr="007B6F28">
        <w:rPr>
          <w:rFonts w:asciiTheme="minorBidi" w:hAnsiTheme="minorBidi"/>
          <w:bCs/>
        </w:rPr>
        <w:t>Risk factors for social isolation and loneliness among older adults include family dispersion, declining mobility and income, the loss of loved ones, poor health, and loneliness. According to Freak-Poli et al. (2022), societal change has also contributed to the growth in the percentage of older persons who report feeling lonely. Examples include a decline in intergenerational cohabitation, an increase in regional mobility, and a drop in cohesive groupings. Because of advancements in public health, medical technology, and cleanliness, people over 60 now die at an older average age. By 2030, this population is anticipated to grow by 56%, from 901 million to 1.4 billion. Healthy life expectancy is below average, and the problem has gotten worse as loneliness has increased.</w:t>
      </w:r>
    </w:p>
    <w:p w14:paraId="5DF04382" w14:textId="77777777" w:rsidR="00F82EC3" w:rsidRPr="007B6F28" w:rsidRDefault="005846FC" w:rsidP="007B6F28">
      <w:pPr>
        <w:pStyle w:val="Heading2"/>
        <w:spacing w:line="360" w:lineRule="auto"/>
        <w:rPr>
          <w:rFonts w:asciiTheme="minorBidi" w:hAnsiTheme="minorBidi" w:cstheme="minorBidi"/>
          <w:b/>
          <w:color w:val="000000" w:themeColor="text1"/>
          <w:sz w:val="22"/>
          <w:szCs w:val="22"/>
        </w:rPr>
      </w:pPr>
      <w:bookmarkStart w:id="1" w:name="_Toc120014467"/>
      <w:r w:rsidRPr="007B6F28">
        <w:rPr>
          <w:rFonts w:asciiTheme="minorBidi" w:hAnsiTheme="minorBidi" w:cstheme="minorBidi"/>
          <w:b/>
          <w:color w:val="000000" w:themeColor="text1"/>
          <w:sz w:val="22"/>
          <w:szCs w:val="22"/>
        </w:rPr>
        <w:t>Statistics</w:t>
      </w:r>
      <w:bookmarkEnd w:id="1"/>
    </w:p>
    <w:p w14:paraId="655AACAA" w14:textId="77777777" w:rsidR="00977E19" w:rsidRPr="007B6F28" w:rsidRDefault="005846FC" w:rsidP="007B6F28">
      <w:pPr>
        <w:spacing w:line="360" w:lineRule="auto"/>
        <w:rPr>
          <w:rFonts w:asciiTheme="minorBidi" w:hAnsiTheme="minorBidi"/>
          <w:bCs/>
        </w:rPr>
      </w:pPr>
      <w:r w:rsidRPr="007B6F28">
        <w:rPr>
          <w:rFonts w:asciiTheme="minorBidi" w:hAnsiTheme="minorBidi"/>
          <w:bCs/>
        </w:rPr>
        <w:t xml:space="preserve">In the United States, the population is aging. According to </w:t>
      </w:r>
      <w:r w:rsidR="001A3AF5" w:rsidRPr="007B6F28">
        <w:rPr>
          <w:rFonts w:asciiTheme="minorBidi" w:hAnsiTheme="minorBidi"/>
          <w:bCs/>
        </w:rPr>
        <w:t xml:space="preserve">National Center for Health </w:t>
      </w:r>
      <w:r w:rsidR="004C3BA7" w:rsidRPr="007B6F28">
        <w:rPr>
          <w:rFonts w:asciiTheme="minorBidi" w:hAnsiTheme="minorBidi"/>
          <w:bCs/>
        </w:rPr>
        <w:t>Statistics (2018)</w:t>
      </w:r>
      <w:r w:rsidRPr="007B6F28">
        <w:rPr>
          <w:rFonts w:asciiTheme="minorBidi" w:hAnsiTheme="minorBidi"/>
          <w:bCs/>
        </w:rPr>
        <w:t>, approximately 81 million persons in the U.S. will be 65 or older by 2040, up from 54 million in 2019. The country's need for healthcare services increases as it gets older. However, fewer healthcare workers are available to look after this aging population. According to a September 2021 study by the American Health Care Association and National Center for Assisted Living, 59% of nursing facilities had severe staffing shortages. Wearable gadgets, augmented reality (A.R.), virtual reality (V.R.), and Internet of Things-connected devices can assist healthcare practitioners in monitoring and treating patients more efficiently while low</w:t>
      </w:r>
      <w:r w:rsidR="001A3AF5" w:rsidRPr="007B6F28">
        <w:rPr>
          <w:rFonts w:asciiTheme="minorBidi" w:hAnsiTheme="minorBidi"/>
          <w:bCs/>
        </w:rPr>
        <w:t>ering the demands on doctors</w:t>
      </w:r>
      <w:r w:rsidR="00FB4E94" w:rsidRPr="007B6F28">
        <w:rPr>
          <w:rFonts w:asciiTheme="minorBidi" w:hAnsiTheme="minorBidi"/>
          <w:bCs/>
        </w:rPr>
        <w:t>.</w:t>
      </w:r>
    </w:p>
    <w:p w14:paraId="629ED8D0" w14:textId="77777777" w:rsidR="00E80686" w:rsidRPr="007B6F28" w:rsidRDefault="005846FC" w:rsidP="007B6F28">
      <w:pPr>
        <w:spacing w:line="360" w:lineRule="auto"/>
        <w:rPr>
          <w:rFonts w:asciiTheme="minorBidi" w:hAnsiTheme="minorBidi"/>
          <w:bCs/>
        </w:rPr>
      </w:pPr>
      <w:r w:rsidRPr="007B6F28">
        <w:rPr>
          <w:rFonts w:asciiTheme="minorBidi" w:hAnsiTheme="minorBidi"/>
          <w:bCs/>
        </w:rPr>
        <w:t>The process of maximizing possibilities for health, participation, and security to improve quality of life as individuals age is known as "active aging," according to the WHO. It emphasizes fostering people's continued participation in "social, economic, cultural, spiritual, and civic issues" and sustaining physical function. To help with this, concerted efforts are needed to make it easier for older people to access local services and amenities and to lessen their social isolation. Nearly half of all adults aged 75 and over live alone, and 17% of older people are projected to communicate with family, friends, and neighbors fewer than once each week. Loneliness and social isolation are related; in the U.K., 10% of adults over 65 say they experience loneliness frequently or consistently.</w:t>
      </w:r>
    </w:p>
    <w:p w14:paraId="51F37AAE" w14:textId="04B640ED" w:rsidR="007B6F28" w:rsidRPr="007B6F28" w:rsidRDefault="005846FC" w:rsidP="007B6F28">
      <w:pPr>
        <w:pStyle w:val="Heading1"/>
        <w:spacing w:line="360" w:lineRule="auto"/>
        <w:rPr>
          <w:rFonts w:asciiTheme="minorBidi" w:hAnsiTheme="minorBidi" w:cstheme="minorBidi"/>
          <w:b/>
          <w:color w:val="000000" w:themeColor="text1"/>
          <w:sz w:val="22"/>
          <w:szCs w:val="22"/>
        </w:rPr>
      </w:pPr>
      <w:bookmarkStart w:id="2" w:name="_Toc120014468"/>
      <w:r w:rsidRPr="007B6F28">
        <w:rPr>
          <w:rFonts w:asciiTheme="minorBidi" w:hAnsiTheme="minorBidi" w:cstheme="minorBidi"/>
          <w:b/>
          <w:color w:val="000000" w:themeColor="text1"/>
          <w:sz w:val="22"/>
          <w:szCs w:val="22"/>
        </w:rPr>
        <w:lastRenderedPageBreak/>
        <w:t>Theories of Loneliness and Isolation</w:t>
      </w:r>
      <w:bookmarkEnd w:id="2"/>
    </w:p>
    <w:p w14:paraId="5FC5618D" w14:textId="77777777" w:rsidR="00935083" w:rsidRPr="007B6F28" w:rsidRDefault="005846FC" w:rsidP="007B6F28">
      <w:pPr>
        <w:pStyle w:val="Heading2"/>
        <w:spacing w:line="360" w:lineRule="auto"/>
        <w:rPr>
          <w:rFonts w:asciiTheme="minorBidi" w:hAnsiTheme="minorBidi" w:cstheme="minorBidi"/>
          <w:b/>
          <w:color w:val="000000" w:themeColor="text1"/>
          <w:sz w:val="22"/>
          <w:szCs w:val="22"/>
        </w:rPr>
      </w:pPr>
      <w:bookmarkStart w:id="3" w:name="_Toc120014469"/>
      <w:r w:rsidRPr="007B6F28">
        <w:rPr>
          <w:rFonts w:asciiTheme="minorBidi" w:hAnsiTheme="minorBidi" w:cstheme="minorBidi"/>
          <w:b/>
          <w:color w:val="000000" w:themeColor="text1"/>
          <w:sz w:val="22"/>
          <w:szCs w:val="22"/>
        </w:rPr>
        <w:t>Cognitive Approach</w:t>
      </w:r>
      <w:bookmarkEnd w:id="3"/>
    </w:p>
    <w:p w14:paraId="323C5A88" w14:textId="77777777" w:rsidR="00AF72A9" w:rsidRPr="007B6F28" w:rsidRDefault="005846FC" w:rsidP="007B6F28">
      <w:pPr>
        <w:spacing w:line="360" w:lineRule="auto"/>
        <w:rPr>
          <w:rFonts w:asciiTheme="minorBidi" w:hAnsiTheme="minorBidi"/>
          <w:bCs/>
        </w:rPr>
      </w:pPr>
      <w:r w:rsidRPr="007B6F28">
        <w:rPr>
          <w:rFonts w:asciiTheme="minorBidi" w:hAnsiTheme="minorBidi"/>
          <w:bCs/>
        </w:rPr>
        <w:t xml:space="preserve">Although loneliness has long been an aspect of life, psychological research on it has only recently become a focus. </w:t>
      </w:r>
      <w:r w:rsidR="00776EDB" w:rsidRPr="007B6F28">
        <w:rPr>
          <w:rFonts w:asciiTheme="minorBidi" w:hAnsiTheme="minorBidi"/>
          <w:bCs/>
        </w:rPr>
        <w:t>T</w:t>
      </w:r>
      <w:r w:rsidRPr="007B6F28">
        <w:rPr>
          <w:rFonts w:asciiTheme="minorBidi" w:hAnsiTheme="minorBidi"/>
          <w:bCs/>
        </w:rPr>
        <w:t>he</w:t>
      </w:r>
      <w:r w:rsidR="00776EDB" w:rsidRPr="007B6F28">
        <w:rPr>
          <w:rFonts w:asciiTheme="minorBidi" w:hAnsiTheme="minorBidi"/>
          <w:bCs/>
        </w:rPr>
        <w:t xml:space="preserve"> cognitive</w:t>
      </w:r>
      <w:r w:rsidRPr="007B6F28">
        <w:rPr>
          <w:rFonts w:asciiTheme="minorBidi" w:hAnsiTheme="minorBidi"/>
          <w:bCs/>
        </w:rPr>
        <w:t xml:space="preserve"> approach's most notable feature is the focus on cognition mediating between a lack of sociability and a sense of loneliness. According to the cognitive method, loneliness arises when a person notices a difference between two factors: their desired and actual level of social contact.</w:t>
      </w:r>
    </w:p>
    <w:p w14:paraId="5069EAFF" w14:textId="77777777" w:rsidR="00935083" w:rsidRPr="007B6F28" w:rsidRDefault="005846FC" w:rsidP="007B6F28">
      <w:pPr>
        <w:pStyle w:val="Heading2"/>
        <w:spacing w:line="360" w:lineRule="auto"/>
        <w:rPr>
          <w:rFonts w:asciiTheme="minorBidi" w:hAnsiTheme="minorBidi" w:cstheme="minorBidi"/>
          <w:b/>
          <w:color w:val="000000" w:themeColor="text1"/>
          <w:sz w:val="22"/>
          <w:szCs w:val="22"/>
        </w:rPr>
      </w:pPr>
      <w:bookmarkStart w:id="4" w:name="_Toc120014470"/>
      <w:r w:rsidRPr="007B6F28">
        <w:rPr>
          <w:rFonts w:asciiTheme="minorBidi" w:hAnsiTheme="minorBidi" w:cstheme="minorBidi"/>
          <w:b/>
          <w:color w:val="000000" w:themeColor="text1"/>
          <w:sz w:val="22"/>
          <w:szCs w:val="22"/>
        </w:rPr>
        <w:t>Privacy Approach</w:t>
      </w:r>
      <w:bookmarkEnd w:id="4"/>
      <w:r w:rsidRPr="007B6F28">
        <w:rPr>
          <w:rFonts w:asciiTheme="minorBidi" w:hAnsiTheme="minorBidi" w:cstheme="minorBidi"/>
          <w:b/>
          <w:color w:val="000000" w:themeColor="text1"/>
          <w:sz w:val="22"/>
          <w:szCs w:val="22"/>
        </w:rPr>
        <w:t xml:space="preserve"> </w:t>
      </w:r>
    </w:p>
    <w:p w14:paraId="0A691F71" w14:textId="77777777" w:rsidR="00185E6E" w:rsidRPr="007B6F28" w:rsidRDefault="005846FC" w:rsidP="007B6F28">
      <w:pPr>
        <w:spacing w:line="360" w:lineRule="auto"/>
        <w:rPr>
          <w:rFonts w:asciiTheme="minorBidi" w:hAnsiTheme="minorBidi"/>
          <w:bCs/>
        </w:rPr>
      </w:pPr>
      <w:r w:rsidRPr="007B6F28">
        <w:rPr>
          <w:rFonts w:asciiTheme="minorBidi" w:hAnsiTheme="minorBidi"/>
          <w:bCs/>
        </w:rPr>
        <w:t>Margulis (2003) approaches loneliness through a privacy and self-disclosure lens. They explained how social connections to aid in reaching a variety of objectives. According to this theory, loneliness results from the lack of a suitable social partner who could aid in the accomplishment of objectives. When interpersonal relationships lack the privacy necessary for open dialogue, loneliness is likely to result. The privacy method is predicated on the idea that people try to balance their intended and actual levels of social engagement. Instead of clinical work or study, a prior theory is a primary inspiration for Margulis' views. They imply that loneliness is a common experience shared by a large society.</w:t>
      </w:r>
      <w:r w:rsidR="00031811" w:rsidRPr="007B6F28">
        <w:rPr>
          <w:rFonts w:asciiTheme="minorBidi" w:hAnsiTheme="minorBidi"/>
          <w:bCs/>
        </w:rPr>
        <w:t xml:space="preserve"> The attention to continuous balancing desired and achieved levels of contact places emphasis on the contemporary determinants of loneliness.</w:t>
      </w:r>
    </w:p>
    <w:p w14:paraId="7DE7ED9E" w14:textId="77777777" w:rsidR="009250EA" w:rsidRPr="007B6F28" w:rsidRDefault="005846FC" w:rsidP="007B6F28">
      <w:pPr>
        <w:pStyle w:val="Heading1"/>
        <w:spacing w:line="360" w:lineRule="auto"/>
        <w:rPr>
          <w:rFonts w:asciiTheme="minorBidi" w:hAnsiTheme="minorBidi" w:cstheme="minorBidi"/>
          <w:b/>
          <w:color w:val="000000" w:themeColor="text1"/>
          <w:sz w:val="22"/>
          <w:szCs w:val="22"/>
        </w:rPr>
      </w:pPr>
      <w:bookmarkStart w:id="5" w:name="_Toc120014471"/>
      <w:r w:rsidRPr="007B6F28">
        <w:rPr>
          <w:rFonts w:asciiTheme="minorBidi" w:hAnsiTheme="minorBidi" w:cstheme="minorBidi"/>
          <w:b/>
          <w:color w:val="000000" w:themeColor="text1"/>
          <w:sz w:val="22"/>
          <w:szCs w:val="22"/>
        </w:rPr>
        <w:t>COMPARISON BETWEEN TWO COUNTRIES</w:t>
      </w:r>
      <w:bookmarkEnd w:id="5"/>
    </w:p>
    <w:p w14:paraId="4593AFBF" w14:textId="77777777" w:rsidR="00490723" w:rsidRPr="007B6F28" w:rsidRDefault="005846FC" w:rsidP="007B6F28">
      <w:pPr>
        <w:pStyle w:val="Heading2"/>
        <w:spacing w:line="360" w:lineRule="auto"/>
        <w:rPr>
          <w:rFonts w:asciiTheme="minorBidi" w:hAnsiTheme="minorBidi" w:cstheme="minorBidi"/>
          <w:b/>
          <w:color w:val="000000" w:themeColor="text1"/>
          <w:sz w:val="22"/>
          <w:szCs w:val="22"/>
        </w:rPr>
      </w:pPr>
      <w:bookmarkStart w:id="6" w:name="_Toc120014472"/>
      <w:r w:rsidRPr="007B6F28">
        <w:rPr>
          <w:rFonts w:asciiTheme="minorBidi" w:hAnsiTheme="minorBidi" w:cstheme="minorBidi"/>
          <w:b/>
          <w:color w:val="000000" w:themeColor="text1"/>
          <w:sz w:val="22"/>
          <w:szCs w:val="22"/>
        </w:rPr>
        <w:t>Effects of isolation and loneliness on older people.</w:t>
      </w:r>
      <w:bookmarkEnd w:id="6"/>
    </w:p>
    <w:p w14:paraId="4DCA1B36" w14:textId="77777777" w:rsidR="00433D07" w:rsidRPr="007B6F28" w:rsidRDefault="005846FC" w:rsidP="007B6F28">
      <w:pPr>
        <w:spacing w:line="360" w:lineRule="auto"/>
        <w:ind w:firstLine="720"/>
        <w:rPr>
          <w:rFonts w:asciiTheme="minorBidi" w:hAnsiTheme="minorBidi"/>
          <w:bCs/>
        </w:rPr>
      </w:pPr>
      <w:r w:rsidRPr="007B6F28">
        <w:rPr>
          <w:rFonts w:asciiTheme="minorBidi" w:hAnsiTheme="minorBidi"/>
          <w:bCs/>
        </w:rPr>
        <w:t xml:space="preserve">A sizeable segment of the older adult population </w:t>
      </w:r>
      <w:r w:rsidR="006D2374" w:rsidRPr="007B6F28">
        <w:rPr>
          <w:rFonts w:asciiTheme="minorBidi" w:hAnsiTheme="minorBidi"/>
          <w:bCs/>
        </w:rPr>
        <w:t xml:space="preserve">in USA </w:t>
      </w:r>
      <w:r w:rsidRPr="007B6F28">
        <w:rPr>
          <w:rFonts w:asciiTheme="minorBidi" w:hAnsiTheme="minorBidi"/>
          <w:bCs/>
        </w:rPr>
        <w:t>is at risk from substantial yet unrecognized public health issues such as social isolation and loneliness</w:t>
      </w:r>
      <w:r w:rsidR="006D2374" w:rsidRPr="007B6F28">
        <w:rPr>
          <w:rFonts w:asciiTheme="minorBidi" w:hAnsiTheme="minorBidi"/>
          <w:bCs/>
        </w:rPr>
        <w:t xml:space="preserve"> (Stokes et al.,</w:t>
      </w:r>
      <w:r w:rsidR="00671C45" w:rsidRPr="007B6F28">
        <w:rPr>
          <w:rFonts w:asciiTheme="minorBidi" w:hAnsiTheme="minorBidi"/>
          <w:bCs/>
        </w:rPr>
        <w:t xml:space="preserve"> </w:t>
      </w:r>
      <w:r w:rsidR="006D2374" w:rsidRPr="007B6F28">
        <w:rPr>
          <w:rFonts w:asciiTheme="minorBidi" w:hAnsiTheme="minorBidi"/>
          <w:bCs/>
        </w:rPr>
        <w:t>2021).</w:t>
      </w:r>
      <w:r w:rsidRPr="007B6F28">
        <w:rPr>
          <w:rFonts w:asciiTheme="minorBidi" w:hAnsiTheme="minorBidi"/>
          <w:bCs/>
        </w:rPr>
        <w:t xml:space="preserve"> A considerable fraction of Americans report feeling lonely, and one-quarter of community-dwelling seniors 65 and older are socially isolated. Living alone, losing friends or family, having a chronic disease, and having sensory impairments are just a few risk factors that can lead to or worsen social isolation or loneliness in people 50 years of age or older</w:t>
      </w:r>
      <w:r w:rsidR="00AE71E3" w:rsidRPr="007B6F28">
        <w:rPr>
          <w:rFonts w:asciiTheme="minorBidi" w:hAnsiTheme="minorBidi"/>
          <w:bCs/>
        </w:rPr>
        <w:t xml:space="preserve"> (Singh &amp; Kiran, 2013)</w:t>
      </w:r>
      <w:r w:rsidRPr="007B6F28">
        <w:rPr>
          <w:rFonts w:asciiTheme="minorBidi" w:hAnsiTheme="minorBidi"/>
          <w:bCs/>
        </w:rPr>
        <w:t>. Depending on a person's circumstances and perspectives, social isolation and loneliness may be episodic or chronic for a lifetime.</w:t>
      </w:r>
    </w:p>
    <w:p w14:paraId="5D82C4E0" w14:textId="77777777" w:rsidR="00DD1B03" w:rsidRPr="007B6F28" w:rsidRDefault="005846FC" w:rsidP="007B6F28">
      <w:pPr>
        <w:spacing w:line="360" w:lineRule="auto"/>
        <w:ind w:firstLine="720"/>
        <w:rPr>
          <w:rFonts w:asciiTheme="minorBidi" w:hAnsiTheme="minorBidi"/>
          <w:bCs/>
        </w:rPr>
      </w:pPr>
      <w:r w:rsidRPr="007B6F28">
        <w:rPr>
          <w:rFonts w:asciiTheme="minorBidi" w:hAnsiTheme="minorBidi"/>
          <w:bCs/>
        </w:rPr>
        <w:t xml:space="preserve">Many older adults experience social isolation and loneliness, which are substantial yet overlooked public health consequences. In the United States, a sizable percentage of individuals report feeling lonely, and around one-fourth of community-dwelling Americans, 65 and older, are considered socially isolated. Living alone, losing friends or family, having a </w:t>
      </w:r>
      <w:r w:rsidRPr="007B6F28">
        <w:rPr>
          <w:rFonts w:asciiTheme="minorBidi" w:hAnsiTheme="minorBidi"/>
          <w:bCs/>
        </w:rPr>
        <w:lastRenderedPageBreak/>
        <w:t>chronic disease, and having sensory impairments are just a few risk factors that are more common in people 50 or older and can lead to or worsen social isolation or loneliness. Social isolation and loneliness may be episodic or chronic depending on a person's circumstances and perspectives.</w:t>
      </w:r>
    </w:p>
    <w:p w14:paraId="7CC7B28B" w14:textId="77777777" w:rsidR="00635D22" w:rsidRPr="007B6F28" w:rsidRDefault="005846FC" w:rsidP="007B6F28">
      <w:pPr>
        <w:spacing w:line="360" w:lineRule="auto"/>
        <w:ind w:firstLine="720"/>
        <w:rPr>
          <w:rFonts w:asciiTheme="minorBidi" w:hAnsiTheme="minorBidi"/>
          <w:bCs/>
        </w:rPr>
      </w:pPr>
      <w:r w:rsidRPr="007B6F28">
        <w:rPr>
          <w:rFonts w:asciiTheme="minorBidi" w:hAnsiTheme="minorBidi"/>
          <w:bCs/>
        </w:rPr>
        <w:t xml:space="preserve">According to a large body of research, social isolation is a significant risk factor for early mortality, on par with other risk factors like high blood pressure, smoking, or obesity. Healthcare workers have the chance to recognize, prevent, and lessen the adverse health effects of social isolation and loneliness in older persons since they utilize the healthcare system particularly often and in large volume. </w:t>
      </w:r>
      <w:r w:rsidR="00344DA9" w:rsidRPr="007B6F28">
        <w:rPr>
          <w:rFonts w:asciiTheme="minorBidi" w:hAnsiTheme="minorBidi"/>
          <w:bCs/>
        </w:rPr>
        <w:t>(M</w:t>
      </w:r>
      <w:r w:rsidR="00FC07E7" w:rsidRPr="007B6F28">
        <w:rPr>
          <w:rFonts w:asciiTheme="minorBidi" w:hAnsiTheme="minorBidi"/>
          <w:bCs/>
        </w:rPr>
        <w:t xml:space="preserve">cIntosh &amp; Phillips, 2003). </w:t>
      </w:r>
      <w:r w:rsidRPr="007B6F28">
        <w:rPr>
          <w:rFonts w:asciiTheme="minorBidi" w:hAnsiTheme="minorBidi"/>
          <w:bCs/>
        </w:rPr>
        <w:t xml:space="preserve">Explicitly focusing on low-income, disadvantaged, and vulnerable groups, Social Isolation and Loneliness in Older Persons summarizes the data and investigates how social isolation and loneliness impact health and quality of life in adults 50 and older. </w:t>
      </w:r>
    </w:p>
    <w:p w14:paraId="1419714A" w14:textId="77777777" w:rsidR="00806965" w:rsidRPr="007B6F28" w:rsidRDefault="005846FC" w:rsidP="007B6F28">
      <w:pPr>
        <w:spacing w:line="360" w:lineRule="auto"/>
        <w:ind w:firstLine="720"/>
        <w:rPr>
          <w:rFonts w:asciiTheme="minorBidi" w:hAnsiTheme="minorBidi"/>
          <w:bCs/>
        </w:rPr>
      </w:pPr>
      <w:r w:rsidRPr="007B6F28">
        <w:rPr>
          <w:rFonts w:asciiTheme="minorBidi" w:hAnsiTheme="minorBidi"/>
          <w:bCs/>
        </w:rPr>
        <w:t>In order to identify persons who experience the adverse health effects of social isolation and loneliness and to target treatments to enhance their social circumstances, this research presents suggestions primarily for clinical settings of health care. Social Isolation and Loneliness in Older Adults take into account clinical methodologies, improved healthcare workforce education and training, dissemination, and implementation that will be crucial for putting research into practice, particularly as the evidence for successful interventions keeps growing (</w:t>
      </w:r>
      <w:r w:rsidR="006D2374" w:rsidRPr="007B6F28">
        <w:rPr>
          <w:rFonts w:asciiTheme="minorBidi" w:hAnsiTheme="minorBidi"/>
          <w:bCs/>
        </w:rPr>
        <w:t>Finlay &amp; Kobayashi, 2018.</w:t>
      </w:r>
      <w:r w:rsidR="007A7865" w:rsidRPr="007B6F28">
        <w:rPr>
          <w:rFonts w:asciiTheme="minorBidi" w:hAnsiTheme="minorBidi"/>
          <w:bCs/>
        </w:rPr>
        <w:t>)</w:t>
      </w:r>
      <w:r w:rsidR="00FB4E94" w:rsidRPr="007B6F28">
        <w:rPr>
          <w:rFonts w:asciiTheme="minorBidi" w:hAnsiTheme="minorBidi"/>
          <w:bCs/>
        </w:rPr>
        <w:t xml:space="preserve">. </w:t>
      </w:r>
    </w:p>
    <w:p w14:paraId="2F1BE1DA" w14:textId="77777777" w:rsidR="00635D22" w:rsidRPr="007B6F28" w:rsidRDefault="005846FC" w:rsidP="007B6F28">
      <w:pPr>
        <w:spacing w:line="360" w:lineRule="auto"/>
        <w:ind w:firstLine="720"/>
        <w:rPr>
          <w:rFonts w:asciiTheme="minorBidi" w:hAnsiTheme="minorBidi"/>
          <w:bCs/>
        </w:rPr>
      </w:pPr>
      <w:r w:rsidRPr="007B6F28">
        <w:rPr>
          <w:rFonts w:asciiTheme="minorBidi" w:hAnsiTheme="minorBidi"/>
          <w:bCs/>
        </w:rPr>
        <w:t>Explicitly focusing on low-income, disadvantaged, and vulnerable groups, Social Isolation and Loneliness in Older Persons summarizes the data and investigates how social isolation and loneliness impact health and quality of life in adults 50 and older. In order to identify persons who experience the adverse health effects of social isolation and loneliness and to target treatments to enhance their social circumstances, this research presents suggestions primarily for clinical settings of health care. Social Isolation and Loneliness in Older Adults take into account clinical methodologies, improved healthcare workforce education and training, dissemination, and implementation that will be crucial for putting research into practice, particularly as the evidence for successful interventions keeps growing.</w:t>
      </w:r>
    </w:p>
    <w:p w14:paraId="5BB423FD" w14:textId="77777777" w:rsidR="00344DA9" w:rsidRPr="007B6F28" w:rsidRDefault="005846FC" w:rsidP="007B6F28">
      <w:pPr>
        <w:spacing w:line="360" w:lineRule="auto"/>
        <w:ind w:firstLine="720"/>
        <w:rPr>
          <w:rFonts w:asciiTheme="minorBidi" w:hAnsiTheme="minorBidi"/>
          <w:bCs/>
        </w:rPr>
      </w:pPr>
      <w:r w:rsidRPr="007B6F28">
        <w:rPr>
          <w:rFonts w:asciiTheme="minorBidi" w:hAnsiTheme="minorBidi"/>
          <w:bCs/>
        </w:rPr>
        <w:t xml:space="preserve">The U.K. promotes a life course approach to aging since it is crucial to understand that an individual's general health substantially influences their health as they age (WHO, 2008). This is impacted by the cumulative effects of the social, economic, and environmental contexts in which individuals are born, grow, work, live, and age. Dementia, diabetes, and cardiovascular </w:t>
      </w:r>
      <w:r w:rsidRPr="007B6F28">
        <w:rPr>
          <w:rFonts w:asciiTheme="minorBidi" w:hAnsiTheme="minorBidi"/>
          <w:bCs/>
        </w:rPr>
        <w:lastRenderedPageBreak/>
        <w:t>disease are just a few long-term health disorders that regularly affect older people and can be affected by exposure to various modifiable risk factors. Exposure to these risk factors increases throughout a person's life, and these circumstances may significantly change this exposure. Therefore, it is essential to think of healthy aging as an active process that starts even before birth and involves supporting people to keep their health throughout their lives.</w:t>
      </w:r>
    </w:p>
    <w:p w14:paraId="28D578CE" w14:textId="77777777" w:rsidR="00EF62E2" w:rsidRPr="007B6F28" w:rsidRDefault="005846FC" w:rsidP="007B6F28">
      <w:pPr>
        <w:spacing w:line="360" w:lineRule="auto"/>
        <w:ind w:firstLine="720"/>
        <w:rPr>
          <w:rFonts w:asciiTheme="minorBidi" w:hAnsiTheme="minorBidi"/>
          <w:bCs/>
        </w:rPr>
      </w:pPr>
      <w:r w:rsidRPr="007B6F28">
        <w:rPr>
          <w:rFonts w:asciiTheme="minorBidi" w:hAnsiTheme="minorBidi"/>
          <w:bCs/>
        </w:rPr>
        <w:t>Despite recent overall gains, there are still large socioeconomic gradients in life expectancy and healthy life expectancy across the U.K. For example, those in England's least disadvant</w:t>
      </w:r>
      <w:r w:rsidR="00C97635" w:rsidRPr="007B6F28">
        <w:rPr>
          <w:rFonts w:asciiTheme="minorBidi" w:hAnsiTheme="minorBidi"/>
          <w:bCs/>
        </w:rPr>
        <w:t>aged areas may expect to live 7.</w:t>
      </w:r>
      <w:r w:rsidRPr="007B6F28">
        <w:rPr>
          <w:rFonts w:asciiTheme="minorBidi" w:hAnsiTheme="minorBidi"/>
          <w:bCs/>
        </w:rPr>
        <w:t>9 years longer and keep their health for 16 years longer than those in its most disadvantaged places. A social and economic policy that tackles the socioeconomic determinants of health must be implemented to eliminate health disparities. This illustrates how little healthcare has influenced an individual's general health, which is governed mainly by variables outside of a doctor's clinical control.</w:t>
      </w:r>
      <w:r w:rsidR="005A050E" w:rsidRPr="007B6F28">
        <w:rPr>
          <w:rFonts w:asciiTheme="minorBidi" w:hAnsiTheme="minorBidi"/>
          <w:bCs/>
        </w:rPr>
        <w:t xml:space="preserve"> </w:t>
      </w:r>
      <w:r w:rsidRPr="007B6F28">
        <w:rPr>
          <w:rFonts w:asciiTheme="minorBidi" w:hAnsiTheme="minorBidi"/>
          <w:bCs/>
        </w:rPr>
        <w:t>Action on</w:t>
      </w:r>
      <w:r w:rsidR="00094031" w:rsidRPr="007B6F28">
        <w:rPr>
          <w:rFonts w:asciiTheme="minorBidi" w:hAnsiTheme="minorBidi"/>
          <w:bCs/>
        </w:rPr>
        <w:t xml:space="preserve"> lowering health disparities increases chances for people to contribute positively, whether through work, volunteering, or carrying out caring obligations as they get older and can stay healthier for longer. </w:t>
      </w:r>
    </w:p>
    <w:p w14:paraId="20882CC9" w14:textId="260BFE59" w:rsidR="00094031" w:rsidRPr="007B6F28" w:rsidRDefault="005846FC" w:rsidP="007B6F28">
      <w:pPr>
        <w:spacing w:line="360" w:lineRule="auto"/>
        <w:ind w:firstLine="720"/>
        <w:rPr>
          <w:rFonts w:asciiTheme="minorBidi" w:hAnsiTheme="minorBidi"/>
          <w:bCs/>
        </w:rPr>
      </w:pPr>
      <w:r w:rsidRPr="007B6F28">
        <w:rPr>
          <w:rFonts w:asciiTheme="minorBidi" w:hAnsiTheme="minorBidi"/>
          <w:bCs/>
        </w:rPr>
        <w:t>The detrimental consequences of loneliness and social exclusion on older people's quality of life and mental health underline the necessity of locating and eliminating barriers to their social inclusion. According to Mackett</w:t>
      </w:r>
      <w:r w:rsidR="00986FD2" w:rsidRPr="007B6F28">
        <w:rPr>
          <w:rFonts w:asciiTheme="minorBidi" w:hAnsiTheme="minorBidi"/>
          <w:bCs/>
        </w:rPr>
        <w:t xml:space="preserve"> </w:t>
      </w:r>
      <w:r w:rsidRPr="007B6F28">
        <w:rPr>
          <w:rFonts w:asciiTheme="minorBidi" w:hAnsiTheme="minorBidi"/>
          <w:bCs/>
        </w:rPr>
        <w:t xml:space="preserve">(2015), older persons make significant economic contributions to the U.K. through work, unpaid caring, </w:t>
      </w:r>
      <w:r w:rsidR="007B6F28" w:rsidRPr="007B6F28">
        <w:rPr>
          <w:rFonts w:asciiTheme="minorBidi" w:hAnsiTheme="minorBidi"/>
          <w:bCs/>
        </w:rPr>
        <w:t>childcare</w:t>
      </w:r>
      <w:r w:rsidRPr="007B6F28">
        <w:rPr>
          <w:rFonts w:asciiTheme="minorBidi" w:hAnsiTheme="minorBidi"/>
          <w:bCs/>
        </w:rPr>
        <w:t>, and volunteering. In each of the U.K.'s four countries, 10% or less of those over 65 are employed. Many words connected to getting older might have varied meanings depending on the situation. While "aging" generally refers to getting older, it can also be understood as a biological or chronological process.</w:t>
      </w:r>
    </w:p>
    <w:p w14:paraId="232AEC78" w14:textId="77777777" w:rsidR="00D41153" w:rsidRPr="007B6F28" w:rsidRDefault="005846FC" w:rsidP="007B6F28">
      <w:pPr>
        <w:pStyle w:val="Heading2"/>
        <w:spacing w:line="360" w:lineRule="auto"/>
        <w:rPr>
          <w:rFonts w:asciiTheme="minorBidi" w:hAnsiTheme="minorBidi" w:cstheme="minorBidi"/>
          <w:b/>
          <w:color w:val="000000" w:themeColor="text1"/>
          <w:sz w:val="22"/>
          <w:szCs w:val="22"/>
        </w:rPr>
      </w:pPr>
      <w:bookmarkStart w:id="7" w:name="_Toc120014473"/>
      <w:r w:rsidRPr="007B6F28">
        <w:rPr>
          <w:rFonts w:asciiTheme="minorBidi" w:hAnsiTheme="minorBidi" w:cstheme="minorBidi"/>
          <w:b/>
          <w:color w:val="000000" w:themeColor="text1"/>
          <w:sz w:val="22"/>
          <w:szCs w:val="22"/>
        </w:rPr>
        <w:t>Technology for the provision of care provided to lonely older persons.</w:t>
      </w:r>
      <w:bookmarkEnd w:id="7"/>
    </w:p>
    <w:p w14:paraId="40BE7C14" w14:textId="77777777" w:rsidR="005A050E" w:rsidRPr="007B6F28" w:rsidRDefault="005846FC" w:rsidP="007B6F28">
      <w:pPr>
        <w:spacing w:line="360" w:lineRule="auto"/>
        <w:ind w:firstLine="720"/>
        <w:rPr>
          <w:rFonts w:asciiTheme="minorBidi" w:hAnsiTheme="minorBidi"/>
          <w:bCs/>
        </w:rPr>
      </w:pPr>
      <w:r w:rsidRPr="007B6F28">
        <w:rPr>
          <w:rFonts w:asciiTheme="minorBidi" w:hAnsiTheme="minorBidi"/>
          <w:bCs/>
        </w:rPr>
        <w:t>The percentage of older persons responsible for caring for others has significantly increased in recent years. Over 1.2 million careers in the U.K. currently have an average age of over 65, a 35% increase between 2001 and 2011. Despite the contributions older people make to society, they frequently do not feel appreciated for them or get enough support to do so. Long-term caring can significantly negatively impact physical and mental health, so it is crucial to provide enough assistance to keep older caregivers and the persons they care for healthy, happy, and independent.</w:t>
      </w:r>
      <w:r w:rsidR="00DA653B" w:rsidRPr="007B6F28">
        <w:rPr>
          <w:rFonts w:asciiTheme="minorBidi" w:hAnsiTheme="minorBidi"/>
          <w:bCs/>
        </w:rPr>
        <w:t xml:space="preserve"> </w:t>
      </w:r>
      <w:r w:rsidRPr="007B6F28">
        <w:rPr>
          <w:rFonts w:asciiTheme="minorBidi" w:hAnsiTheme="minorBidi"/>
          <w:bCs/>
        </w:rPr>
        <w:t xml:space="preserve">Older employees may encounter significant difficulties juggling work and caregiving obligations in later life. This can have a significant economic impact, and older job searchers frequently encounter severe obstacles to employment. According to Ballantyne et </w:t>
      </w:r>
      <w:r w:rsidRPr="007B6F28">
        <w:rPr>
          <w:rFonts w:asciiTheme="minorBidi" w:hAnsiTheme="minorBidi"/>
          <w:bCs/>
        </w:rPr>
        <w:lastRenderedPageBreak/>
        <w:t>al. (2010), technology-based therapies are intended to assist older persons in making more social contacts and experiencing less loneliness.</w:t>
      </w:r>
    </w:p>
    <w:p w14:paraId="66AAE5DA" w14:textId="77777777" w:rsidR="00F40BF8" w:rsidRPr="007B6F28" w:rsidRDefault="005846FC" w:rsidP="007B6F28">
      <w:pPr>
        <w:spacing w:line="360" w:lineRule="auto"/>
        <w:ind w:firstLine="720"/>
        <w:rPr>
          <w:rFonts w:asciiTheme="minorBidi" w:hAnsiTheme="minorBidi"/>
        </w:rPr>
      </w:pPr>
      <w:r w:rsidRPr="007B6F28">
        <w:rPr>
          <w:rFonts w:asciiTheme="minorBidi" w:hAnsiTheme="minorBidi"/>
          <w:bCs/>
        </w:rPr>
        <w:t xml:space="preserve">The U.S. government has spent more than $35 billion to hasten the development and uptake of health information technology since implementing the Health Information Technology for Economic and Clinical Health (HITECH) Act in 2009. These initiatives attempt to promote the usage of and investment in electronic health records and associated technologies, allowing patients to access their medical records whenever they need them in a suitable electronic format. Patients who have electronic access to their records were interviewed by GAO in 2017 and provided feedback on both the advantages and disadvantages. </w:t>
      </w:r>
      <w:r w:rsidR="00FB4E94" w:rsidRPr="007B6F28">
        <w:rPr>
          <w:rFonts w:asciiTheme="minorBidi" w:hAnsiTheme="minorBidi"/>
          <w:bCs/>
        </w:rPr>
        <w:t>(Matlabi, Parker &amp; McKee, 2011).</w:t>
      </w:r>
      <w:r w:rsidR="00FB4E94" w:rsidRPr="007B6F28">
        <w:rPr>
          <w:rFonts w:asciiTheme="minorBidi" w:hAnsiTheme="minorBidi"/>
        </w:rPr>
        <w:t xml:space="preserve"> </w:t>
      </w:r>
    </w:p>
    <w:p w14:paraId="14BCEF28" w14:textId="352973ED" w:rsidR="00AF1FF0" w:rsidRPr="007B6F28" w:rsidRDefault="005846FC" w:rsidP="007B6F28">
      <w:pPr>
        <w:spacing w:line="360" w:lineRule="auto"/>
        <w:ind w:firstLine="720"/>
        <w:rPr>
          <w:rFonts w:asciiTheme="minorBidi" w:hAnsiTheme="minorBidi"/>
          <w:bCs/>
        </w:rPr>
      </w:pPr>
      <w:r w:rsidRPr="007B6F28">
        <w:rPr>
          <w:rFonts w:asciiTheme="minorBidi" w:hAnsiTheme="minorBidi"/>
          <w:bCs/>
        </w:rPr>
        <w:t>One advantage of technology is that it allows people to exchange information with other providers and interact with their medical professionals</w:t>
      </w:r>
      <w:r w:rsidR="00BA1C00" w:rsidRPr="007B6F28">
        <w:rPr>
          <w:rFonts w:asciiTheme="minorBidi" w:hAnsiTheme="minorBidi"/>
          <w:bCs/>
        </w:rPr>
        <w:t xml:space="preserve"> more effectively. Patients discusses</w:t>
      </w:r>
      <w:r w:rsidRPr="007B6F28">
        <w:rPr>
          <w:rFonts w:asciiTheme="minorBidi" w:hAnsiTheme="minorBidi"/>
          <w:bCs/>
        </w:rPr>
        <w:t xml:space="preserve"> situations when they used information from their portal to enhance their contacts with their providers and follow their advice. Patients with electronic access t</w:t>
      </w:r>
      <w:r w:rsidR="00BA1C00" w:rsidRPr="007B6F28">
        <w:rPr>
          <w:rFonts w:asciiTheme="minorBidi" w:hAnsiTheme="minorBidi"/>
          <w:bCs/>
        </w:rPr>
        <w:t xml:space="preserve">o their health information feel </w:t>
      </w:r>
      <w:r w:rsidRPr="007B6F28">
        <w:rPr>
          <w:rFonts w:asciiTheme="minorBidi" w:hAnsiTheme="minorBidi"/>
          <w:bCs/>
        </w:rPr>
        <w:t>more controlled or proactive in managing thei</w:t>
      </w:r>
      <w:r w:rsidR="00BA1C00" w:rsidRPr="007B6F28">
        <w:rPr>
          <w:rFonts w:asciiTheme="minorBidi" w:hAnsiTheme="minorBidi"/>
          <w:bCs/>
        </w:rPr>
        <w:t xml:space="preserve">r health, especially over </w:t>
      </w:r>
      <w:r w:rsidR="00AE71E3" w:rsidRPr="007B6F28">
        <w:rPr>
          <w:rFonts w:asciiTheme="minorBidi" w:hAnsiTheme="minorBidi"/>
          <w:bCs/>
        </w:rPr>
        <w:t>time. Finally</w:t>
      </w:r>
      <w:r w:rsidRPr="007B6F28">
        <w:rPr>
          <w:rFonts w:asciiTheme="minorBidi" w:hAnsiTheme="minorBidi"/>
          <w:bCs/>
        </w:rPr>
        <w:t>, information may be shared with other doctors through patient portals</w:t>
      </w:r>
      <w:r w:rsidR="003208A2" w:rsidRPr="007B6F28">
        <w:rPr>
          <w:rFonts w:asciiTheme="minorBidi" w:hAnsiTheme="minorBidi"/>
          <w:bCs/>
        </w:rPr>
        <w:t>.</w:t>
      </w:r>
    </w:p>
    <w:p w14:paraId="2F2FA06F" w14:textId="77777777" w:rsidR="00AF1FF0" w:rsidRPr="007B6F28" w:rsidRDefault="005846FC" w:rsidP="007B6F28">
      <w:pPr>
        <w:pStyle w:val="Heading1"/>
        <w:spacing w:line="360" w:lineRule="auto"/>
        <w:rPr>
          <w:rFonts w:asciiTheme="minorBidi" w:hAnsiTheme="minorBidi" w:cstheme="minorBidi"/>
          <w:b/>
          <w:color w:val="000000" w:themeColor="text1"/>
          <w:sz w:val="22"/>
          <w:szCs w:val="22"/>
        </w:rPr>
      </w:pPr>
      <w:bookmarkStart w:id="8" w:name="_Toc120014474"/>
      <w:r w:rsidRPr="007B6F28">
        <w:rPr>
          <w:rFonts w:asciiTheme="minorBidi" w:hAnsiTheme="minorBidi" w:cstheme="minorBidi"/>
          <w:b/>
          <w:color w:val="000000" w:themeColor="text1"/>
          <w:sz w:val="22"/>
          <w:szCs w:val="22"/>
        </w:rPr>
        <w:t>Policies and Legislation</w:t>
      </w:r>
      <w:bookmarkEnd w:id="8"/>
    </w:p>
    <w:p w14:paraId="512A8010" w14:textId="77777777" w:rsidR="00595644" w:rsidRPr="007B6F28" w:rsidRDefault="005846FC" w:rsidP="007B6F28">
      <w:pPr>
        <w:pStyle w:val="Heading2"/>
        <w:spacing w:line="360" w:lineRule="auto"/>
        <w:rPr>
          <w:rFonts w:asciiTheme="minorBidi" w:hAnsiTheme="minorBidi" w:cstheme="minorBidi"/>
          <w:b/>
          <w:color w:val="000000" w:themeColor="text1"/>
          <w:sz w:val="22"/>
          <w:szCs w:val="22"/>
        </w:rPr>
      </w:pPr>
      <w:bookmarkStart w:id="9" w:name="_Toc120014475"/>
      <w:r w:rsidRPr="007B6F28">
        <w:rPr>
          <w:rFonts w:asciiTheme="minorBidi" w:hAnsiTheme="minorBidi" w:cstheme="minorBidi"/>
          <w:b/>
          <w:color w:val="000000" w:themeColor="text1"/>
          <w:sz w:val="22"/>
          <w:szCs w:val="22"/>
        </w:rPr>
        <w:t>U</w:t>
      </w:r>
      <w:r w:rsidR="002D1FBF" w:rsidRPr="007B6F28">
        <w:rPr>
          <w:rFonts w:asciiTheme="minorBidi" w:hAnsiTheme="minorBidi" w:cstheme="minorBidi"/>
          <w:b/>
          <w:color w:val="000000" w:themeColor="text1"/>
          <w:sz w:val="22"/>
          <w:szCs w:val="22"/>
        </w:rPr>
        <w:t xml:space="preserve">.N. </w:t>
      </w:r>
      <w:r w:rsidR="001206EF" w:rsidRPr="007B6F28">
        <w:rPr>
          <w:rFonts w:asciiTheme="minorBidi" w:hAnsiTheme="minorBidi" w:cstheme="minorBidi"/>
          <w:b/>
          <w:color w:val="000000" w:themeColor="text1"/>
          <w:sz w:val="22"/>
          <w:szCs w:val="22"/>
        </w:rPr>
        <w:t>Healthy Ageing Decade</w:t>
      </w:r>
      <w:bookmarkEnd w:id="9"/>
    </w:p>
    <w:p w14:paraId="667FD96D" w14:textId="77777777" w:rsidR="005B480C" w:rsidRPr="007B6F28" w:rsidRDefault="005846FC" w:rsidP="007B6F28">
      <w:pPr>
        <w:spacing w:line="360" w:lineRule="auto"/>
        <w:rPr>
          <w:rFonts w:asciiTheme="minorBidi" w:hAnsiTheme="minorBidi"/>
          <w:bCs/>
        </w:rPr>
      </w:pPr>
      <w:r w:rsidRPr="007B6F28">
        <w:rPr>
          <w:rFonts w:asciiTheme="minorBidi" w:hAnsiTheme="minorBidi"/>
          <w:bCs/>
        </w:rPr>
        <w:t xml:space="preserve">With the United Nations Decade of Healthy Ageing 2021-2030, there is a rare chance to intensify efforts to eliminate social isolation and loneliness globally. Governments, civil society, international organizations, experts, academics, the media, and industry were brought together for the Decade's ten years of deliberate, catalytic action to better the lives of older individuals, their families, and the communities in which they dwell (Dixon, 2021). </w:t>
      </w:r>
      <w:r w:rsidR="009B05EB" w:rsidRPr="007B6F28">
        <w:rPr>
          <w:rFonts w:asciiTheme="minorBidi" w:hAnsiTheme="minorBidi"/>
          <w:bCs/>
        </w:rPr>
        <w:t>Another objective of the Decade is to ensure that no one is left behind, especially the elderly, as stated in the Sustainable Development Goals. Older people are crucial to achieving the Goals since they continue the work started in many nation</w:t>
      </w:r>
      <w:r w:rsidRPr="007B6F28">
        <w:rPr>
          <w:rFonts w:asciiTheme="minorBidi" w:hAnsiTheme="minorBidi"/>
          <w:bCs/>
        </w:rPr>
        <w:t>s.</w:t>
      </w:r>
    </w:p>
    <w:p w14:paraId="51C50EDA" w14:textId="77777777" w:rsidR="00595644" w:rsidRPr="007B6F28" w:rsidRDefault="005846FC" w:rsidP="007B6F28">
      <w:pPr>
        <w:pStyle w:val="Heading2"/>
        <w:spacing w:line="360" w:lineRule="auto"/>
        <w:rPr>
          <w:rFonts w:asciiTheme="minorBidi" w:hAnsiTheme="minorBidi" w:cstheme="minorBidi"/>
          <w:b/>
          <w:color w:val="000000" w:themeColor="text1"/>
          <w:sz w:val="22"/>
          <w:szCs w:val="22"/>
        </w:rPr>
      </w:pPr>
      <w:bookmarkStart w:id="10" w:name="_Toc120014476"/>
      <w:r w:rsidRPr="007B6F28">
        <w:rPr>
          <w:rFonts w:asciiTheme="minorBidi" w:hAnsiTheme="minorBidi" w:cstheme="minorBidi"/>
          <w:b/>
          <w:color w:val="000000" w:themeColor="text1"/>
          <w:sz w:val="22"/>
          <w:szCs w:val="22"/>
        </w:rPr>
        <w:t>Connected society (2018)</w:t>
      </w:r>
      <w:bookmarkEnd w:id="10"/>
    </w:p>
    <w:p w14:paraId="0FD79C63" w14:textId="77777777" w:rsidR="00F953C1" w:rsidRPr="007B6F28" w:rsidRDefault="005846FC" w:rsidP="007B6F28">
      <w:pPr>
        <w:spacing w:line="360" w:lineRule="auto"/>
        <w:rPr>
          <w:rFonts w:asciiTheme="minorBidi" w:hAnsiTheme="minorBidi"/>
          <w:bCs/>
        </w:rPr>
      </w:pPr>
      <w:r w:rsidRPr="007B6F28">
        <w:rPr>
          <w:rFonts w:asciiTheme="minorBidi" w:hAnsiTheme="minorBidi"/>
          <w:bCs/>
        </w:rPr>
        <w:t xml:space="preserve">The U.K. government released a </w:t>
      </w:r>
      <w:r w:rsidR="00A7460C" w:rsidRPr="007B6F28">
        <w:rPr>
          <w:rFonts w:asciiTheme="minorBidi" w:hAnsiTheme="minorBidi"/>
          <w:bCs/>
        </w:rPr>
        <w:t>linked society in October 2018, a</w:t>
      </w:r>
      <w:r w:rsidRPr="007B6F28">
        <w:rPr>
          <w:rFonts w:asciiTheme="minorBidi" w:hAnsiTheme="minorBidi"/>
          <w:bCs/>
        </w:rPr>
        <w:t xml:space="preserve"> plan for combating loneliness that lays the groundwork for transformation. The Loneliness Action Group and the U.K. Government collaborated to create the policy. The government provided three main goals, describing the Strategy as a "first step; a foundation for a generation of policy work": a dedication to strengthening the evidence basis so that we may better understand what causes </w:t>
      </w:r>
      <w:r w:rsidRPr="007B6F28">
        <w:rPr>
          <w:rFonts w:asciiTheme="minorBidi" w:hAnsiTheme="minorBidi"/>
          <w:bCs/>
        </w:rPr>
        <w:lastRenderedPageBreak/>
        <w:t xml:space="preserve">loneliness, how it affects people, and how to combat it (Prohaska et </w:t>
      </w:r>
      <w:r w:rsidR="0086341C" w:rsidRPr="007B6F28">
        <w:rPr>
          <w:rFonts w:asciiTheme="minorBidi" w:hAnsiTheme="minorBidi"/>
          <w:bCs/>
        </w:rPr>
        <w:t>al., 2020</w:t>
      </w:r>
      <w:r w:rsidRPr="007B6F28">
        <w:rPr>
          <w:rFonts w:asciiTheme="minorBidi" w:hAnsiTheme="minorBidi"/>
          <w:bCs/>
        </w:rPr>
        <w:t>).</w:t>
      </w:r>
      <w:r w:rsidRPr="007B6F28">
        <w:rPr>
          <w:rFonts w:asciiTheme="minorBidi" w:hAnsiTheme="minorBidi"/>
        </w:rPr>
        <w:t xml:space="preserve"> </w:t>
      </w:r>
      <w:r w:rsidRPr="007B6F28">
        <w:rPr>
          <w:rFonts w:asciiTheme="minorBidi" w:hAnsiTheme="minorBidi"/>
          <w:bCs/>
        </w:rPr>
        <w:t>Acknowledging the variety of circumstances that might increase loneliness and promote people's social resilience, it is essential to integrate the concept of loneliness into all aspects of government policy. Create a national dialogue on loneliness to combat stigma and increase understanding of its effects.</w:t>
      </w:r>
    </w:p>
    <w:p w14:paraId="5D97379D" w14:textId="77777777" w:rsidR="005A050E" w:rsidRPr="007B6F28" w:rsidRDefault="005846FC" w:rsidP="007B6F28">
      <w:pPr>
        <w:spacing w:line="360" w:lineRule="auto"/>
        <w:rPr>
          <w:rFonts w:asciiTheme="minorBidi" w:hAnsiTheme="minorBidi"/>
          <w:bCs/>
        </w:rPr>
      </w:pPr>
      <w:r w:rsidRPr="007B6F28">
        <w:rPr>
          <w:rFonts w:asciiTheme="minorBidi" w:hAnsiTheme="minorBidi"/>
          <w:bCs/>
        </w:rPr>
        <w:t xml:space="preserve"> </w:t>
      </w:r>
      <w:r w:rsidR="00F953C1" w:rsidRPr="007B6F28">
        <w:rPr>
          <w:rFonts w:asciiTheme="minorBidi" w:hAnsiTheme="minorBidi"/>
          <w:bCs/>
        </w:rPr>
        <w:t>The government highlighted that, in addition to the central government, which it said would provide national leadership, the construction of a "socially connected society" needed to be accomplished through civil society, local government, employers, and individuals. In order to make sure the Strategy is complimentary, it also committed to cooperating with the devolved administrations. The Strategy includes specific goals and initiatives for the various government agencies</w:t>
      </w:r>
      <w:r w:rsidRPr="007B6F28">
        <w:rPr>
          <w:rFonts w:asciiTheme="minorBidi" w:hAnsiTheme="minorBidi"/>
          <w:bCs/>
        </w:rPr>
        <w:t>.</w:t>
      </w:r>
    </w:p>
    <w:p w14:paraId="0D3D5DFA" w14:textId="77777777" w:rsidR="00520924" w:rsidRPr="007B6F28" w:rsidRDefault="005846FC" w:rsidP="007B6F28">
      <w:pPr>
        <w:spacing w:line="360" w:lineRule="auto"/>
        <w:jc w:val="center"/>
        <w:rPr>
          <w:rFonts w:asciiTheme="minorBidi" w:hAnsiTheme="minorBidi"/>
          <w:bCs/>
        </w:rPr>
      </w:pPr>
      <w:r w:rsidRPr="007B6F28">
        <w:rPr>
          <w:rFonts w:asciiTheme="minorBidi" w:hAnsiTheme="minorBidi"/>
          <w:b/>
          <w:bCs/>
        </w:rPr>
        <w:t>(c</w:t>
      </w:r>
      <w:r w:rsidR="009E1820" w:rsidRPr="007B6F28">
        <w:rPr>
          <w:rFonts w:asciiTheme="minorBidi" w:hAnsiTheme="minorBidi"/>
          <w:b/>
          <w:bCs/>
        </w:rPr>
        <w:t xml:space="preserve">) </w:t>
      </w:r>
      <w:r w:rsidR="00FB4E94" w:rsidRPr="007B6F28">
        <w:rPr>
          <w:rStyle w:val="Heading2Char"/>
          <w:rFonts w:asciiTheme="minorBidi" w:hAnsiTheme="minorBidi" w:cstheme="minorBidi"/>
          <w:b/>
          <w:color w:val="000000" w:themeColor="text1"/>
          <w:sz w:val="22"/>
          <w:szCs w:val="22"/>
        </w:rPr>
        <w:t xml:space="preserve">The Care Act </w:t>
      </w:r>
      <w:r w:rsidR="000F49CA" w:rsidRPr="007B6F28">
        <w:rPr>
          <w:rStyle w:val="Heading2Char"/>
          <w:rFonts w:asciiTheme="minorBidi" w:hAnsiTheme="minorBidi" w:cstheme="minorBidi"/>
          <w:b/>
          <w:color w:val="000000" w:themeColor="text1"/>
          <w:sz w:val="22"/>
          <w:szCs w:val="22"/>
        </w:rPr>
        <w:t xml:space="preserve">2014 </w:t>
      </w:r>
      <w:r w:rsidR="00FB4E94" w:rsidRPr="007B6F28">
        <w:rPr>
          <w:rStyle w:val="Heading2Char"/>
          <w:rFonts w:asciiTheme="minorBidi" w:hAnsiTheme="minorBidi" w:cstheme="minorBidi"/>
          <w:b/>
          <w:color w:val="000000" w:themeColor="text1"/>
          <w:sz w:val="22"/>
          <w:szCs w:val="22"/>
        </w:rPr>
        <w:t>and Loneliness</w:t>
      </w:r>
    </w:p>
    <w:p w14:paraId="064AEE6E" w14:textId="77777777" w:rsidR="00B81F93" w:rsidRPr="007B6F28" w:rsidRDefault="005846FC" w:rsidP="007B6F28">
      <w:pPr>
        <w:spacing w:line="360" w:lineRule="auto"/>
        <w:rPr>
          <w:rFonts w:asciiTheme="minorBidi" w:hAnsiTheme="minorBidi"/>
          <w:bCs/>
        </w:rPr>
      </w:pPr>
      <w:r w:rsidRPr="007B6F28">
        <w:rPr>
          <w:rFonts w:asciiTheme="minorBidi" w:hAnsiTheme="minorBidi"/>
          <w:bCs/>
        </w:rPr>
        <w:t>Thanks to the 2014 Care Act, several vital local stakeholders now formally pledge to take action to prevent loneliness and isolation. This requires taking care of the extra preventative duties and the care and support requirements identified during assessments. The Act establishes the welfare concept as the main objective of local authorities' performance of their care and support obligations. Finding those whose wellness is in jeopardy due to loneliness and social isolation is more likely. It also increases the chance for early intervention through the new requirement to check everyone who needs care and support and all vocations, regardless of whether they qualify for assistance.</w:t>
      </w:r>
    </w:p>
    <w:p w14:paraId="03A9A4B1" w14:textId="77777777" w:rsidR="00355E24" w:rsidRPr="007B6F28" w:rsidRDefault="005846FC" w:rsidP="007B6F28">
      <w:pPr>
        <w:spacing w:line="360" w:lineRule="auto"/>
        <w:rPr>
          <w:rFonts w:asciiTheme="minorBidi" w:hAnsiTheme="minorBidi"/>
          <w:bCs/>
        </w:rPr>
      </w:pPr>
      <w:r w:rsidRPr="007B6F28">
        <w:rPr>
          <w:rFonts w:asciiTheme="minorBidi" w:hAnsiTheme="minorBidi"/>
          <w:bCs/>
        </w:rPr>
        <w:t>According to Cooper &amp; Bruin (2017), many initiatives have been established to lessen social isolation and loneliness among older persons. Training in social skills, participation in community and support groups, friending, and cognitive behavioral therapy are all part of the policy. By making it easier to access transportation, information, and communication technology, the policies alleviate the problem by fostering more age-friendly societies. They can also lessen social isolation and loneliness. Additionally, marginalization and discrimination are addressed by laws and regulations, which promote stronger social ties</w:t>
      </w:r>
      <w:r w:rsidR="00FB4E94" w:rsidRPr="007B6F28">
        <w:rPr>
          <w:rFonts w:asciiTheme="minorBidi" w:hAnsiTheme="minorBidi"/>
          <w:bCs/>
        </w:rPr>
        <w:t>.</w:t>
      </w:r>
    </w:p>
    <w:p w14:paraId="1E1FCCA8" w14:textId="77777777" w:rsidR="005A050E" w:rsidRPr="007B6F28" w:rsidRDefault="005846FC" w:rsidP="007B6F28">
      <w:pPr>
        <w:pStyle w:val="Heading1"/>
        <w:spacing w:line="360" w:lineRule="auto"/>
        <w:rPr>
          <w:rFonts w:asciiTheme="minorBidi" w:hAnsiTheme="minorBidi" w:cstheme="minorBidi"/>
          <w:b/>
          <w:color w:val="000000" w:themeColor="text1"/>
          <w:sz w:val="22"/>
          <w:szCs w:val="22"/>
        </w:rPr>
      </w:pPr>
      <w:bookmarkStart w:id="11" w:name="_Toc120014477"/>
      <w:r w:rsidRPr="007B6F28">
        <w:rPr>
          <w:rFonts w:asciiTheme="minorBidi" w:hAnsiTheme="minorBidi" w:cstheme="minorBidi"/>
          <w:b/>
          <w:color w:val="000000" w:themeColor="text1"/>
          <w:sz w:val="22"/>
          <w:szCs w:val="22"/>
        </w:rPr>
        <w:t>RECOMMENDATIONS</w:t>
      </w:r>
      <w:bookmarkEnd w:id="11"/>
    </w:p>
    <w:p w14:paraId="44FAFEE8" w14:textId="77777777" w:rsidR="001007D6" w:rsidRPr="007B6F28" w:rsidRDefault="001007D6" w:rsidP="007B6F28">
      <w:pPr>
        <w:spacing w:line="360" w:lineRule="auto"/>
        <w:ind w:firstLine="720"/>
        <w:rPr>
          <w:rFonts w:asciiTheme="minorBidi" w:hAnsiTheme="minorBidi"/>
          <w:bCs/>
        </w:rPr>
      </w:pPr>
      <w:r w:rsidRPr="007B6F28">
        <w:rPr>
          <w:rFonts w:asciiTheme="minorBidi" w:hAnsiTheme="minorBidi"/>
          <w:bCs/>
        </w:rPr>
        <w:t xml:space="preserve">For senior citizens who reside in USA and UK facilities, opportunities to lend a hand and show reciprocity are still crucial. Residents cherish and desire genuine connections with others and take advantage of opportunities to help others. While enjoyable, social events that emphasize entertainment and diversion only accomplish a little to foster real bonds among </w:t>
      </w:r>
      <w:r w:rsidRPr="007B6F28">
        <w:rPr>
          <w:rFonts w:asciiTheme="minorBidi" w:hAnsiTheme="minorBidi"/>
          <w:bCs/>
        </w:rPr>
        <w:lastRenderedPageBreak/>
        <w:t>patients or between residents and staff. Proper strategies for developing human connections in facilities should be introduced to provide person-centered care delivered by staff familiar with residents. Residents need assistance to maintain relationships with their relatives and friends in the larger community.</w:t>
      </w:r>
    </w:p>
    <w:p w14:paraId="6C11D4C2" w14:textId="77777777" w:rsidR="001007D6" w:rsidRPr="007B6F28" w:rsidRDefault="001007D6" w:rsidP="007B6F28">
      <w:pPr>
        <w:spacing w:line="360" w:lineRule="auto"/>
        <w:ind w:firstLine="720"/>
        <w:rPr>
          <w:rFonts w:asciiTheme="minorBidi" w:hAnsiTheme="minorBidi"/>
          <w:bCs/>
        </w:rPr>
      </w:pPr>
      <w:r w:rsidRPr="007B6F28">
        <w:rPr>
          <w:rFonts w:asciiTheme="minorBidi" w:hAnsiTheme="minorBidi"/>
          <w:bCs/>
        </w:rPr>
        <w:t>Despite the need to maintain physical distance, advance in technology should be introduced to create incredible opportunities to make connections and give care. The techniques can be incorporated into care plans, public health initiatives, and crisis communications to reduce loneliness among the elderly. However, it must be done cautiously, accounting for the specific loneliness and environment.</w:t>
      </w:r>
    </w:p>
    <w:p w14:paraId="031C0573" w14:textId="77777777" w:rsidR="00487891" w:rsidRPr="007B6F28" w:rsidRDefault="005846FC" w:rsidP="007B6F28">
      <w:pPr>
        <w:pStyle w:val="Heading1"/>
        <w:spacing w:line="360" w:lineRule="auto"/>
        <w:rPr>
          <w:rFonts w:asciiTheme="minorBidi" w:hAnsiTheme="minorBidi" w:cstheme="minorBidi"/>
          <w:b/>
          <w:color w:val="000000" w:themeColor="text1"/>
          <w:sz w:val="22"/>
          <w:szCs w:val="22"/>
        </w:rPr>
      </w:pPr>
      <w:bookmarkStart w:id="12" w:name="_Toc120014478"/>
      <w:r w:rsidRPr="007B6F28">
        <w:rPr>
          <w:rFonts w:asciiTheme="minorBidi" w:hAnsiTheme="minorBidi" w:cstheme="minorBidi"/>
          <w:b/>
          <w:color w:val="000000" w:themeColor="text1"/>
          <w:sz w:val="22"/>
          <w:szCs w:val="22"/>
        </w:rPr>
        <w:t>CONCLUSION</w:t>
      </w:r>
      <w:bookmarkEnd w:id="12"/>
    </w:p>
    <w:p w14:paraId="6509C0B3" w14:textId="57A18460" w:rsidR="007A7865" w:rsidRPr="007B6F28" w:rsidRDefault="00B24729" w:rsidP="007B6F28">
      <w:pPr>
        <w:spacing w:line="360" w:lineRule="auto"/>
        <w:rPr>
          <w:rFonts w:asciiTheme="minorBidi" w:hAnsiTheme="minorBidi"/>
        </w:rPr>
      </w:pPr>
      <w:r w:rsidRPr="007B6F28">
        <w:rPr>
          <w:rFonts w:asciiTheme="minorBidi" w:hAnsiTheme="minorBidi"/>
          <w:bCs/>
        </w:rPr>
        <w:t xml:space="preserve">Many older adults experience social isolation and loneliness, which are substantial yet overlooked public health </w:t>
      </w:r>
      <w:r w:rsidR="007B6F28" w:rsidRPr="007B6F28">
        <w:rPr>
          <w:rFonts w:asciiTheme="minorBidi" w:hAnsiTheme="minorBidi"/>
          <w:bCs/>
        </w:rPr>
        <w:t>consequence</w:t>
      </w:r>
      <w:r w:rsidR="007B6F28" w:rsidRPr="007B6F28">
        <w:rPr>
          <w:rFonts w:asciiTheme="minorBidi" w:hAnsiTheme="minorBidi"/>
        </w:rPr>
        <w:t>. Technologies</w:t>
      </w:r>
      <w:r w:rsidRPr="007B6F28">
        <w:rPr>
          <w:rFonts w:asciiTheme="minorBidi" w:hAnsiTheme="minorBidi"/>
        </w:rPr>
        <w:t xml:space="preserve"> are geared toward open communication, immediate assistance, physical and emotional well-being, and aging in place. When creating and assessing technology, it is essential to keep patients in mind, and when utilizing it at home, it necessitates participant education, direction, and continual monitoring. The ability to participate in activities and receive support online can help older individuals stay in touch with their family, friends, and other people who share their interests and attitude on life. Though it may not interest all seniors, increasing digital inclusion could be a helpful tool for those who are lonely or in danger of becoming so. Digital inclusion can assist individuals in maintaining or establishing new social ties, supporting independence, and enhancing well-being.</w:t>
      </w:r>
    </w:p>
    <w:p w14:paraId="42328E83" w14:textId="77777777" w:rsidR="007A7865" w:rsidRPr="007B6F28" w:rsidRDefault="007A7865" w:rsidP="007B6F28">
      <w:pPr>
        <w:spacing w:line="360" w:lineRule="auto"/>
        <w:rPr>
          <w:rFonts w:asciiTheme="minorBidi" w:hAnsiTheme="minorBidi"/>
        </w:rPr>
      </w:pPr>
    </w:p>
    <w:p w14:paraId="28920F42" w14:textId="77777777" w:rsidR="005D635C" w:rsidRPr="007B6F28" w:rsidRDefault="005D635C" w:rsidP="007B6F28">
      <w:pPr>
        <w:spacing w:line="360" w:lineRule="auto"/>
        <w:rPr>
          <w:rFonts w:asciiTheme="minorBidi" w:hAnsiTheme="minorBidi"/>
        </w:rPr>
      </w:pPr>
    </w:p>
    <w:p w14:paraId="06601E63" w14:textId="77777777" w:rsidR="00671C45" w:rsidRPr="007B6F28" w:rsidRDefault="00671C45" w:rsidP="007B6F28">
      <w:pPr>
        <w:spacing w:line="360" w:lineRule="auto"/>
        <w:jc w:val="center"/>
        <w:rPr>
          <w:rFonts w:asciiTheme="minorBidi" w:hAnsiTheme="minorBidi"/>
          <w:b/>
        </w:rPr>
      </w:pPr>
    </w:p>
    <w:p w14:paraId="307A736A" w14:textId="77777777" w:rsidR="00671C45" w:rsidRPr="007B6F28" w:rsidRDefault="00671C45" w:rsidP="007B6F28">
      <w:pPr>
        <w:spacing w:line="360" w:lineRule="auto"/>
        <w:jc w:val="center"/>
        <w:rPr>
          <w:rFonts w:asciiTheme="minorBidi" w:hAnsiTheme="minorBidi"/>
          <w:b/>
        </w:rPr>
      </w:pPr>
    </w:p>
    <w:p w14:paraId="64AA6CDE" w14:textId="708AFAA9" w:rsidR="00671C45" w:rsidRDefault="00671C45" w:rsidP="00090F0D">
      <w:pPr>
        <w:spacing w:line="480" w:lineRule="auto"/>
        <w:jc w:val="center"/>
        <w:rPr>
          <w:rFonts w:ascii="Times New Roman" w:hAnsi="Times New Roman" w:cs="Times New Roman"/>
          <w:b/>
          <w:sz w:val="24"/>
          <w:szCs w:val="24"/>
        </w:rPr>
      </w:pPr>
    </w:p>
    <w:p w14:paraId="1EBF1CAF" w14:textId="24BC1FA5" w:rsidR="007B6F28" w:rsidRDefault="007B6F28" w:rsidP="00090F0D">
      <w:pPr>
        <w:spacing w:line="480" w:lineRule="auto"/>
        <w:jc w:val="center"/>
        <w:rPr>
          <w:rFonts w:ascii="Times New Roman" w:hAnsi="Times New Roman" w:cs="Times New Roman"/>
          <w:b/>
          <w:sz w:val="24"/>
          <w:szCs w:val="24"/>
        </w:rPr>
      </w:pPr>
    </w:p>
    <w:p w14:paraId="23271EBC" w14:textId="0972D48D" w:rsidR="007B6F28" w:rsidRDefault="007B6F28" w:rsidP="007B6F28">
      <w:pPr>
        <w:spacing w:line="480" w:lineRule="auto"/>
        <w:rPr>
          <w:rFonts w:ascii="Times New Roman" w:hAnsi="Times New Roman" w:cs="Times New Roman"/>
          <w:b/>
          <w:sz w:val="24"/>
          <w:szCs w:val="24"/>
        </w:rPr>
      </w:pPr>
    </w:p>
    <w:p w14:paraId="791F65CC" w14:textId="77777777" w:rsidR="005D635C" w:rsidRPr="00090F0D" w:rsidRDefault="005846FC" w:rsidP="00090F0D">
      <w:pPr>
        <w:pStyle w:val="Heading1"/>
        <w:spacing w:line="480" w:lineRule="auto"/>
        <w:rPr>
          <w:rFonts w:ascii="Times New Roman" w:hAnsi="Times New Roman" w:cs="Times New Roman"/>
          <w:b/>
          <w:color w:val="000000" w:themeColor="text1"/>
          <w:sz w:val="24"/>
          <w:szCs w:val="24"/>
        </w:rPr>
      </w:pPr>
      <w:bookmarkStart w:id="13" w:name="_Toc120014479"/>
      <w:r w:rsidRPr="00090F0D">
        <w:rPr>
          <w:rFonts w:ascii="Times New Roman" w:hAnsi="Times New Roman" w:cs="Times New Roman"/>
          <w:b/>
          <w:color w:val="000000" w:themeColor="text1"/>
          <w:sz w:val="24"/>
          <w:szCs w:val="24"/>
        </w:rPr>
        <w:lastRenderedPageBreak/>
        <w:t>Reference</w:t>
      </w:r>
      <w:r w:rsidR="00671C45" w:rsidRPr="00090F0D">
        <w:rPr>
          <w:rFonts w:ascii="Times New Roman" w:hAnsi="Times New Roman" w:cs="Times New Roman"/>
          <w:b/>
          <w:color w:val="000000" w:themeColor="text1"/>
          <w:sz w:val="24"/>
          <w:szCs w:val="24"/>
        </w:rPr>
        <w:t>s</w:t>
      </w:r>
      <w:bookmarkEnd w:id="13"/>
    </w:p>
    <w:p w14:paraId="44914B8E"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Ballantyne, A., Trenwith, L., Zubrinich, S. and Corlis, M., 2010. ‘I feel less lonely’: what older people say about participating in a social networking website. </w:t>
      </w:r>
      <w:r w:rsidRPr="00090F0D">
        <w:rPr>
          <w:rFonts w:ascii="Times New Roman" w:hAnsi="Times New Roman" w:cs="Times New Roman"/>
          <w:i/>
          <w:iCs/>
          <w:sz w:val="24"/>
          <w:szCs w:val="24"/>
        </w:rPr>
        <w:t>Quality in Ageing and OlderAdults</w:t>
      </w:r>
      <w:r w:rsidRPr="00090F0D">
        <w:rPr>
          <w:rFonts w:ascii="Times New Roman" w:hAnsi="Times New Roman" w:cs="Times New Roman"/>
          <w:sz w:val="24"/>
          <w:szCs w:val="24"/>
        </w:rPr>
        <w:t>.</w:t>
      </w:r>
      <w:hyperlink r:id="rId9" w:history="1">
        <w:r w:rsidRPr="00090F0D">
          <w:rPr>
            <w:rStyle w:val="Hyperlink"/>
            <w:rFonts w:ascii="Times New Roman" w:hAnsi="Times New Roman" w:cs="Times New Roman"/>
            <w:sz w:val="24"/>
            <w:szCs w:val="24"/>
          </w:rPr>
          <w:t>https://www.emerald.com/insight/content/doi/10.5042/qiaoa.2010.0526/full/html</w:t>
        </w:r>
      </w:hyperlink>
    </w:p>
    <w:p w14:paraId="150C5796" w14:textId="77777777" w:rsidR="00090F0D" w:rsidRPr="00090F0D" w:rsidRDefault="00090F0D" w:rsidP="00090F0D">
      <w:pPr>
        <w:spacing w:line="480" w:lineRule="auto"/>
        <w:ind w:left="720" w:hanging="720"/>
        <w:rPr>
          <w:rFonts w:ascii="Times New Roman" w:hAnsi="Times New Roman" w:cs="Times New Roman"/>
          <w:color w:val="0563C1" w:themeColor="hyperlink"/>
          <w:sz w:val="24"/>
          <w:szCs w:val="24"/>
          <w:u w:val="single"/>
        </w:rPr>
      </w:pPr>
      <w:r w:rsidRPr="00090F0D">
        <w:rPr>
          <w:rFonts w:ascii="Times New Roman" w:hAnsi="Times New Roman" w:cs="Times New Roman"/>
          <w:sz w:val="24"/>
          <w:szCs w:val="24"/>
        </w:rPr>
        <w:t>Barrientos, A., Gorman, M. and Heslop, A., 2003. Old age poverty in developing countries: Contributions and dependence in later life. </w:t>
      </w:r>
      <w:r w:rsidRPr="00090F0D">
        <w:rPr>
          <w:rFonts w:ascii="Times New Roman" w:hAnsi="Times New Roman" w:cs="Times New Roman"/>
          <w:i/>
          <w:iCs/>
          <w:sz w:val="24"/>
          <w:szCs w:val="24"/>
        </w:rPr>
        <w:t>World development</w:t>
      </w:r>
      <w:r w:rsidRPr="00090F0D">
        <w:rPr>
          <w:rFonts w:ascii="Times New Roman" w:hAnsi="Times New Roman" w:cs="Times New Roman"/>
          <w:sz w:val="24"/>
          <w:szCs w:val="24"/>
        </w:rPr>
        <w:t>, </w:t>
      </w:r>
      <w:r w:rsidRPr="00090F0D">
        <w:rPr>
          <w:rFonts w:ascii="Times New Roman" w:hAnsi="Times New Roman" w:cs="Times New Roman"/>
          <w:i/>
          <w:iCs/>
          <w:sz w:val="24"/>
          <w:szCs w:val="24"/>
        </w:rPr>
        <w:t>31</w:t>
      </w:r>
      <w:r w:rsidRPr="00090F0D">
        <w:rPr>
          <w:rFonts w:ascii="Times New Roman" w:hAnsi="Times New Roman" w:cs="Times New Roman"/>
          <w:sz w:val="24"/>
          <w:szCs w:val="24"/>
        </w:rPr>
        <w:t xml:space="preserve">(3), pp.555-570. </w:t>
      </w:r>
      <w:hyperlink r:id="rId10" w:history="1">
        <w:r w:rsidRPr="00090F0D">
          <w:rPr>
            <w:rStyle w:val="Hyperlink"/>
            <w:rFonts w:ascii="Times New Roman" w:hAnsi="Times New Roman" w:cs="Times New Roman"/>
            <w:sz w:val="24"/>
            <w:szCs w:val="24"/>
          </w:rPr>
          <w:t>https://doi.org/10.1016/S0305-750X(02)00211-5</w:t>
        </w:r>
      </w:hyperlink>
    </w:p>
    <w:p w14:paraId="1588D688"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Cooper, A. and Bruin, C., 2017. Adult safeguarding and the Care Act (2014)–the impacts on partnerships and practice. </w:t>
      </w:r>
      <w:r w:rsidRPr="00090F0D">
        <w:rPr>
          <w:rFonts w:ascii="Times New Roman" w:hAnsi="Times New Roman" w:cs="Times New Roman"/>
          <w:i/>
          <w:iCs/>
          <w:sz w:val="24"/>
          <w:szCs w:val="24"/>
        </w:rPr>
        <w:t>The Journal of Adult Protection</w:t>
      </w:r>
      <w:r w:rsidRPr="00090F0D">
        <w:rPr>
          <w:rFonts w:ascii="Times New Roman" w:hAnsi="Times New Roman" w:cs="Times New Roman"/>
          <w:sz w:val="24"/>
          <w:szCs w:val="24"/>
        </w:rPr>
        <w:t>.</w:t>
      </w:r>
      <w:hyperlink r:id="rId11" w:history="1">
        <w:r w:rsidRPr="00090F0D">
          <w:rPr>
            <w:rStyle w:val="Hyperlink"/>
            <w:rFonts w:ascii="Times New Roman" w:hAnsi="Times New Roman" w:cs="Times New Roman"/>
            <w:sz w:val="24"/>
            <w:szCs w:val="24"/>
          </w:rPr>
          <w:t>https://www.emerald.com/insight/content/doi/10.1108/JAP-03-2017-0009/full/html</w:t>
        </w:r>
      </w:hyperlink>
    </w:p>
    <w:p w14:paraId="3D9AEC5C"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Dixon, A., 2021. The United Nations decade of healthy ageing requires concerted global action. </w:t>
      </w:r>
      <w:r w:rsidRPr="00090F0D">
        <w:rPr>
          <w:rFonts w:ascii="Times New Roman" w:hAnsi="Times New Roman" w:cs="Times New Roman"/>
          <w:i/>
          <w:iCs/>
          <w:sz w:val="24"/>
          <w:szCs w:val="24"/>
        </w:rPr>
        <w:t>Nature aging</w:t>
      </w:r>
      <w:r w:rsidRPr="00090F0D">
        <w:rPr>
          <w:rFonts w:ascii="Times New Roman" w:hAnsi="Times New Roman" w:cs="Times New Roman"/>
          <w:sz w:val="24"/>
          <w:szCs w:val="24"/>
        </w:rPr>
        <w:t>, </w:t>
      </w:r>
      <w:r w:rsidRPr="00090F0D">
        <w:rPr>
          <w:rFonts w:ascii="Times New Roman" w:hAnsi="Times New Roman" w:cs="Times New Roman"/>
          <w:i/>
          <w:iCs/>
          <w:sz w:val="24"/>
          <w:szCs w:val="24"/>
        </w:rPr>
        <w:t>1</w:t>
      </w:r>
      <w:r w:rsidRPr="00090F0D">
        <w:rPr>
          <w:rFonts w:ascii="Times New Roman" w:hAnsi="Times New Roman" w:cs="Times New Roman"/>
          <w:sz w:val="24"/>
          <w:szCs w:val="24"/>
        </w:rPr>
        <w:t xml:space="preserve">(1), pp.2-2. </w:t>
      </w:r>
      <w:hyperlink r:id="rId12" w:history="1">
        <w:r w:rsidRPr="00090F0D">
          <w:rPr>
            <w:rStyle w:val="Hyperlink"/>
            <w:rFonts w:ascii="Times New Roman" w:hAnsi="Times New Roman" w:cs="Times New Roman"/>
            <w:sz w:val="24"/>
            <w:szCs w:val="24"/>
          </w:rPr>
          <w:t>https://www.nature.com/articles/s43587-020-00011-5</w:t>
        </w:r>
      </w:hyperlink>
    </w:p>
    <w:p w14:paraId="7B6A4DCD"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Finlay, J.M. and Kobayashi, L.C., 2018. Social isolation and loneliness in later life: A parallel convergent mixed-methods case study of older adults and their residential contexts in the Minneapolis metropolitan area, USA. </w:t>
      </w:r>
      <w:r w:rsidRPr="00090F0D">
        <w:rPr>
          <w:rFonts w:ascii="Times New Roman" w:hAnsi="Times New Roman" w:cs="Times New Roman"/>
          <w:i/>
          <w:iCs/>
          <w:sz w:val="24"/>
          <w:szCs w:val="24"/>
        </w:rPr>
        <w:t>Social Science &amp; Medicine</w:t>
      </w:r>
      <w:r w:rsidRPr="00090F0D">
        <w:rPr>
          <w:rFonts w:ascii="Times New Roman" w:hAnsi="Times New Roman" w:cs="Times New Roman"/>
          <w:sz w:val="24"/>
          <w:szCs w:val="24"/>
        </w:rPr>
        <w:t>, </w:t>
      </w:r>
      <w:r w:rsidRPr="00090F0D">
        <w:rPr>
          <w:rFonts w:ascii="Times New Roman" w:hAnsi="Times New Roman" w:cs="Times New Roman"/>
          <w:i/>
          <w:iCs/>
          <w:sz w:val="24"/>
          <w:szCs w:val="24"/>
        </w:rPr>
        <w:t>208</w:t>
      </w:r>
      <w:r w:rsidRPr="00090F0D">
        <w:rPr>
          <w:rFonts w:ascii="Times New Roman" w:hAnsi="Times New Roman" w:cs="Times New Roman"/>
          <w:sz w:val="24"/>
          <w:szCs w:val="24"/>
        </w:rPr>
        <w:t xml:space="preserve">, pp.25-33. </w:t>
      </w:r>
      <w:hyperlink r:id="rId13" w:history="1">
        <w:r w:rsidRPr="00090F0D">
          <w:rPr>
            <w:rStyle w:val="Hyperlink"/>
            <w:rFonts w:ascii="Times New Roman" w:hAnsi="Times New Roman" w:cs="Times New Roman"/>
            <w:sz w:val="24"/>
            <w:szCs w:val="24"/>
          </w:rPr>
          <w:t>https://doi.org/10.1016/j.socscimed.2018.05.010</w:t>
        </w:r>
      </w:hyperlink>
    </w:p>
    <w:p w14:paraId="38379D25"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Freak-Poli, R., Wagemaker, N., Wang, R., Lysen, T.S., Ikram, M.A., Vernooij, M.W., Dintica, C.S., Vernooij-Dassen, M., Melis, R.J., Laukka, E.J. and Fratiglioni, L., 2022. Loneliness, not social support, is associated with cognitive decline and dementia across two longitudinal population-based cohorts. </w:t>
      </w:r>
      <w:r w:rsidRPr="00090F0D">
        <w:rPr>
          <w:rFonts w:ascii="Times New Roman" w:hAnsi="Times New Roman" w:cs="Times New Roman"/>
          <w:i/>
          <w:iCs/>
          <w:sz w:val="24"/>
          <w:szCs w:val="24"/>
        </w:rPr>
        <w:t>Journal of Alzheimer's Disease</w:t>
      </w:r>
      <w:r w:rsidRPr="00090F0D">
        <w:rPr>
          <w:rFonts w:ascii="Times New Roman" w:hAnsi="Times New Roman" w:cs="Times New Roman"/>
          <w:sz w:val="24"/>
          <w:szCs w:val="24"/>
        </w:rPr>
        <w:t>, </w:t>
      </w:r>
      <w:r w:rsidRPr="00090F0D">
        <w:rPr>
          <w:rFonts w:ascii="Times New Roman" w:hAnsi="Times New Roman" w:cs="Times New Roman"/>
          <w:i/>
          <w:iCs/>
          <w:sz w:val="24"/>
          <w:szCs w:val="24"/>
        </w:rPr>
        <w:t>85</w:t>
      </w:r>
      <w:r w:rsidRPr="00090F0D">
        <w:rPr>
          <w:rFonts w:ascii="Times New Roman" w:hAnsi="Times New Roman" w:cs="Times New Roman"/>
          <w:sz w:val="24"/>
          <w:szCs w:val="24"/>
        </w:rPr>
        <w:t xml:space="preserve">(1), </w:t>
      </w:r>
      <w:r w:rsidRPr="00090F0D">
        <w:rPr>
          <w:rFonts w:ascii="Times New Roman" w:hAnsi="Times New Roman" w:cs="Times New Roman"/>
          <w:sz w:val="24"/>
          <w:szCs w:val="24"/>
        </w:rPr>
        <w:lastRenderedPageBreak/>
        <w:t xml:space="preserve">pp.295-308. </w:t>
      </w:r>
      <w:hyperlink r:id="rId14" w:history="1">
        <w:r w:rsidRPr="00090F0D">
          <w:rPr>
            <w:rStyle w:val="Hyperlink"/>
            <w:rFonts w:ascii="Times New Roman" w:hAnsi="Times New Roman" w:cs="Times New Roman"/>
            <w:sz w:val="24"/>
            <w:szCs w:val="24"/>
          </w:rPr>
          <w:t>https://content.iospress.com/articles/journal-of-alzheimers-disease/jad210330</w:t>
        </w:r>
      </w:hyperlink>
    </w:p>
    <w:p w14:paraId="48946F08"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Luanaigh, C.Ó. and Lawlor, B.A., 2008. Loneliness and the health of older people. </w:t>
      </w:r>
      <w:r w:rsidRPr="00090F0D">
        <w:rPr>
          <w:rFonts w:ascii="Times New Roman" w:hAnsi="Times New Roman" w:cs="Times New Roman"/>
          <w:i/>
          <w:iCs/>
          <w:sz w:val="24"/>
          <w:szCs w:val="24"/>
        </w:rPr>
        <w:t>International Journal of Geriatric Psychiatry: A journal of the psychiatry of late life and allied sciences</w:t>
      </w:r>
      <w:r w:rsidRPr="00090F0D">
        <w:rPr>
          <w:rFonts w:ascii="Times New Roman" w:hAnsi="Times New Roman" w:cs="Times New Roman"/>
          <w:sz w:val="24"/>
          <w:szCs w:val="24"/>
        </w:rPr>
        <w:t>, </w:t>
      </w:r>
      <w:r w:rsidRPr="00090F0D">
        <w:rPr>
          <w:rFonts w:ascii="Times New Roman" w:hAnsi="Times New Roman" w:cs="Times New Roman"/>
          <w:i/>
          <w:iCs/>
          <w:sz w:val="24"/>
          <w:szCs w:val="24"/>
        </w:rPr>
        <w:t>23</w:t>
      </w:r>
      <w:r w:rsidRPr="00090F0D">
        <w:rPr>
          <w:rFonts w:ascii="Times New Roman" w:hAnsi="Times New Roman" w:cs="Times New Roman"/>
          <w:sz w:val="24"/>
          <w:szCs w:val="24"/>
        </w:rPr>
        <w:t xml:space="preserve">(12), pp.1213-1221. </w:t>
      </w:r>
      <w:hyperlink r:id="rId15" w:history="1">
        <w:r w:rsidRPr="00090F0D">
          <w:rPr>
            <w:rStyle w:val="Hyperlink"/>
            <w:rFonts w:ascii="Times New Roman" w:hAnsi="Times New Roman" w:cs="Times New Roman"/>
            <w:sz w:val="24"/>
            <w:szCs w:val="24"/>
          </w:rPr>
          <w:t>https://doi.org/10.1002/gps.2054</w:t>
        </w:r>
      </w:hyperlink>
    </w:p>
    <w:p w14:paraId="0174508A"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Mackett, R., 2015. Improving accessibility for older people–Investing in a valuable asset. </w:t>
      </w:r>
      <w:r w:rsidRPr="00090F0D">
        <w:rPr>
          <w:rFonts w:ascii="Times New Roman" w:hAnsi="Times New Roman" w:cs="Times New Roman"/>
          <w:i/>
          <w:iCs/>
          <w:sz w:val="24"/>
          <w:szCs w:val="24"/>
        </w:rPr>
        <w:t>Journal of Transport &amp; Health</w:t>
      </w:r>
      <w:r w:rsidRPr="00090F0D">
        <w:rPr>
          <w:rFonts w:ascii="Times New Roman" w:hAnsi="Times New Roman" w:cs="Times New Roman"/>
          <w:sz w:val="24"/>
          <w:szCs w:val="24"/>
        </w:rPr>
        <w:t>, </w:t>
      </w:r>
      <w:r w:rsidRPr="00090F0D">
        <w:rPr>
          <w:rFonts w:ascii="Times New Roman" w:hAnsi="Times New Roman" w:cs="Times New Roman"/>
          <w:i/>
          <w:iCs/>
          <w:sz w:val="24"/>
          <w:szCs w:val="24"/>
        </w:rPr>
        <w:t>2</w:t>
      </w:r>
      <w:r w:rsidRPr="00090F0D">
        <w:rPr>
          <w:rFonts w:ascii="Times New Roman" w:hAnsi="Times New Roman" w:cs="Times New Roman"/>
          <w:sz w:val="24"/>
          <w:szCs w:val="24"/>
        </w:rPr>
        <w:t>(1), pp.5-13.</w:t>
      </w:r>
      <w:hyperlink r:id="rId16" w:history="1">
        <w:r w:rsidRPr="00090F0D">
          <w:rPr>
            <w:rStyle w:val="Hyperlink"/>
            <w:rFonts w:ascii="Times New Roman" w:hAnsi="Times New Roman" w:cs="Times New Roman"/>
            <w:sz w:val="24"/>
            <w:szCs w:val="24"/>
          </w:rPr>
          <w:t>https://doi.org/10.1016/j.jth.2014.10.004</w:t>
        </w:r>
      </w:hyperlink>
    </w:p>
    <w:p w14:paraId="66426E4F"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Margulis, S.T., 2003. Privacy as a social issue and behavioral concept. </w:t>
      </w:r>
      <w:r w:rsidRPr="00090F0D">
        <w:rPr>
          <w:rFonts w:ascii="Times New Roman" w:hAnsi="Times New Roman" w:cs="Times New Roman"/>
          <w:i/>
          <w:iCs/>
          <w:sz w:val="24"/>
          <w:szCs w:val="24"/>
        </w:rPr>
        <w:t>Journal of social issues</w:t>
      </w:r>
      <w:r w:rsidRPr="00090F0D">
        <w:rPr>
          <w:rFonts w:ascii="Times New Roman" w:hAnsi="Times New Roman" w:cs="Times New Roman"/>
          <w:sz w:val="24"/>
          <w:szCs w:val="24"/>
        </w:rPr>
        <w:t>, </w:t>
      </w:r>
      <w:r w:rsidRPr="00090F0D">
        <w:rPr>
          <w:rFonts w:ascii="Times New Roman" w:hAnsi="Times New Roman" w:cs="Times New Roman"/>
          <w:i/>
          <w:iCs/>
          <w:sz w:val="24"/>
          <w:szCs w:val="24"/>
        </w:rPr>
        <w:t>59</w:t>
      </w:r>
      <w:r w:rsidRPr="00090F0D">
        <w:rPr>
          <w:rFonts w:ascii="Times New Roman" w:hAnsi="Times New Roman" w:cs="Times New Roman"/>
          <w:sz w:val="24"/>
          <w:szCs w:val="24"/>
        </w:rPr>
        <w:t xml:space="preserve">(2), pp.243-261.. </w:t>
      </w:r>
      <w:hyperlink r:id="rId17" w:history="1">
        <w:r w:rsidRPr="00090F0D">
          <w:rPr>
            <w:rStyle w:val="Hyperlink"/>
            <w:rFonts w:ascii="Times New Roman" w:hAnsi="Times New Roman" w:cs="Times New Roman"/>
            <w:sz w:val="24"/>
            <w:szCs w:val="24"/>
          </w:rPr>
          <w:t>https://doi.org/10.1111/1540-4560.00063</w:t>
        </w:r>
      </w:hyperlink>
    </w:p>
    <w:p w14:paraId="1D8EC50A"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Matlabi, H., Parker, S. G., &amp; McKee, K, 2011. The contribution of home-based technology to older people's quality of life in extra care housing. </w:t>
      </w:r>
      <w:r w:rsidRPr="00090F0D">
        <w:rPr>
          <w:rFonts w:ascii="Times New Roman" w:hAnsi="Times New Roman" w:cs="Times New Roman"/>
          <w:i/>
          <w:iCs/>
          <w:sz w:val="24"/>
          <w:szCs w:val="24"/>
        </w:rPr>
        <w:t>BMC geriatrics</w:t>
      </w:r>
      <w:r w:rsidRPr="00090F0D">
        <w:rPr>
          <w:rFonts w:ascii="Times New Roman" w:hAnsi="Times New Roman" w:cs="Times New Roman"/>
          <w:sz w:val="24"/>
          <w:szCs w:val="24"/>
        </w:rPr>
        <w:t>, </w:t>
      </w:r>
      <w:r w:rsidRPr="00090F0D">
        <w:rPr>
          <w:rFonts w:ascii="Times New Roman" w:hAnsi="Times New Roman" w:cs="Times New Roman"/>
          <w:i/>
          <w:iCs/>
          <w:sz w:val="24"/>
          <w:szCs w:val="24"/>
        </w:rPr>
        <w:t>11</w:t>
      </w:r>
      <w:r w:rsidRPr="00090F0D">
        <w:rPr>
          <w:rFonts w:ascii="Times New Roman" w:hAnsi="Times New Roman" w:cs="Times New Roman"/>
          <w:sz w:val="24"/>
          <w:szCs w:val="24"/>
        </w:rPr>
        <w:t xml:space="preserve">(1), 1-9. </w:t>
      </w:r>
      <w:hyperlink r:id="rId18" w:history="1">
        <w:r w:rsidRPr="00090F0D">
          <w:rPr>
            <w:rStyle w:val="Hyperlink"/>
            <w:rFonts w:ascii="Times New Roman" w:hAnsi="Times New Roman" w:cs="Times New Roman"/>
            <w:sz w:val="24"/>
            <w:szCs w:val="24"/>
          </w:rPr>
          <w:t>https://bmcgeriatr.biomedcentral.com/articles/10.1186/1471-2318-11-68</w:t>
        </w:r>
      </w:hyperlink>
    </w:p>
    <w:p w14:paraId="0929C4A3"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 xml:space="preserve">McIntosh, G., &amp; Phillips, J, 2003. Caring for the elderly: an overview of aged care support and services in Australia. </w:t>
      </w:r>
      <w:hyperlink r:id="rId19" w:history="1">
        <w:r w:rsidRPr="00090F0D">
          <w:rPr>
            <w:rStyle w:val="Hyperlink"/>
            <w:rFonts w:ascii="Times New Roman" w:hAnsi="Times New Roman" w:cs="Times New Roman"/>
            <w:sz w:val="24"/>
            <w:szCs w:val="24"/>
          </w:rPr>
          <w:t>https://web.archive.org/web/20120407210743/http://www.aph.gov.au/About_Parliament/Parliamentary_Departments/Parliamentary_Library/Publications_Archive/archive/agedcare</w:t>
        </w:r>
      </w:hyperlink>
    </w:p>
    <w:p w14:paraId="226956F1"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 xml:space="preserve">National Center for Health Statistics (US, 2012. Health, United States, 2011: With special feature on socioeconomic status and health. </w:t>
      </w:r>
      <w:hyperlink r:id="rId20" w:history="1">
        <w:r w:rsidRPr="00090F0D">
          <w:rPr>
            <w:rStyle w:val="Hyperlink"/>
            <w:rFonts w:ascii="Times New Roman" w:hAnsi="Times New Roman" w:cs="Times New Roman"/>
            <w:sz w:val="24"/>
            <w:szCs w:val="24"/>
          </w:rPr>
          <w:t>https://pubmed.ncbi.nlm.nih.gov/22812021/</w:t>
        </w:r>
      </w:hyperlink>
    </w:p>
    <w:p w14:paraId="3E391818"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lastRenderedPageBreak/>
        <w:t>Prohaska, T., Burholt, V., Burns, A., Golden, J., Hawkley, L., Lawlor, B., ... &amp; Fried, L, 2020. Consensus statement: loneliness in older adults, the 21st century social determinant of health?. </w:t>
      </w:r>
      <w:r w:rsidRPr="00090F0D">
        <w:rPr>
          <w:rFonts w:ascii="Times New Roman" w:hAnsi="Times New Roman" w:cs="Times New Roman"/>
          <w:i/>
          <w:iCs/>
          <w:sz w:val="24"/>
          <w:szCs w:val="24"/>
        </w:rPr>
        <w:t>BMJ open</w:t>
      </w:r>
      <w:r w:rsidRPr="00090F0D">
        <w:rPr>
          <w:rFonts w:ascii="Times New Roman" w:hAnsi="Times New Roman" w:cs="Times New Roman"/>
          <w:sz w:val="24"/>
          <w:szCs w:val="24"/>
        </w:rPr>
        <w:t>, </w:t>
      </w:r>
      <w:r w:rsidRPr="00090F0D">
        <w:rPr>
          <w:rFonts w:ascii="Times New Roman" w:hAnsi="Times New Roman" w:cs="Times New Roman"/>
          <w:i/>
          <w:iCs/>
          <w:sz w:val="24"/>
          <w:szCs w:val="24"/>
        </w:rPr>
        <w:t>10</w:t>
      </w:r>
      <w:r w:rsidRPr="00090F0D">
        <w:rPr>
          <w:rFonts w:ascii="Times New Roman" w:hAnsi="Times New Roman" w:cs="Times New Roman"/>
          <w:sz w:val="24"/>
          <w:szCs w:val="24"/>
        </w:rPr>
        <w:t xml:space="preserve">(8), e034967. </w:t>
      </w:r>
      <w:hyperlink r:id="rId21" w:history="1">
        <w:r w:rsidRPr="00090F0D">
          <w:rPr>
            <w:rStyle w:val="Hyperlink"/>
            <w:rFonts w:ascii="Times New Roman" w:hAnsi="Times New Roman" w:cs="Times New Roman"/>
            <w:sz w:val="24"/>
            <w:szCs w:val="24"/>
          </w:rPr>
          <w:t>https://bmjopen.bmj.com/content/10/8/e034967.abstract</w:t>
        </w:r>
      </w:hyperlink>
    </w:p>
    <w:p w14:paraId="2F5E2191"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Singh, B., &amp; Kiran, U. V, 2013. Loneliness among elderly women. </w:t>
      </w:r>
      <w:r w:rsidRPr="00090F0D">
        <w:rPr>
          <w:rFonts w:ascii="Times New Roman" w:hAnsi="Times New Roman" w:cs="Times New Roman"/>
          <w:i/>
          <w:iCs/>
          <w:sz w:val="24"/>
          <w:szCs w:val="24"/>
        </w:rPr>
        <w:t>International Journal of Humanities and Social Science Invention</w:t>
      </w:r>
      <w:r w:rsidRPr="00090F0D">
        <w:rPr>
          <w:rFonts w:ascii="Times New Roman" w:hAnsi="Times New Roman" w:cs="Times New Roman"/>
          <w:sz w:val="24"/>
          <w:szCs w:val="24"/>
        </w:rPr>
        <w:t>, </w:t>
      </w:r>
      <w:r w:rsidRPr="00090F0D">
        <w:rPr>
          <w:rFonts w:ascii="Times New Roman" w:hAnsi="Times New Roman" w:cs="Times New Roman"/>
          <w:i/>
          <w:iCs/>
          <w:sz w:val="24"/>
          <w:szCs w:val="24"/>
        </w:rPr>
        <w:t>2</w:t>
      </w:r>
      <w:r w:rsidRPr="00090F0D">
        <w:rPr>
          <w:rFonts w:ascii="Times New Roman" w:hAnsi="Times New Roman" w:cs="Times New Roman"/>
          <w:sz w:val="24"/>
          <w:szCs w:val="24"/>
        </w:rPr>
        <w:t xml:space="preserve">(2), 10-14. </w:t>
      </w:r>
      <w:hyperlink r:id="rId22" w:history="1">
        <w:r w:rsidRPr="00090F0D">
          <w:rPr>
            <w:rStyle w:val="Hyperlink"/>
            <w:rFonts w:ascii="Times New Roman" w:hAnsi="Times New Roman" w:cs="Times New Roman"/>
            <w:sz w:val="24"/>
            <w:szCs w:val="24"/>
          </w:rPr>
          <w:t>https://doi.org/10.1111/j.1741-6612.2007.00221.x</w:t>
        </w:r>
      </w:hyperlink>
    </w:p>
    <w:p w14:paraId="493A9124"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Stokes, A.C., Xie, W., Lundberg, D.J., Glei, D.A. and Weinstein, M.A., 2021. Loneliness, social isolation, and all-cause mortality in the United States. </w:t>
      </w:r>
      <w:r w:rsidRPr="00090F0D">
        <w:rPr>
          <w:rFonts w:ascii="Times New Roman" w:hAnsi="Times New Roman" w:cs="Times New Roman"/>
          <w:i/>
          <w:iCs/>
          <w:sz w:val="24"/>
          <w:szCs w:val="24"/>
        </w:rPr>
        <w:t>SSM-mental health</w:t>
      </w:r>
      <w:r w:rsidRPr="00090F0D">
        <w:rPr>
          <w:rFonts w:ascii="Times New Roman" w:hAnsi="Times New Roman" w:cs="Times New Roman"/>
          <w:sz w:val="24"/>
          <w:szCs w:val="24"/>
        </w:rPr>
        <w:t>, </w:t>
      </w:r>
      <w:r w:rsidRPr="00090F0D">
        <w:rPr>
          <w:rFonts w:ascii="Times New Roman" w:hAnsi="Times New Roman" w:cs="Times New Roman"/>
          <w:i/>
          <w:iCs/>
          <w:sz w:val="24"/>
          <w:szCs w:val="24"/>
        </w:rPr>
        <w:t>1</w:t>
      </w:r>
      <w:r w:rsidRPr="00090F0D">
        <w:rPr>
          <w:rFonts w:ascii="Times New Roman" w:hAnsi="Times New Roman" w:cs="Times New Roman"/>
          <w:sz w:val="24"/>
          <w:szCs w:val="24"/>
        </w:rPr>
        <w:t xml:space="preserve">, p.100014. </w:t>
      </w:r>
      <w:hyperlink r:id="rId23" w:history="1">
        <w:r w:rsidRPr="00090F0D">
          <w:rPr>
            <w:rStyle w:val="Hyperlink"/>
            <w:rFonts w:ascii="Times New Roman" w:hAnsi="Times New Roman" w:cs="Times New Roman"/>
            <w:sz w:val="24"/>
            <w:szCs w:val="24"/>
          </w:rPr>
          <w:t>https://doi.org/10.1016/j.ssmmh.2021.100014</w:t>
        </w:r>
      </w:hyperlink>
    </w:p>
    <w:p w14:paraId="66DEE745" w14:textId="77777777" w:rsidR="00090F0D" w:rsidRPr="00090F0D" w:rsidRDefault="00090F0D" w:rsidP="00090F0D">
      <w:pPr>
        <w:spacing w:line="480" w:lineRule="auto"/>
        <w:ind w:left="720" w:hanging="720"/>
        <w:rPr>
          <w:rFonts w:ascii="Times New Roman" w:hAnsi="Times New Roman" w:cs="Times New Roman"/>
          <w:sz w:val="24"/>
          <w:szCs w:val="24"/>
        </w:rPr>
      </w:pPr>
      <w:r w:rsidRPr="00090F0D">
        <w:rPr>
          <w:rFonts w:ascii="Times New Roman" w:hAnsi="Times New Roman" w:cs="Times New Roman"/>
          <w:sz w:val="24"/>
          <w:szCs w:val="24"/>
        </w:rPr>
        <w:t>Valtorta, N., &amp; Hanratty, B, 2012. Loneliness, isolation and the health of older adults: do we need a new research agenda?. </w:t>
      </w:r>
      <w:r w:rsidRPr="00090F0D">
        <w:rPr>
          <w:rFonts w:ascii="Times New Roman" w:hAnsi="Times New Roman" w:cs="Times New Roman"/>
          <w:i/>
          <w:iCs/>
          <w:sz w:val="24"/>
          <w:szCs w:val="24"/>
        </w:rPr>
        <w:t>Journal of the Royal Society of Medicine</w:t>
      </w:r>
      <w:r w:rsidRPr="00090F0D">
        <w:rPr>
          <w:rFonts w:ascii="Times New Roman" w:hAnsi="Times New Roman" w:cs="Times New Roman"/>
          <w:sz w:val="24"/>
          <w:szCs w:val="24"/>
        </w:rPr>
        <w:t>, </w:t>
      </w:r>
      <w:r w:rsidRPr="00090F0D">
        <w:rPr>
          <w:rFonts w:ascii="Times New Roman" w:hAnsi="Times New Roman" w:cs="Times New Roman"/>
          <w:i/>
          <w:iCs/>
          <w:sz w:val="24"/>
          <w:szCs w:val="24"/>
        </w:rPr>
        <w:t>105</w:t>
      </w:r>
      <w:r w:rsidRPr="00090F0D">
        <w:rPr>
          <w:rFonts w:ascii="Times New Roman" w:hAnsi="Times New Roman" w:cs="Times New Roman"/>
          <w:sz w:val="24"/>
          <w:szCs w:val="24"/>
        </w:rPr>
        <w:t xml:space="preserve">(12), 518-522. </w:t>
      </w:r>
      <w:hyperlink r:id="rId24" w:history="1">
        <w:r w:rsidRPr="00090F0D">
          <w:rPr>
            <w:rStyle w:val="Hyperlink"/>
            <w:rFonts w:ascii="Times New Roman" w:hAnsi="Times New Roman" w:cs="Times New Roman"/>
            <w:sz w:val="24"/>
            <w:szCs w:val="24"/>
          </w:rPr>
          <w:t>https://journals.sagepub.com/doi/full/10.1258/jrsm.2012.120128</w:t>
        </w:r>
      </w:hyperlink>
    </w:p>
    <w:p w14:paraId="105B3010" w14:textId="77777777" w:rsidR="00090F0D" w:rsidRPr="00090F0D" w:rsidRDefault="00090F0D" w:rsidP="00090F0D">
      <w:pPr>
        <w:spacing w:line="480" w:lineRule="auto"/>
        <w:ind w:left="720" w:hanging="720"/>
        <w:rPr>
          <w:rStyle w:val="Hyperlink"/>
          <w:rFonts w:ascii="Times New Roman" w:hAnsi="Times New Roman" w:cs="Times New Roman"/>
          <w:sz w:val="24"/>
          <w:szCs w:val="24"/>
        </w:rPr>
      </w:pPr>
      <w:r w:rsidRPr="00090F0D">
        <w:rPr>
          <w:rFonts w:ascii="Times New Roman" w:hAnsi="Times New Roman" w:cs="Times New Roman"/>
          <w:sz w:val="24"/>
          <w:szCs w:val="24"/>
        </w:rPr>
        <w:t>World Health Organization, World Health Organization. Ageing and Life Course Unit, 2008. </w:t>
      </w:r>
      <w:r w:rsidRPr="00090F0D">
        <w:rPr>
          <w:rFonts w:ascii="Times New Roman" w:hAnsi="Times New Roman" w:cs="Times New Roman"/>
          <w:i/>
          <w:iCs/>
          <w:sz w:val="24"/>
          <w:szCs w:val="24"/>
        </w:rPr>
        <w:t>WHO global report on falls prevention in older age</w:t>
      </w:r>
      <w:r w:rsidRPr="00090F0D">
        <w:rPr>
          <w:rFonts w:ascii="Times New Roman" w:hAnsi="Times New Roman" w:cs="Times New Roman"/>
          <w:sz w:val="24"/>
          <w:szCs w:val="24"/>
        </w:rPr>
        <w:t xml:space="preserve">. World Health Organization. </w:t>
      </w:r>
      <w:hyperlink r:id="rId25" w:anchor="v=onepage&amp;q=World%20Health%20Organization%2C%20World%20Health%20Organization.%20Ageing%2C%20%26%20Life%20Course%20Unit.%20(2008).%20WHO%20global%20report%20on%20falls%20prevention%20in%20older%20age.%20World%20Health%20Organization&amp;f=false" w:history="1">
        <w:r w:rsidRPr="00090F0D">
          <w:rPr>
            <w:rStyle w:val="Hyperlink"/>
            <w:rFonts w:ascii="Times New Roman" w:hAnsi="Times New Roman" w:cs="Times New Roman"/>
            <w:sz w:val="24"/>
            <w:szCs w:val="24"/>
          </w:rPr>
          <w:t>https://books.google.co.ke/books?hl=en&amp;lr=&amp;id=ms9o2dvfaQkC&amp;oi=fnd&amp;pg=PA1&amp;dq=World+Health+Organization,+World+Health+Organization.+Ageing,+%26+Life+Course+Unit.+(2008).+WHO+global+report+on+falls+prevention+in+older+age.+World+Health+Organization&amp;ots=5LC0FCYNYP&amp;sig=5F55wOiNRatCSYCmcFfJo9d8CrY&amp;redir_esc=y#v=onepage&amp;q=World%20Health%20Organization%2C%20World%20Health%20Organization.%20Ageing%2C%20%26%20Life%20Course%20Unit.%20(2008).%20W</w:t>
        </w:r>
        <w:r w:rsidRPr="00090F0D">
          <w:rPr>
            <w:rStyle w:val="Hyperlink"/>
            <w:rFonts w:ascii="Times New Roman" w:hAnsi="Times New Roman" w:cs="Times New Roman"/>
            <w:sz w:val="24"/>
            <w:szCs w:val="24"/>
          </w:rPr>
          <w:lastRenderedPageBreak/>
          <w:t>HO%20global%20report%20on%20falls%20prevention%20in%20older%20age.%20World%20Health%20Organization&amp;f=false</w:t>
        </w:r>
      </w:hyperlink>
    </w:p>
    <w:p w14:paraId="154FA22B" w14:textId="77777777" w:rsidR="006D2374" w:rsidRPr="00090F0D" w:rsidRDefault="006D2374" w:rsidP="00090F0D">
      <w:pPr>
        <w:spacing w:line="480" w:lineRule="auto"/>
        <w:ind w:left="720" w:hanging="720"/>
        <w:rPr>
          <w:rFonts w:ascii="Times New Roman" w:hAnsi="Times New Roman" w:cs="Times New Roman"/>
          <w:sz w:val="24"/>
          <w:szCs w:val="24"/>
        </w:rPr>
      </w:pPr>
    </w:p>
    <w:sectPr w:rsidR="006D2374" w:rsidRPr="00090F0D">
      <w:head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1A66D" w14:textId="77777777" w:rsidR="00FC4AD7" w:rsidRDefault="00FC4AD7">
      <w:pPr>
        <w:spacing w:after="0" w:line="240" w:lineRule="auto"/>
      </w:pPr>
      <w:r>
        <w:separator/>
      </w:r>
    </w:p>
  </w:endnote>
  <w:endnote w:type="continuationSeparator" w:id="0">
    <w:p w14:paraId="3EE6A3F3" w14:textId="77777777" w:rsidR="00FC4AD7" w:rsidRDefault="00FC4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82803" w14:textId="77777777" w:rsidR="00FC4AD7" w:rsidRDefault="00FC4AD7">
      <w:pPr>
        <w:spacing w:after="0" w:line="240" w:lineRule="auto"/>
      </w:pPr>
      <w:r>
        <w:separator/>
      </w:r>
    </w:p>
  </w:footnote>
  <w:footnote w:type="continuationSeparator" w:id="0">
    <w:p w14:paraId="06A875D9" w14:textId="77777777" w:rsidR="00FC4AD7" w:rsidRDefault="00FC4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784559"/>
      <w:docPartObj>
        <w:docPartGallery w:val="Page Numbers (Top of Page)"/>
        <w:docPartUnique/>
      </w:docPartObj>
    </w:sdtPr>
    <w:sdtEndPr>
      <w:rPr>
        <w:noProof/>
      </w:rPr>
    </w:sdtEndPr>
    <w:sdtContent>
      <w:p w14:paraId="1679E58A" w14:textId="77777777" w:rsidR="00E80686" w:rsidRDefault="00E80686">
        <w:pPr>
          <w:pStyle w:val="Header"/>
          <w:jc w:val="right"/>
        </w:pPr>
        <w:r>
          <w:fldChar w:fldCharType="begin"/>
        </w:r>
        <w:r>
          <w:instrText xml:space="preserve"> PAGE   \* MERGEFORMAT </w:instrText>
        </w:r>
        <w:r>
          <w:fldChar w:fldCharType="separate"/>
        </w:r>
        <w:r w:rsidR="0002336C">
          <w:rPr>
            <w:noProof/>
          </w:rPr>
          <w:t>11</w:t>
        </w:r>
        <w:r>
          <w:rPr>
            <w:noProof/>
          </w:rPr>
          <w:fldChar w:fldCharType="end"/>
        </w:r>
      </w:p>
    </w:sdtContent>
  </w:sdt>
  <w:p w14:paraId="5D67966E" w14:textId="77777777" w:rsidR="009250EA" w:rsidRDefault="009250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85B"/>
    <w:multiLevelType w:val="multilevel"/>
    <w:tmpl w:val="0AD6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D741A"/>
    <w:multiLevelType w:val="multilevel"/>
    <w:tmpl w:val="9416A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9320E1"/>
    <w:multiLevelType w:val="hybridMultilevel"/>
    <w:tmpl w:val="FB0CB56E"/>
    <w:lvl w:ilvl="0" w:tplc="A9C6C41A">
      <w:start w:val="1"/>
      <w:numFmt w:val="lowerLetter"/>
      <w:lvlText w:val="(%1)"/>
      <w:lvlJc w:val="left"/>
      <w:pPr>
        <w:ind w:left="720" w:hanging="360"/>
      </w:pPr>
      <w:rPr>
        <w:rFonts w:hint="default"/>
        <w:b/>
      </w:rPr>
    </w:lvl>
    <w:lvl w:ilvl="1" w:tplc="8BA6EFAE" w:tentative="1">
      <w:start w:val="1"/>
      <w:numFmt w:val="lowerLetter"/>
      <w:lvlText w:val="%2."/>
      <w:lvlJc w:val="left"/>
      <w:pPr>
        <w:ind w:left="1440" w:hanging="360"/>
      </w:pPr>
    </w:lvl>
    <w:lvl w:ilvl="2" w:tplc="6908E528" w:tentative="1">
      <w:start w:val="1"/>
      <w:numFmt w:val="lowerRoman"/>
      <w:lvlText w:val="%3."/>
      <w:lvlJc w:val="right"/>
      <w:pPr>
        <w:ind w:left="2160" w:hanging="180"/>
      </w:pPr>
    </w:lvl>
    <w:lvl w:ilvl="3" w:tplc="E2928392" w:tentative="1">
      <w:start w:val="1"/>
      <w:numFmt w:val="decimal"/>
      <w:lvlText w:val="%4."/>
      <w:lvlJc w:val="left"/>
      <w:pPr>
        <w:ind w:left="2880" w:hanging="360"/>
      </w:pPr>
    </w:lvl>
    <w:lvl w:ilvl="4" w:tplc="FC1C5E56" w:tentative="1">
      <w:start w:val="1"/>
      <w:numFmt w:val="lowerLetter"/>
      <w:lvlText w:val="%5."/>
      <w:lvlJc w:val="left"/>
      <w:pPr>
        <w:ind w:left="3600" w:hanging="360"/>
      </w:pPr>
    </w:lvl>
    <w:lvl w:ilvl="5" w:tplc="7C3A2D32" w:tentative="1">
      <w:start w:val="1"/>
      <w:numFmt w:val="lowerRoman"/>
      <w:lvlText w:val="%6."/>
      <w:lvlJc w:val="right"/>
      <w:pPr>
        <w:ind w:left="4320" w:hanging="180"/>
      </w:pPr>
    </w:lvl>
    <w:lvl w:ilvl="6" w:tplc="63A64CE0" w:tentative="1">
      <w:start w:val="1"/>
      <w:numFmt w:val="decimal"/>
      <w:lvlText w:val="%7."/>
      <w:lvlJc w:val="left"/>
      <w:pPr>
        <w:ind w:left="5040" w:hanging="360"/>
      </w:pPr>
    </w:lvl>
    <w:lvl w:ilvl="7" w:tplc="B83A3990" w:tentative="1">
      <w:start w:val="1"/>
      <w:numFmt w:val="lowerLetter"/>
      <w:lvlText w:val="%8."/>
      <w:lvlJc w:val="left"/>
      <w:pPr>
        <w:ind w:left="5760" w:hanging="360"/>
      </w:pPr>
    </w:lvl>
    <w:lvl w:ilvl="8" w:tplc="938AB238" w:tentative="1">
      <w:start w:val="1"/>
      <w:numFmt w:val="lowerRoman"/>
      <w:lvlText w:val="%9."/>
      <w:lvlJc w:val="right"/>
      <w:pPr>
        <w:ind w:left="6480" w:hanging="180"/>
      </w:pPr>
    </w:lvl>
  </w:abstractNum>
  <w:abstractNum w:abstractNumId="3" w15:restartNumberingAfterBreak="0">
    <w:nsid w:val="38C46D1F"/>
    <w:multiLevelType w:val="multilevel"/>
    <w:tmpl w:val="02C2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5B454F"/>
    <w:multiLevelType w:val="hybridMultilevel"/>
    <w:tmpl w:val="8A8CBCBA"/>
    <w:lvl w:ilvl="0" w:tplc="DAD6FEAE">
      <w:start w:val="1"/>
      <w:numFmt w:val="lowerLetter"/>
      <w:lvlText w:val="(%1)"/>
      <w:lvlJc w:val="left"/>
      <w:pPr>
        <w:ind w:left="1080" w:hanging="360"/>
      </w:pPr>
      <w:rPr>
        <w:rFonts w:hint="default"/>
        <w:b/>
      </w:rPr>
    </w:lvl>
    <w:lvl w:ilvl="1" w:tplc="EDC2AF7A" w:tentative="1">
      <w:start w:val="1"/>
      <w:numFmt w:val="lowerLetter"/>
      <w:lvlText w:val="%2."/>
      <w:lvlJc w:val="left"/>
      <w:pPr>
        <w:ind w:left="1800" w:hanging="360"/>
      </w:pPr>
    </w:lvl>
    <w:lvl w:ilvl="2" w:tplc="4F0E1B4E" w:tentative="1">
      <w:start w:val="1"/>
      <w:numFmt w:val="lowerRoman"/>
      <w:lvlText w:val="%3."/>
      <w:lvlJc w:val="right"/>
      <w:pPr>
        <w:ind w:left="2520" w:hanging="180"/>
      </w:pPr>
    </w:lvl>
    <w:lvl w:ilvl="3" w:tplc="C2887A7A" w:tentative="1">
      <w:start w:val="1"/>
      <w:numFmt w:val="decimal"/>
      <w:lvlText w:val="%4."/>
      <w:lvlJc w:val="left"/>
      <w:pPr>
        <w:ind w:left="3240" w:hanging="360"/>
      </w:pPr>
    </w:lvl>
    <w:lvl w:ilvl="4" w:tplc="08AE6ACA" w:tentative="1">
      <w:start w:val="1"/>
      <w:numFmt w:val="lowerLetter"/>
      <w:lvlText w:val="%5."/>
      <w:lvlJc w:val="left"/>
      <w:pPr>
        <w:ind w:left="3960" w:hanging="360"/>
      </w:pPr>
    </w:lvl>
    <w:lvl w:ilvl="5" w:tplc="1E4A4E02" w:tentative="1">
      <w:start w:val="1"/>
      <w:numFmt w:val="lowerRoman"/>
      <w:lvlText w:val="%6."/>
      <w:lvlJc w:val="right"/>
      <w:pPr>
        <w:ind w:left="4680" w:hanging="180"/>
      </w:pPr>
    </w:lvl>
    <w:lvl w:ilvl="6" w:tplc="3C9A3E5E" w:tentative="1">
      <w:start w:val="1"/>
      <w:numFmt w:val="decimal"/>
      <w:lvlText w:val="%7."/>
      <w:lvlJc w:val="left"/>
      <w:pPr>
        <w:ind w:left="5400" w:hanging="360"/>
      </w:pPr>
    </w:lvl>
    <w:lvl w:ilvl="7" w:tplc="FA1C8566" w:tentative="1">
      <w:start w:val="1"/>
      <w:numFmt w:val="lowerLetter"/>
      <w:lvlText w:val="%8."/>
      <w:lvlJc w:val="left"/>
      <w:pPr>
        <w:ind w:left="6120" w:hanging="360"/>
      </w:pPr>
    </w:lvl>
    <w:lvl w:ilvl="8" w:tplc="27FAF21A" w:tentative="1">
      <w:start w:val="1"/>
      <w:numFmt w:val="lowerRoman"/>
      <w:lvlText w:val="%9."/>
      <w:lvlJc w:val="right"/>
      <w:pPr>
        <w:ind w:left="6840" w:hanging="180"/>
      </w:pPr>
    </w:lvl>
  </w:abstractNum>
  <w:abstractNum w:abstractNumId="5" w15:restartNumberingAfterBreak="0">
    <w:nsid w:val="688207A5"/>
    <w:multiLevelType w:val="multilevel"/>
    <w:tmpl w:val="E8A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8184116">
    <w:abstractNumId w:val="0"/>
  </w:num>
  <w:num w:numId="2" w16cid:durableId="985622614">
    <w:abstractNumId w:val="3"/>
  </w:num>
  <w:num w:numId="3" w16cid:durableId="436868992">
    <w:abstractNumId w:val="5"/>
  </w:num>
  <w:num w:numId="4" w16cid:durableId="413431268">
    <w:abstractNumId w:val="1"/>
  </w:num>
  <w:num w:numId="5" w16cid:durableId="654139337">
    <w:abstractNumId w:val="2"/>
  </w:num>
  <w:num w:numId="6" w16cid:durableId="11268539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7A3"/>
    <w:rsid w:val="00001425"/>
    <w:rsid w:val="00016802"/>
    <w:rsid w:val="000171F1"/>
    <w:rsid w:val="00022611"/>
    <w:rsid w:val="0002336C"/>
    <w:rsid w:val="00026DEA"/>
    <w:rsid w:val="00031811"/>
    <w:rsid w:val="00032E34"/>
    <w:rsid w:val="000340CB"/>
    <w:rsid w:val="000476E5"/>
    <w:rsid w:val="00051280"/>
    <w:rsid w:val="00054411"/>
    <w:rsid w:val="00061B48"/>
    <w:rsid w:val="00067F3F"/>
    <w:rsid w:val="0007049F"/>
    <w:rsid w:val="00085989"/>
    <w:rsid w:val="00090F0D"/>
    <w:rsid w:val="00091AE7"/>
    <w:rsid w:val="00094031"/>
    <w:rsid w:val="000A331B"/>
    <w:rsid w:val="000A7DB0"/>
    <w:rsid w:val="000B7F08"/>
    <w:rsid w:val="000E128C"/>
    <w:rsid w:val="000F49CA"/>
    <w:rsid w:val="001007D6"/>
    <w:rsid w:val="0010636A"/>
    <w:rsid w:val="00120549"/>
    <w:rsid w:val="001206EF"/>
    <w:rsid w:val="00121F8E"/>
    <w:rsid w:val="00124A0F"/>
    <w:rsid w:val="0012581D"/>
    <w:rsid w:val="001270E1"/>
    <w:rsid w:val="00176198"/>
    <w:rsid w:val="00185CC3"/>
    <w:rsid w:val="00185E6E"/>
    <w:rsid w:val="001862B5"/>
    <w:rsid w:val="00191A6A"/>
    <w:rsid w:val="001A117C"/>
    <w:rsid w:val="001A3AF5"/>
    <w:rsid w:val="001A597E"/>
    <w:rsid w:val="001B2E5F"/>
    <w:rsid w:val="001F3B8E"/>
    <w:rsid w:val="002044B5"/>
    <w:rsid w:val="00222BF5"/>
    <w:rsid w:val="002354EB"/>
    <w:rsid w:val="002601F0"/>
    <w:rsid w:val="002829EC"/>
    <w:rsid w:val="002851D1"/>
    <w:rsid w:val="002939DF"/>
    <w:rsid w:val="002A5060"/>
    <w:rsid w:val="002B3361"/>
    <w:rsid w:val="002D1FBF"/>
    <w:rsid w:val="002E1E6E"/>
    <w:rsid w:val="002F7FC2"/>
    <w:rsid w:val="00310BCF"/>
    <w:rsid w:val="003208A2"/>
    <w:rsid w:val="00323948"/>
    <w:rsid w:val="00325475"/>
    <w:rsid w:val="003300E8"/>
    <w:rsid w:val="003321BC"/>
    <w:rsid w:val="00342BF3"/>
    <w:rsid w:val="00344DA9"/>
    <w:rsid w:val="00345731"/>
    <w:rsid w:val="00355E24"/>
    <w:rsid w:val="0036134D"/>
    <w:rsid w:val="003767A3"/>
    <w:rsid w:val="003853FB"/>
    <w:rsid w:val="0038684D"/>
    <w:rsid w:val="00387C10"/>
    <w:rsid w:val="003A20BE"/>
    <w:rsid w:val="003B508E"/>
    <w:rsid w:val="003E2255"/>
    <w:rsid w:val="00403D65"/>
    <w:rsid w:val="004053E3"/>
    <w:rsid w:val="004179DB"/>
    <w:rsid w:val="00433D07"/>
    <w:rsid w:val="00435E6D"/>
    <w:rsid w:val="00442E9C"/>
    <w:rsid w:val="00444739"/>
    <w:rsid w:val="00444DFA"/>
    <w:rsid w:val="0045080A"/>
    <w:rsid w:val="0045429F"/>
    <w:rsid w:val="00467759"/>
    <w:rsid w:val="0047263F"/>
    <w:rsid w:val="00476D1E"/>
    <w:rsid w:val="004814FE"/>
    <w:rsid w:val="00487891"/>
    <w:rsid w:val="00490723"/>
    <w:rsid w:val="00496981"/>
    <w:rsid w:val="004A3851"/>
    <w:rsid w:val="004A7CD0"/>
    <w:rsid w:val="004B18F8"/>
    <w:rsid w:val="004B78FB"/>
    <w:rsid w:val="004C3BA7"/>
    <w:rsid w:val="004D0C6A"/>
    <w:rsid w:val="004D3D77"/>
    <w:rsid w:val="004E79AB"/>
    <w:rsid w:val="00520924"/>
    <w:rsid w:val="00526CED"/>
    <w:rsid w:val="00531571"/>
    <w:rsid w:val="00532C42"/>
    <w:rsid w:val="005500EA"/>
    <w:rsid w:val="005649D7"/>
    <w:rsid w:val="005732B8"/>
    <w:rsid w:val="00581295"/>
    <w:rsid w:val="00582993"/>
    <w:rsid w:val="005846FC"/>
    <w:rsid w:val="005940C8"/>
    <w:rsid w:val="00595644"/>
    <w:rsid w:val="005A050E"/>
    <w:rsid w:val="005A32DA"/>
    <w:rsid w:val="005A560D"/>
    <w:rsid w:val="005B480C"/>
    <w:rsid w:val="005D635C"/>
    <w:rsid w:val="005F2FE7"/>
    <w:rsid w:val="00602810"/>
    <w:rsid w:val="00615552"/>
    <w:rsid w:val="00623137"/>
    <w:rsid w:val="00635D22"/>
    <w:rsid w:val="006561DF"/>
    <w:rsid w:val="006640AA"/>
    <w:rsid w:val="00670971"/>
    <w:rsid w:val="00671C45"/>
    <w:rsid w:val="00676D71"/>
    <w:rsid w:val="00676E25"/>
    <w:rsid w:val="00681123"/>
    <w:rsid w:val="00683627"/>
    <w:rsid w:val="00692B82"/>
    <w:rsid w:val="006940F0"/>
    <w:rsid w:val="006A3B29"/>
    <w:rsid w:val="006B3E9B"/>
    <w:rsid w:val="006B7226"/>
    <w:rsid w:val="006D2374"/>
    <w:rsid w:val="006E09BD"/>
    <w:rsid w:val="006E0A55"/>
    <w:rsid w:val="006E396C"/>
    <w:rsid w:val="006E5A8D"/>
    <w:rsid w:val="006E7A5B"/>
    <w:rsid w:val="006F6D56"/>
    <w:rsid w:val="00710318"/>
    <w:rsid w:val="007251A6"/>
    <w:rsid w:val="00734174"/>
    <w:rsid w:val="0073612E"/>
    <w:rsid w:val="007411C3"/>
    <w:rsid w:val="0074687F"/>
    <w:rsid w:val="007542C9"/>
    <w:rsid w:val="0075518A"/>
    <w:rsid w:val="00772A11"/>
    <w:rsid w:val="00776EDB"/>
    <w:rsid w:val="00777933"/>
    <w:rsid w:val="007826FA"/>
    <w:rsid w:val="00796C4E"/>
    <w:rsid w:val="007A7865"/>
    <w:rsid w:val="007B2ACE"/>
    <w:rsid w:val="007B6E1B"/>
    <w:rsid w:val="007B6F28"/>
    <w:rsid w:val="007E3B17"/>
    <w:rsid w:val="007E668C"/>
    <w:rsid w:val="007F5CD0"/>
    <w:rsid w:val="007F7D2D"/>
    <w:rsid w:val="00806965"/>
    <w:rsid w:val="00822C71"/>
    <w:rsid w:val="00832A9B"/>
    <w:rsid w:val="008446FB"/>
    <w:rsid w:val="0085165E"/>
    <w:rsid w:val="00852F70"/>
    <w:rsid w:val="008534B6"/>
    <w:rsid w:val="00855F61"/>
    <w:rsid w:val="00862139"/>
    <w:rsid w:val="0086341C"/>
    <w:rsid w:val="00866723"/>
    <w:rsid w:val="0089670D"/>
    <w:rsid w:val="008B6D41"/>
    <w:rsid w:val="008F019D"/>
    <w:rsid w:val="008F6744"/>
    <w:rsid w:val="00917480"/>
    <w:rsid w:val="00923E7A"/>
    <w:rsid w:val="009250EA"/>
    <w:rsid w:val="00935083"/>
    <w:rsid w:val="00961A1F"/>
    <w:rsid w:val="00967DC2"/>
    <w:rsid w:val="00975561"/>
    <w:rsid w:val="0097624B"/>
    <w:rsid w:val="00977E19"/>
    <w:rsid w:val="00986FD2"/>
    <w:rsid w:val="00993194"/>
    <w:rsid w:val="009957C5"/>
    <w:rsid w:val="009B05EB"/>
    <w:rsid w:val="009B3B36"/>
    <w:rsid w:val="009B49AD"/>
    <w:rsid w:val="009C49A4"/>
    <w:rsid w:val="009D408E"/>
    <w:rsid w:val="009D6801"/>
    <w:rsid w:val="009E1820"/>
    <w:rsid w:val="009E6EBB"/>
    <w:rsid w:val="009E7021"/>
    <w:rsid w:val="009F244D"/>
    <w:rsid w:val="009F406C"/>
    <w:rsid w:val="009F7A58"/>
    <w:rsid w:val="00A0397D"/>
    <w:rsid w:val="00A12ABA"/>
    <w:rsid w:val="00A32723"/>
    <w:rsid w:val="00A56459"/>
    <w:rsid w:val="00A57F6D"/>
    <w:rsid w:val="00A611D2"/>
    <w:rsid w:val="00A61E5F"/>
    <w:rsid w:val="00A7460C"/>
    <w:rsid w:val="00A770E3"/>
    <w:rsid w:val="00A82014"/>
    <w:rsid w:val="00A87111"/>
    <w:rsid w:val="00A90127"/>
    <w:rsid w:val="00A93241"/>
    <w:rsid w:val="00AA0651"/>
    <w:rsid w:val="00AA1C59"/>
    <w:rsid w:val="00AA3529"/>
    <w:rsid w:val="00AB1163"/>
    <w:rsid w:val="00AB14BB"/>
    <w:rsid w:val="00AB3EC8"/>
    <w:rsid w:val="00AC14D8"/>
    <w:rsid w:val="00AC74D6"/>
    <w:rsid w:val="00AD0088"/>
    <w:rsid w:val="00AD3074"/>
    <w:rsid w:val="00AE2F0B"/>
    <w:rsid w:val="00AE71E3"/>
    <w:rsid w:val="00AF1FF0"/>
    <w:rsid w:val="00AF72A9"/>
    <w:rsid w:val="00AF744D"/>
    <w:rsid w:val="00B02885"/>
    <w:rsid w:val="00B047C4"/>
    <w:rsid w:val="00B24729"/>
    <w:rsid w:val="00B335F6"/>
    <w:rsid w:val="00B37F62"/>
    <w:rsid w:val="00B41E59"/>
    <w:rsid w:val="00B54014"/>
    <w:rsid w:val="00B7324F"/>
    <w:rsid w:val="00B757B1"/>
    <w:rsid w:val="00B81F93"/>
    <w:rsid w:val="00B84157"/>
    <w:rsid w:val="00B85A66"/>
    <w:rsid w:val="00B92D41"/>
    <w:rsid w:val="00B92EF5"/>
    <w:rsid w:val="00BA0A3A"/>
    <w:rsid w:val="00BA1C00"/>
    <w:rsid w:val="00BB2318"/>
    <w:rsid w:val="00BB5E5B"/>
    <w:rsid w:val="00BB6388"/>
    <w:rsid w:val="00BB6D11"/>
    <w:rsid w:val="00BD641D"/>
    <w:rsid w:val="00BD6834"/>
    <w:rsid w:val="00BD74FC"/>
    <w:rsid w:val="00BD7CA8"/>
    <w:rsid w:val="00BE37C0"/>
    <w:rsid w:val="00BE77DC"/>
    <w:rsid w:val="00BF3AED"/>
    <w:rsid w:val="00C0476E"/>
    <w:rsid w:val="00C1019A"/>
    <w:rsid w:val="00C12EA9"/>
    <w:rsid w:val="00C16584"/>
    <w:rsid w:val="00C43268"/>
    <w:rsid w:val="00C44EB7"/>
    <w:rsid w:val="00C45937"/>
    <w:rsid w:val="00C66486"/>
    <w:rsid w:val="00C71514"/>
    <w:rsid w:val="00C920CB"/>
    <w:rsid w:val="00C93AB7"/>
    <w:rsid w:val="00C9546A"/>
    <w:rsid w:val="00C97635"/>
    <w:rsid w:val="00CC2F20"/>
    <w:rsid w:val="00CC38B6"/>
    <w:rsid w:val="00CC628B"/>
    <w:rsid w:val="00CD3996"/>
    <w:rsid w:val="00CF04E9"/>
    <w:rsid w:val="00D20EA5"/>
    <w:rsid w:val="00D312AF"/>
    <w:rsid w:val="00D34ADA"/>
    <w:rsid w:val="00D41153"/>
    <w:rsid w:val="00D53076"/>
    <w:rsid w:val="00D57E92"/>
    <w:rsid w:val="00D71C24"/>
    <w:rsid w:val="00D72179"/>
    <w:rsid w:val="00D97355"/>
    <w:rsid w:val="00DA653B"/>
    <w:rsid w:val="00DA6560"/>
    <w:rsid w:val="00DC5129"/>
    <w:rsid w:val="00DD1B03"/>
    <w:rsid w:val="00DD5E42"/>
    <w:rsid w:val="00DD627D"/>
    <w:rsid w:val="00DD71BD"/>
    <w:rsid w:val="00E0678B"/>
    <w:rsid w:val="00E06CDF"/>
    <w:rsid w:val="00E12E2D"/>
    <w:rsid w:val="00E15956"/>
    <w:rsid w:val="00E15FCA"/>
    <w:rsid w:val="00E17631"/>
    <w:rsid w:val="00E37ECB"/>
    <w:rsid w:val="00E40EA0"/>
    <w:rsid w:val="00E434D9"/>
    <w:rsid w:val="00E70993"/>
    <w:rsid w:val="00E74137"/>
    <w:rsid w:val="00E77A46"/>
    <w:rsid w:val="00E80686"/>
    <w:rsid w:val="00E9415A"/>
    <w:rsid w:val="00EA5623"/>
    <w:rsid w:val="00EB0237"/>
    <w:rsid w:val="00EE630A"/>
    <w:rsid w:val="00EF2C15"/>
    <w:rsid w:val="00EF62E2"/>
    <w:rsid w:val="00F1004D"/>
    <w:rsid w:val="00F3330C"/>
    <w:rsid w:val="00F33656"/>
    <w:rsid w:val="00F336E6"/>
    <w:rsid w:val="00F37383"/>
    <w:rsid w:val="00F40BF8"/>
    <w:rsid w:val="00F50011"/>
    <w:rsid w:val="00F54965"/>
    <w:rsid w:val="00F5577E"/>
    <w:rsid w:val="00F64771"/>
    <w:rsid w:val="00F7084D"/>
    <w:rsid w:val="00F82EC3"/>
    <w:rsid w:val="00F953C1"/>
    <w:rsid w:val="00FB19EA"/>
    <w:rsid w:val="00FB4E94"/>
    <w:rsid w:val="00FC07E7"/>
    <w:rsid w:val="00FC2CD4"/>
    <w:rsid w:val="00FC4AD7"/>
    <w:rsid w:val="00FD2BFC"/>
    <w:rsid w:val="00FE3425"/>
    <w:rsid w:val="00FF0B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AABE1"/>
  <w15:chartTrackingRefBased/>
  <w15:docId w15:val="{AACF4491-81B3-401A-A5AB-D88A08E29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C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71C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0B16"/>
    <w:rPr>
      <w:color w:val="0563C1" w:themeColor="hyperlink"/>
      <w:u w:val="single"/>
    </w:rPr>
  </w:style>
  <w:style w:type="character" w:styleId="PlaceholderText">
    <w:name w:val="Placeholder Text"/>
    <w:basedOn w:val="DefaultParagraphFont"/>
    <w:uiPriority w:val="99"/>
    <w:semiHidden/>
    <w:rsid w:val="00FD2BFC"/>
    <w:rPr>
      <w:color w:val="808080"/>
    </w:rPr>
  </w:style>
  <w:style w:type="table" w:styleId="TableGrid">
    <w:name w:val="Table Grid"/>
    <w:basedOn w:val="TableNormal"/>
    <w:uiPriority w:val="39"/>
    <w:rsid w:val="00777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50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50EA"/>
  </w:style>
  <w:style w:type="paragraph" w:styleId="Footer">
    <w:name w:val="footer"/>
    <w:basedOn w:val="Normal"/>
    <w:link w:val="FooterChar"/>
    <w:uiPriority w:val="99"/>
    <w:unhideWhenUsed/>
    <w:rsid w:val="009250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50EA"/>
  </w:style>
  <w:style w:type="paragraph" w:styleId="ListParagraph">
    <w:name w:val="List Paragraph"/>
    <w:basedOn w:val="Normal"/>
    <w:uiPriority w:val="34"/>
    <w:qFormat/>
    <w:rsid w:val="009E1820"/>
    <w:pPr>
      <w:ind w:left="720"/>
      <w:contextualSpacing/>
    </w:pPr>
  </w:style>
  <w:style w:type="character" w:customStyle="1" w:styleId="Heading1Char">
    <w:name w:val="Heading 1 Char"/>
    <w:basedOn w:val="DefaultParagraphFont"/>
    <w:link w:val="Heading1"/>
    <w:uiPriority w:val="9"/>
    <w:rsid w:val="00671C4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71C4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E80686"/>
    <w:pPr>
      <w:outlineLvl w:val="9"/>
    </w:pPr>
  </w:style>
  <w:style w:type="paragraph" w:styleId="TOC1">
    <w:name w:val="toc 1"/>
    <w:basedOn w:val="Normal"/>
    <w:next w:val="Normal"/>
    <w:autoRedefine/>
    <w:uiPriority w:val="39"/>
    <w:unhideWhenUsed/>
    <w:rsid w:val="00E80686"/>
    <w:pPr>
      <w:spacing w:after="100"/>
    </w:pPr>
  </w:style>
  <w:style w:type="paragraph" w:styleId="TOC2">
    <w:name w:val="toc 2"/>
    <w:basedOn w:val="Normal"/>
    <w:next w:val="Normal"/>
    <w:autoRedefine/>
    <w:uiPriority w:val="39"/>
    <w:unhideWhenUsed/>
    <w:rsid w:val="00E8068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12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socscimed.2018.05.010" TargetMode="External"/><Relationship Id="rId18" Type="http://schemas.openxmlformats.org/officeDocument/2006/relationships/hyperlink" Target="https://bmcgeriatr.biomedcentral.com/articles/10.1186/1471-2318-11-68"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mjopen.bmj.com/content/10/8/e034967.abstract" TargetMode="External"/><Relationship Id="rId7" Type="http://schemas.openxmlformats.org/officeDocument/2006/relationships/endnotes" Target="endnotes.xml"/><Relationship Id="rId12" Type="http://schemas.openxmlformats.org/officeDocument/2006/relationships/hyperlink" Target="https://www.nature.com/articles/s43587-020-00011-5" TargetMode="External"/><Relationship Id="rId17" Type="http://schemas.openxmlformats.org/officeDocument/2006/relationships/hyperlink" Target="https://doi.org/10.1111/1540-4560.00063" TargetMode="External"/><Relationship Id="rId25" Type="http://schemas.openxmlformats.org/officeDocument/2006/relationships/hyperlink" Target="https://books.google.co.ke/books?hl=en&amp;lr=&amp;id=ms9o2dvfaQkC&amp;oi=fnd&amp;pg=PA1&amp;dq=World+Health+Organization,+World+Health+Organization.+Ageing,+%26+Life+Course+Unit.+(2008).+WHO+global+report+on+falls+prevention+in+older+age.+World+Health+Organization&amp;ots=5LC0FCYNYP&amp;sig=5F55wOiNRatCSYCmcFfJo9d8CrY&amp;redir_esc=y" TargetMode="External"/><Relationship Id="rId2" Type="http://schemas.openxmlformats.org/officeDocument/2006/relationships/numbering" Target="numbering.xml"/><Relationship Id="rId16" Type="http://schemas.openxmlformats.org/officeDocument/2006/relationships/hyperlink" Target="https://doi.org/10.1016/j.jth.2014.10.004" TargetMode="External"/><Relationship Id="rId20" Type="http://schemas.openxmlformats.org/officeDocument/2006/relationships/hyperlink" Target="https://pubmed.ncbi.nlm.nih.gov/2281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JAP-03-2017-0009/full/html" TargetMode="External"/><Relationship Id="rId24" Type="http://schemas.openxmlformats.org/officeDocument/2006/relationships/hyperlink" Target="https://journals.sagepub.com/doi/full/10.1258/jrsm.2012.120128" TargetMode="External"/><Relationship Id="rId5" Type="http://schemas.openxmlformats.org/officeDocument/2006/relationships/webSettings" Target="webSettings.xml"/><Relationship Id="rId15" Type="http://schemas.openxmlformats.org/officeDocument/2006/relationships/hyperlink" Target="https://doi.org/10.1002/gps.2054" TargetMode="External"/><Relationship Id="rId23" Type="http://schemas.openxmlformats.org/officeDocument/2006/relationships/hyperlink" Target="https://doi.org/10.1016/j.ssmmh.2021.100014" TargetMode="External"/><Relationship Id="rId28" Type="http://schemas.openxmlformats.org/officeDocument/2006/relationships/theme" Target="theme/theme1.xml"/><Relationship Id="rId10" Type="http://schemas.openxmlformats.org/officeDocument/2006/relationships/hyperlink" Target="https://doi.org/10.1016/S0305-750X(02)00211-5" TargetMode="External"/><Relationship Id="rId19" Type="http://schemas.openxmlformats.org/officeDocument/2006/relationships/hyperlink" Target="https://web.archive.org/web/20120407210743/http://www.aph.gov.au/About_Parliament/Parliamentary_Departments/Parliamentary_Library/Publications_Archive/archive/agedcare" TargetMode="External"/><Relationship Id="rId4" Type="http://schemas.openxmlformats.org/officeDocument/2006/relationships/settings" Target="settings.xml"/><Relationship Id="rId9" Type="http://schemas.openxmlformats.org/officeDocument/2006/relationships/hyperlink" Target="https://www.emerald.com/insight/content/doi/10.5042/qiaoa.2010.0526/full/html" TargetMode="External"/><Relationship Id="rId14" Type="http://schemas.openxmlformats.org/officeDocument/2006/relationships/hyperlink" Target="https://content.iospress.com/articles/journal-of-alzheimers-disease/jad210330" TargetMode="External"/><Relationship Id="rId22" Type="http://schemas.openxmlformats.org/officeDocument/2006/relationships/hyperlink" Target="https://doi.org/10.1111/j.1741-6612.2007.00221.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1B548-7AF1-489C-B96F-766779129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4216</Words>
  <Characters>24032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hawraa issa</cp:lastModifiedBy>
  <cp:revision>2</cp:revision>
  <dcterms:created xsi:type="dcterms:W3CDTF">2023-01-03T16:02:00Z</dcterms:created>
  <dcterms:modified xsi:type="dcterms:W3CDTF">2023-01-03T16:02:00Z</dcterms:modified>
</cp:coreProperties>
</file>