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ettings.xml" ContentType="application/vnd.openxmlformats-officedocument.wordprocessingml.settings+xml"/>
  <Override PartName="/word/webSettings.xml" ContentType="application/vnd.openxmlformats-officedocument.wordprocessingml.webSettings+xml"/>
  <Override PartName="/customXml/itemProps1.xml" ContentType="application/vnd.openxmlformats-officedocument.customXmlProperties+xml"/>
  <Override PartName="/word/styles.xml" ContentType="application/vnd.openxmlformats-officedocument.wordprocessingml.styles+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5">
      <w:pPr>
        <w:spacing w:before="240" w:after="240" w:line="360" w:lineRule="auto"/>
        <w:jc w:val="both"/>
        <w:rPr>
          <w:lang w:val="en-GB"/>
        </w:rPr>
      </w:pPr>
    </w:p>
    <w:p w14:paraId="00000006">
      <w:pPr>
        <w:spacing w:before="240" w:after="240" w:line="360" w:lineRule="auto"/>
        <w:jc w:val="both"/>
        <w:rPr>
          <w:color w:val="1f1f1f"/>
          <w:sz w:val="32"/>
          <w:shd w:val="clear" w:color="auto" w:fill="ffffff"/>
          <w:lang w:val="en-GB"/>
        </w:rPr>
      </w:pPr>
    </w:p>
    <w:p w14:paraId="00000007">
      <w:pPr>
        <w:spacing w:before="240" w:after="240" w:line="360" w:lineRule="auto"/>
        <w:jc w:val="center"/>
        <w:rPr>
          <w:rFonts w:ascii="Times New Roman" w:cs="Times New Roman" w:hAnsi="Times New Roman"/>
          <w:b/>
          <w:bCs/>
          <w:color w:val="1f1f1f"/>
          <w:sz w:val="24"/>
          <w:szCs w:val="24"/>
          <w:shd w:val="clear" w:color="auto" w:fill="ffffff"/>
          <w:lang w:val="en-GB"/>
        </w:rPr>
      </w:pPr>
      <w:r>
        <w:rPr>
          <w:rFonts w:ascii="Times New Roman" w:cs="Times New Roman" w:hAnsi="Times New Roman"/>
          <w:b/>
          <w:bCs/>
          <w:color w:val="1f1f1f"/>
          <w:sz w:val="24"/>
          <w:szCs w:val="24"/>
          <w:shd w:val="clear" w:color="auto" w:fill="ffffff"/>
          <w:lang w:val="en-GB"/>
        </w:rPr>
        <w:t xml:space="preserve">Sustainable Hospitality and Tourism Management </w:t>
      </w:r>
    </w:p>
    <w:p w14:paraId="00000008">
      <w:pPr>
        <w:spacing w:before="240" w:after="240" w:line="360" w:lineRule="auto"/>
        <w:jc w:val="center"/>
        <w:rPr>
          <w:rFonts w:ascii="Times New Roman" w:cs="Times New Roman" w:hAnsi="Times New Roman"/>
          <w:b/>
          <w:bCs/>
          <w:sz w:val="24"/>
          <w:szCs w:val="24"/>
          <w:lang w:val="en-GB"/>
        </w:rPr>
      </w:pPr>
      <w:r>
        <w:rPr>
          <w:rFonts w:ascii="Times New Roman" w:cs="Times New Roman" w:hAnsi="Times New Roman"/>
          <w:b/>
          <w:bCs/>
          <w:color w:val="1f1f1f"/>
          <w:sz w:val="24"/>
          <w:szCs w:val="24"/>
          <w:shd w:val="clear" w:color="auto" w:fill="ffffff"/>
          <w:lang w:val="en-GB"/>
        </w:rPr>
        <w:t>BMIH5006</w:t>
      </w:r>
    </w:p>
    <w:p w14:paraId="00000009">
      <w:pPr>
        <w:spacing w:before="240" w:after="240" w:line="360" w:lineRule="auto"/>
        <w:jc w:val="center"/>
        <w:rPr>
          <w:rFonts w:ascii="Times New Roman" w:cs="Times New Roman" w:hAnsi="Times New Roman"/>
          <w:sz w:val="24"/>
          <w:szCs w:val="24"/>
          <w:lang w:val="en-GB"/>
        </w:rPr>
      </w:pPr>
      <w:r>
        <w:rPr>
          <w:rFonts w:ascii="Times New Roman" w:cs="Times New Roman" w:hAnsi="Times New Roman"/>
          <w:b/>
          <w:bCs/>
          <w:sz w:val="24"/>
          <w:szCs w:val="24"/>
          <w:lang w:val="en-GB"/>
        </w:rPr>
        <w:t xml:space="preserve">Student </w:t>
      </w:r>
      <w:r>
        <w:rPr>
          <w:rFonts w:ascii="Times New Roman" w:cs="Times New Roman" w:hAnsi="Times New Roman"/>
          <w:b/>
          <w:bCs/>
          <w:sz w:val="24"/>
          <w:szCs w:val="24"/>
          <w:lang w:val="en-GB"/>
        </w:rPr>
        <w:t>N</w:t>
      </w:r>
      <w:r>
        <w:rPr>
          <w:rFonts w:ascii="Times New Roman" w:cs="Times New Roman" w:hAnsi="Times New Roman"/>
          <w:b/>
          <w:bCs/>
          <w:sz w:val="24"/>
          <w:szCs w:val="24"/>
          <w:lang w:val="en-GB"/>
        </w:rPr>
        <w:t xml:space="preserve">ame: </w:t>
      </w:r>
      <w:r>
        <w:rPr>
          <w:rFonts w:ascii="Times New Roman" w:cs="Times New Roman" w:hAnsi="Times New Roman"/>
          <w:sz w:val="24"/>
          <w:szCs w:val="24"/>
          <w:lang w:val="en-GB"/>
        </w:rPr>
        <w:t xml:space="preserve">Alexandra Stroe </w:t>
      </w:r>
    </w:p>
    <w:p w14:paraId="0000000A">
      <w:pPr>
        <w:spacing w:before="240" w:after="240" w:line="360" w:lineRule="auto"/>
        <w:jc w:val="center"/>
        <w:rPr>
          <w:rFonts w:ascii="Times New Roman" w:cs="Times New Roman" w:hAnsi="Times New Roman"/>
          <w:sz w:val="24"/>
          <w:szCs w:val="24"/>
          <w:lang w:val="en-GB"/>
        </w:rPr>
      </w:pPr>
      <w:r>
        <w:rPr>
          <w:rFonts w:ascii="Times New Roman" w:cs="Times New Roman" w:hAnsi="Times New Roman"/>
          <w:b/>
          <w:bCs/>
          <w:sz w:val="24"/>
          <w:szCs w:val="24"/>
          <w:lang w:val="en-GB"/>
        </w:rPr>
        <w:t>Student number:</w:t>
      </w:r>
      <w:r>
        <w:rPr>
          <w:rFonts w:ascii="Times New Roman" w:cs="Times New Roman" w:hAnsi="Times New Roman"/>
          <w:b/>
          <w:bCs/>
          <w:sz w:val="24"/>
          <w:szCs w:val="24"/>
          <w:lang w:val="en-GB"/>
        </w:rPr>
        <w:t xml:space="preserve"> </w:t>
      </w:r>
      <w:r>
        <w:rPr>
          <w:rFonts w:ascii="Times New Roman" w:cs="Times New Roman" w:hAnsi="Times New Roman"/>
          <w:sz w:val="24"/>
          <w:szCs w:val="24"/>
          <w:lang w:val="en-GB"/>
        </w:rPr>
        <w:t>2029014</w:t>
      </w:r>
    </w:p>
    <w:p w14:paraId="0000000B">
      <w:pPr>
        <w:spacing w:before="240" w:after="240" w:line="360" w:lineRule="auto"/>
        <w:jc w:val="center"/>
        <w:rPr>
          <w:lang w:val="en-GB"/>
        </w:rPr>
      </w:pPr>
      <w:r>
        <w:rPr>
          <w:rFonts w:ascii="Times New Roman" w:cs="Times New Roman" w:hAnsi="Times New Roman"/>
          <w:b/>
          <w:bCs/>
          <w:sz w:val="24"/>
          <w:szCs w:val="24"/>
          <w:lang w:val="en-GB"/>
        </w:rPr>
        <w:t>Module Lead:</w:t>
      </w:r>
      <w:r>
        <w:rPr>
          <w:rFonts w:ascii="Times New Roman" w:cs="Times New Roman" w:hAnsi="Times New Roman"/>
          <w:sz w:val="24"/>
          <w:szCs w:val="24"/>
          <w:lang w:val="en-GB"/>
        </w:rPr>
        <w:t xml:space="preserve"> Kathryn Roberts BA (Hons)</w:t>
      </w:r>
      <w:r>
        <w:rPr>
          <w:lang w:val="en-GB"/>
        </w:rPr>
        <w:br w:type="page"/>
      </w:r>
    </w:p>
    <w:p w14:paraId="0000000C">
      <w:pPr>
        <w:pStyle w:val="TOCHeading"/>
        <w:spacing w:after="240" w:line="360" w:lineRule="auto"/>
        <w:jc w:val="both"/>
        <w:rPr>
          <w:rFonts w:ascii="Times New Roman" w:cs="Times New Roman" w:hAnsi="Times New Roman"/>
          <w:sz w:val="24"/>
          <w:szCs w:val="24"/>
          <w:lang w:val="en-GB"/>
        </w:rPr>
      </w:pPr>
      <w:r>
        <w:rPr>
          <w:rFonts w:ascii="Times New Roman" w:cs="Times New Roman" w:hAnsi="Times New Roman"/>
          <w:sz w:val="24"/>
          <w:szCs w:val="24"/>
          <w:lang w:val="en-GB"/>
        </w:rPr>
        <w:t>Table of Contents</w:t>
      </w:r>
    </w:p>
    <w:p w14:paraId="0000000D">
      <w:pPr>
        <w:pStyle w:val="Toc1"/>
        <w:tabs>
          <w:tab w:val="right" w:leader="dot" w:pos="9350"/>
        </w:tabs>
        <w:spacing w:before="240" w:after="240" w:line="360" w:lineRule="auto"/>
        <w:rPr>
          <w:rFonts w:ascii="Times New Roman" w:cs="Times New Roman" w:eastAsiaTheme="minorEastAsia" w:hAnsi="Times New Roman"/>
          <w:b w:val="off"/>
          <w:bCs w:val="off"/>
          <w:color w:val="auto"/>
          <w:sz w:val="24"/>
          <w:szCs w:val="24"/>
          <w:lang w:val="en-GB" w:eastAsia="en-GB"/>
          <w14:ligatures w14:val="standardContextual"/>
        </w:rPr>
      </w:pPr>
      <w:r>
        <w:fldChar w:fldCharType="begin"/>
      </w:r>
      <w:r>
        <w:instrText xml:space="preserve"> TOC \o "1-3" \h \z \u </w:instrText>
      </w:r>
      <w:r>
        <w:fldChar w:fldCharType="separate"/>
      </w:r>
      <w:r>
        <w:fldChar w:fldCharType="begin"/>
      </w:r>
      <w:r>
        <w:instrText xml:space="preserve">HYPERLINK \l "_Toc159878411" </w:instrText>
      </w:r>
      <w:r>
        <w:fldChar w:fldCharType="separate"/>
      </w:r>
      <w:r>
        <w:rPr>
          <w:rStyle w:val="Hyperlink"/>
          <w:rFonts w:ascii="Times New Roman" w:cs="Times New Roman" w:hAnsi="Times New Roman"/>
          <w:b w:val="off"/>
          <w:bCs w:val="off"/>
          <w:sz w:val="24"/>
          <w:szCs w:val="24"/>
          <w:lang w:val="en-GB"/>
        </w:rPr>
        <w:t>Has the hotel been accused of greenwashing?</w:t>
      </w:r>
      <w:r>
        <w:rPr>
          <w:rFonts w:ascii="Times New Roman" w:cs="Times New Roman" w:hAnsi="Times New Roman"/>
          <w:b w:val="off"/>
          <w:bCs w:val="off"/>
          <w:sz w:val="24"/>
          <w:szCs w:val="24"/>
        </w:rPr>
        <w:tab/>
      </w:r>
      <w:r>
        <w:fldChar w:fldCharType="begin"/>
      </w:r>
      <w:r>
        <w:instrText xml:space="preserve"> PAGEREF _Toc159878411 \h </w:instrText>
      </w:r>
      <w:r>
        <w:fldChar w:fldCharType="separate"/>
      </w:r>
      <w:r>
        <w:rPr>
          <w:rFonts w:ascii="Times New Roman" w:cs="Times New Roman" w:hAnsi="Times New Roman"/>
          <w:b w:val="off"/>
          <w:bCs w:val="off"/>
          <w:sz w:val="24"/>
          <w:szCs w:val="24"/>
        </w:rPr>
        <w:t>4</w:t>
      </w:r>
      <w:r>
        <w:fldChar w:fldCharType="end"/>
      </w:r>
      <w:r>
        <w:fldChar w:fldCharType="end"/>
      </w:r>
    </w:p>
    <w:p w14:paraId="0000000E">
      <w:pPr>
        <w:pStyle w:val="Toc1"/>
        <w:tabs>
          <w:tab w:val="right" w:leader="dot" w:pos="9350"/>
        </w:tabs>
        <w:spacing w:before="240" w:after="240" w:line="360" w:lineRule="auto"/>
        <w:rPr>
          <w:rFonts w:ascii="Times New Roman" w:cs="Times New Roman" w:eastAsiaTheme="minorEastAsia" w:hAnsi="Times New Roman"/>
          <w:b w:val="off"/>
          <w:bCs w:val="off"/>
          <w:color w:val="auto"/>
          <w:sz w:val="24"/>
          <w:szCs w:val="24"/>
          <w:lang w:val="en-GB" w:eastAsia="en-GB"/>
          <w14:ligatures w14:val="standardContextual"/>
        </w:rPr>
      </w:pPr>
      <w:r>
        <w:fldChar w:fldCharType="begin"/>
      </w:r>
      <w:r>
        <w:instrText xml:space="preserve">HYPERLINK \l "_Toc159878412" </w:instrText>
      </w:r>
      <w:r>
        <w:fldChar w:fldCharType="separate"/>
      </w:r>
      <w:r>
        <w:rPr>
          <w:rStyle w:val="Hyperlink"/>
          <w:rFonts w:ascii="Times New Roman" w:cs="Times New Roman" w:hAnsi="Times New Roman"/>
          <w:b w:val="off"/>
          <w:bCs w:val="off"/>
          <w:sz w:val="24"/>
          <w:szCs w:val="24"/>
          <w:lang w:val="en-GB"/>
        </w:rPr>
        <w:t>Are there areas where it could be construed that they are greenwashing</w:t>
      </w:r>
      <w:r>
        <w:rPr>
          <w:rFonts w:ascii="Times New Roman" w:cs="Times New Roman" w:hAnsi="Times New Roman"/>
          <w:b w:val="off"/>
          <w:bCs w:val="off"/>
          <w:sz w:val="24"/>
          <w:szCs w:val="24"/>
        </w:rPr>
        <w:tab/>
      </w:r>
      <w:r>
        <w:fldChar w:fldCharType="begin"/>
      </w:r>
      <w:r>
        <w:instrText xml:space="preserve"> PAGEREF _Toc159878412 \h </w:instrText>
      </w:r>
      <w:r>
        <w:fldChar w:fldCharType="separate"/>
      </w:r>
      <w:r>
        <w:rPr>
          <w:rFonts w:ascii="Times New Roman" w:cs="Times New Roman" w:hAnsi="Times New Roman"/>
          <w:b w:val="off"/>
          <w:bCs w:val="off"/>
          <w:sz w:val="24"/>
          <w:szCs w:val="24"/>
        </w:rPr>
        <w:t>5</w:t>
      </w:r>
      <w:r>
        <w:fldChar w:fldCharType="end"/>
      </w:r>
      <w:r>
        <w:fldChar w:fldCharType="end"/>
      </w:r>
    </w:p>
    <w:p w14:paraId="0000000F">
      <w:pPr>
        <w:pStyle w:val="Toc1"/>
        <w:tabs>
          <w:tab w:val="right" w:leader="dot" w:pos="9350"/>
        </w:tabs>
        <w:spacing w:before="240" w:after="240" w:line="360" w:lineRule="auto"/>
        <w:rPr>
          <w:rFonts w:ascii="Times New Roman" w:cs="Times New Roman" w:eastAsiaTheme="minorEastAsia" w:hAnsi="Times New Roman"/>
          <w:b w:val="off"/>
          <w:bCs w:val="off"/>
          <w:color w:val="auto"/>
          <w:sz w:val="24"/>
          <w:szCs w:val="24"/>
          <w:lang w:val="en-GB" w:eastAsia="en-GB"/>
          <w14:ligatures w14:val="standardContextual"/>
        </w:rPr>
      </w:pPr>
      <w:r>
        <w:fldChar w:fldCharType="begin"/>
      </w:r>
      <w:r>
        <w:instrText xml:space="preserve">HYPERLINK \l "_Toc159878413" </w:instrText>
      </w:r>
      <w:r>
        <w:fldChar w:fldCharType="separate"/>
      </w:r>
      <w:r>
        <w:rPr>
          <w:rStyle w:val="Hyperlink"/>
          <w:rFonts w:ascii="Times New Roman" w:cs="Times New Roman" w:hAnsi="Times New Roman"/>
          <w:b w:val="off"/>
          <w:bCs w:val="off"/>
          <w:sz w:val="24"/>
          <w:szCs w:val="24"/>
          <w:lang w:val="en-GB"/>
        </w:rPr>
        <w:t>Do they self-evaluate?</w:t>
      </w:r>
      <w:r>
        <w:rPr>
          <w:rFonts w:ascii="Times New Roman" w:cs="Times New Roman" w:hAnsi="Times New Roman"/>
          <w:b w:val="off"/>
          <w:bCs w:val="off"/>
          <w:sz w:val="24"/>
          <w:szCs w:val="24"/>
        </w:rPr>
        <w:tab/>
      </w:r>
      <w:r>
        <w:fldChar w:fldCharType="begin"/>
      </w:r>
      <w:r>
        <w:instrText xml:space="preserve"> PAGEREF _Toc159878413 \h </w:instrText>
      </w:r>
      <w:r>
        <w:fldChar w:fldCharType="separate"/>
      </w:r>
      <w:r>
        <w:rPr>
          <w:rFonts w:ascii="Times New Roman" w:cs="Times New Roman" w:hAnsi="Times New Roman"/>
          <w:b w:val="off"/>
          <w:bCs w:val="off"/>
          <w:sz w:val="24"/>
          <w:szCs w:val="24"/>
        </w:rPr>
        <w:t>6</w:t>
      </w:r>
      <w:r>
        <w:fldChar w:fldCharType="end"/>
      </w:r>
      <w:r>
        <w:fldChar w:fldCharType="end"/>
      </w:r>
    </w:p>
    <w:p w14:paraId="00000010">
      <w:pPr>
        <w:pStyle w:val="Toc1"/>
        <w:tabs>
          <w:tab w:val="right" w:leader="dot" w:pos="9350"/>
        </w:tabs>
        <w:spacing w:before="240" w:after="240" w:line="360" w:lineRule="auto"/>
        <w:rPr>
          <w:rFonts w:ascii="Times New Roman" w:cs="Times New Roman" w:eastAsiaTheme="minorEastAsia" w:hAnsi="Times New Roman"/>
          <w:b w:val="off"/>
          <w:bCs w:val="off"/>
          <w:color w:val="auto"/>
          <w:sz w:val="24"/>
          <w:szCs w:val="24"/>
          <w:lang w:val="en-GB" w:eastAsia="en-GB"/>
          <w14:ligatures w14:val="standardContextual"/>
        </w:rPr>
      </w:pPr>
      <w:r>
        <w:fldChar w:fldCharType="begin"/>
      </w:r>
      <w:r>
        <w:instrText xml:space="preserve">HYPERLINK \l "_Toc159878414" </w:instrText>
      </w:r>
      <w:r>
        <w:fldChar w:fldCharType="separate"/>
      </w:r>
      <w:r>
        <w:rPr>
          <w:rStyle w:val="Hyperlink"/>
          <w:rFonts w:ascii="Times New Roman" w:cs="Times New Roman" w:hAnsi="Times New Roman"/>
          <w:b w:val="off"/>
          <w:bCs w:val="off"/>
          <w:sz w:val="24"/>
          <w:szCs w:val="24"/>
          <w:lang w:val="en-GB"/>
        </w:rPr>
        <w:t>Why do companies self-evaluate?</w:t>
      </w:r>
      <w:r>
        <w:rPr>
          <w:rFonts w:ascii="Times New Roman" w:cs="Times New Roman" w:hAnsi="Times New Roman"/>
          <w:b w:val="off"/>
          <w:bCs w:val="off"/>
          <w:sz w:val="24"/>
          <w:szCs w:val="24"/>
        </w:rPr>
        <w:tab/>
      </w:r>
      <w:r>
        <w:fldChar w:fldCharType="begin"/>
      </w:r>
      <w:r>
        <w:instrText xml:space="preserve"> PAGEREF _Toc159878414 \h </w:instrText>
      </w:r>
      <w:r>
        <w:fldChar w:fldCharType="separate"/>
      </w:r>
      <w:r>
        <w:rPr>
          <w:rFonts w:ascii="Times New Roman" w:cs="Times New Roman" w:hAnsi="Times New Roman"/>
          <w:b w:val="off"/>
          <w:bCs w:val="off"/>
          <w:sz w:val="24"/>
          <w:szCs w:val="24"/>
        </w:rPr>
        <w:t>8</w:t>
      </w:r>
      <w:r>
        <w:fldChar w:fldCharType="end"/>
      </w:r>
      <w:r>
        <w:fldChar w:fldCharType="end"/>
      </w:r>
    </w:p>
    <w:p w14:paraId="00000011">
      <w:pPr>
        <w:pStyle w:val="Toc1"/>
        <w:tabs>
          <w:tab w:val="right" w:leader="dot" w:pos="9350"/>
        </w:tabs>
        <w:spacing w:before="240" w:after="240" w:line="360" w:lineRule="auto"/>
        <w:rPr>
          <w:rFonts w:ascii="Times New Roman" w:cs="Times New Roman" w:eastAsiaTheme="minorEastAsia" w:hAnsi="Times New Roman"/>
          <w:b w:val="off"/>
          <w:bCs w:val="off"/>
          <w:color w:val="auto"/>
          <w:sz w:val="24"/>
          <w:szCs w:val="24"/>
          <w:lang w:val="en-GB" w:eastAsia="en-GB"/>
          <w14:ligatures w14:val="standardContextual"/>
        </w:rPr>
      </w:pPr>
      <w:r>
        <w:fldChar w:fldCharType="begin"/>
      </w:r>
      <w:r>
        <w:instrText xml:space="preserve">HYPERLINK \l "_Toc159878415" </w:instrText>
      </w:r>
      <w:r>
        <w:fldChar w:fldCharType="separate"/>
      </w:r>
      <w:r>
        <w:rPr>
          <w:rStyle w:val="Hyperlink"/>
          <w:rFonts w:ascii="Times New Roman" w:cs="Times New Roman" w:hAnsi="Times New Roman"/>
          <w:b w:val="off"/>
          <w:bCs w:val="off"/>
          <w:sz w:val="24"/>
          <w:szCs w:val="24"/>
          <w:lang w:val="en-GB"/>
        </w:rPr>
        <w:t>Is ‘Green’ technology being used and is it more sustainable?</w:t>
      </w:r>
      <w:r>
        <w:rPr>
          <w:rFonts w:ascii="Times New Roman" w:cs="Times New Roman" w:hAnsi="Times New Roman"/>
          <w:b w:val="off"/>
          <w:bCs w:val="off"/>
          <w:sz w:val="24"/>
          <w:szCs w:val="24"/>
        </w:rPr>
        <w:tab/>
      </w:r>
      <w:r>
        <w:fldChar w:fldCharType="begin"/>
      </w:r>
      <w:r>
        <w:instrText xml:space="preserve"> PAGEREF _Toc159878415 \h </w:instrText>
      </w:r>
      <w:r>
        <w:fldChar w:fldCharType="separate"/>
      </w:r>
      <w:r>
        <w:rPr>
          <w:rFonts w:ascii="Times New Roman" w:cs="Times New Roman" w:hAnsi="Times New Roman"/>
          <w:b w:val="off"/>
          <w:bCs w:val="off"/>
          <w:sz w:val="24"/>
          <w:szCs w:val="24"/>
        </w:rPr>
        <w:t>9</w:t>
      </w:r>
      <w:r>
        <w:fldChar w:fldCharType="end"/>
      </w:r>
      <w:r>
        <w:fldChar w:fldCharType="end"/>
      </w:r>
    </w:p>
    <w:p w14:paraId="00000012">
      <w:pPr>
        <w:pStyle w:val="Toc1"/>
        <w:tabs>
          <w:tab w:val="right" w:leader="dot" w:pos="9350"/>
        </w:tabs>
        <w:rPr>
          <w:rFonts w:ascii="Times New Roman" w:cs="Times New Roman" w:hAnsi="Times New Roman"/>
          <w:b w:val="off"/>
          <w:bCs w:val="off"/>
          <w:sz w:val="24"/>
          <w:szCs w:val="24"/>
          <w:lang w:val="en-GB"/>
        </w:rPr>
      </w:pPr>
      <w:r>
        <w:fldChar w:fldCharType="begin"/>
      </w:r>
      <w:r>
        <w:instrText xml:space="preserve">HYPERLINK \l "_Toc159878416" </w:instrText>
      </w:r>
      <w:r>
        <w:fldChar w:fldCharType="separate"/>
      </w:r>
      <w:r>
        <w:rPr>
          <w:rStyle w:val="Hyperlink"/>
          <w:rFonts w:ascii="Times New Roman" w:cs="Times New Roman" w:hAnsi="Times New Roman"/>
          <w:b w:val="off"/>
          <w:bCs w:val="off"/>
          <w:sz w:val="24"/>
          <w:szCs w:val="24"/>
          <w:lang w:val="en-GB"/>
        </w:rPr>
        <w:t>What could they do instead of self-evaluating</w:t>
      </w:r>
      <w:r>
        <w:rPr>
          <w:rFonts w:ascii="Times New Roman" w:cs="Times New Roman" w:hAnsi="Times New Roman"/>
          <w:b w:val="off"/>
          <w:bCs w:val="off"/>
          <w:sz w:val="24"/>
          <w:szCs w:val="24"/>
        </w:rPr>
        <w:tab/>
      </w:r>
      <w:r>
        <w:fldChar w:fldCharType="begin"/>
      </w:r>
      <w:r>
        <w:instrText xml:space="preserve"> PAGEREF _Toc159878416 \h </w:instrText>
      </w:r>
      <w:r>
        <w:fldChar w:fldCharType="separate"/>
      </w:r>
      <w:r>
        <w:rPr>
          <w:rFonts w:ascii="Times New Roman" w:cs="Times New Roman" w:hAnsi="Times New Roman"/>
          <w:b w:val="off"/>
          <w:bCs w:val="off"/>
          <w:sz w:val="24"/>
          <w:szCs w:val="24"/>
        </w:rPr>
        <w:t>10</w:t>
      </w:r>
      <w:r>
        <w:fldChar w:fldCharType="end"/>
      </w:r>
      <w:r>
        <w:fldChar w:fldCharType="end"/>
      </w:r>
    </w:p>
    <w:p w14:paraId="00000013">
      <w:pPr>
        <w:pStyle w:val="Toc1"/>
        <w:tabs>
          <w:tab w:val="right" w:leader="dot" w:pos="9350"/>
        </w:tabs>
        <w:rPr>
          <w:rFonts w:ascii="Times New Roman" w:cs="Times New Roman" w:eastAsiaTheme="minorEastAsia" w:hAnsi="Times New Roman"/>
          <w:b w:val="off"/>
          <w:bCs w:val="off"/>
          <w:color w:val="auto"/>
          <w:sz w:val="24"/>
          <w:szCs w:val="24"/>
          <w:lang w:val="en-GB" w:eastAsia="en-GB"/>
          <w14:ligatures w14:val="standardContextual"/>
        </w:rPr>
      </w:pPr>
      <w:r>
        <w:fldChar w:fldCharType="begin"/>
      </w:r>
      <w:r>
        <w:instrText xml:space="preserve">HYPERLINK \l "_Toc159878410" </w:instrText>
      </w:r>
      <w:r>
        <w:fldChar w:fldCharType="separate"/>
      </w:r>
      <w:r>
        <w:rPr>
          <w:rStyle w:val="Hyperlink"/>
          <w:rFonts w:ascii="Times New Roman" w:cs="Times New Roman" w:hAnsi="Times New Roman"/>
          <w:b w:val="off"/>
          <w:bCs w:val="off"/>
          <w:sz w:val="24"/>
          <w:szCs w:val="24"/>
          <w:lang w:val="en-GB"/>
        </w:rPr>
        <w:t>Introduction</w:t>
      </w:r>
      <w:r>
        <w:rPr>
          <w:rFonts w:ascii="Times New Roman" w:cs="Times New Roman" w:hAnsi="Times New Roman"/>
          <w:b w:val="off"/>
          <w:bCs w:val="off"/>
          <w:sz w:val="24"/>
          <w:szCs w:val="24"/>
        </w:rPr>
        <w:tab/>
      </w:r>
      <w:r>
        <w:fldChar w:fldCharType="begin"/>
      </w:r>
      <w:r>
        <w:instrText xml:space="preserve"> PAGEREF _Toc159878410 \h </w:instrText>
      </w:r>
      <w:r>
        <w:fldChar w:fldCharType="separate"/>
      </w:r>
      <w:r>
        <w:rPr>
          <w:rFonts w:ascii="Times New Roman" w:cs="Times New Roman" w:hAnsi="Times New Roman"/>
          <w:b w:val="off"/>
          <w:bCs w:val="off"/>
          <w:sz w:val="24"/>
          <w:szCs w:val="24"/>
        </w:rPr>
        <w:t>3</w:t>
      </w:r>
      <w:r>
        <w:fldChar w:fldCharType="end"/>
      </w:r>
      <w:r>
        <w:fldChar w:fldCharType="end"/>
      </w:r>
    </w:p>
    <w:p w14:paraId="00000014">
      <w:pPr>
        <w:pStyle w:val="Toc1"/>
        <w:tabs>
          <w:tab w:val="right" w:leader="dot" w:pos="9350"/>
        </w:tabs>
        <w:spacing w:before="240" w:after="240" w:line="360" w:lineRule="auto"/>
        <w:rPr>
          <w:rFonts w:ascii="Times New Roman" w:cs="Times New Roman" w:eastAsiaTheme="minorEastAsia" w:hAnsi="Times New Roman"/>
          <w:b w:val="off"/>
          <w:bCs w:val="off"/>
          <w:color w:val="auto"/>
          <w:sz w:val="24"/>
          <w:szCs w:val="24"/>
          <w:lang w:val="en-GB" w:eastAsia="en-GB"/>
          <w14:ligatures w14:val="standardContextual"/>
        </w:rPr>
      </w:pPr>
    </w:p>
    <w:p w14:paraId="00000015">
      <w:pPr>
        <w:pStyle w:val="Toc1"/>
        <w:tabs>
          <w:tab w:val="right" w:leader="dot" w:pos="9350"/>
        </w:tabs>
        <w:spacing w:before="240" w:after="240" w:line="360" w:lineRule="auto"/>
        <w:rPr>
          <w:rFonts w:ascii="Times New Roman" w:cs="Times New Roman" w:eastAsiaTheme="minorEastAsia" w:hAnsi="Times New Roman"/>
          <w:b w:val="off"/>
          <w:bCs w:val="off"/>
          <w:color w:val="auto"/>
          <w:sz w:val="24"/>
          <w:szCs w:val="24"/>
          <w:lang w:val="en-GB" w:eastAsia="en-GB"/>
          <w14:ligatures w14:val="standardContextual"/>
        </w:rPr>
      </w:pPr>
      <w:r>
        <w:fldChar w:fldCharType="begin"/>
      </w:r>
      <w:r>
        <w:instrText xml:space="preserve">HYPERLINK \l "_Toc159878417" </w:instrText>
      </w:r>
      <w:r>
        <w:fldChar w:fldCharType="separate"/>
      </w:r>
      <w:r>
        <w:rPr>
          <w:rStyle w:val="Hyperlink"/>
          <w:rFonts w:ascii="Times New Roman" w:cs="Times New Roman" w:hAnsi="Times New Roman"/>
          <w:b w:val="off"/>
          <w:bCs w:val="off"/>
          <w:sz w:val="24"/>
          <w:szCs w:val="24"/>
          <w:lang w:val="en-GB"/>
        </w:rPr>
        <w:t>Conclusion</w:t>
      </w:r>
      <w:r>
        <w:rPr>
          <w:rFonts w:ascii="Times New Roman" w:cs="Times New Roman" w:hAnsi="Times New Roman"/>
          <w:b w:val="off"/>
          <w:bCs w:val="off"/>
          <w:sz w:val="24"/>
          <w:szCs w:val="24"/>
        </w:rPr>
        <w:tab/>
      </w:r>
      <w:r>
        <w:fldChar w:fldCharType="begin"/>
      </w:r>
      <w:r>
        <w:instrText xml:space="preserve"> PAGEREF _Toc159878417 \h </w:instrText>
      </w:r>
      <w:r>
        <w:fldChar w:fldCharType="separate"/>
      </w:r>
      <w:r>
        <w:rPr>
          <w:rFonts w:ascii="Times New Roman" w:cs="Times New Roman" w:hAnsi="Times New Roman"/>
          <w:b w:val="off"/>
          <w:bCs w:val="off"/>
          <w:sz w:val="24"/>
          <w:szCs w:val="24"/>
        </w:rPr>
        <w:t>11</w:t>
      </w:r>
      <w:r>
        <w:fldChar w:fldCharType="end"/>
      </w:r>
      <w:r>
        <w:fldChar w:fldCharType="end"/>
      </w:r>
    </w:p>
    <w:p w14:paraId="00000016">
      <w:pPr>
        <w:pStyle w:val="Toc1"/>
        <w:tabs>
          <w:tab w:val="right" w:leader="dot" w:pos="9350"/>
        </w:tabs>
        <w:spacing w:before="240" w:after="240" w:line="360" w:lineRule="auto"/>
        <w:rPr>
          <w:rFonts w:ascii="Times New Roman" w:cs="Times New Roman" w:eastAsiaTheme="minorEastAsia" w:hAnsi="Times New Roman"/>
          <w:b/>
          <w:bCs/>
          <w:color w:val="auto"/>
          <w:sz w:val="24"/>
          <w:szCs w:val="24"/>
          <w:lang w:val="en-GB" w:eastAsia="en-GB"/>
          <w14:ligatures w14:val="standardContextual"/>
        </w:rPr>
      </w:pPr>
      <w:r>
        <w:fldChar w:fldCharType="begin"/>
      </w:r>
      <w:r>
        <w:instrText xml:space="preserve">HYPERLINK \l "_Toc159878418" </w:instrText>
      </w:r>
      <w:r>
        <w:fldChar w:fldCharType="separate"/>
      </w:r>
      <w:r>
        <w:rPr>
          <w:rStyle w:val="Hyperlink"/>
          <w:rFonts w:ascii="Times New Roman" w:cs="Times New Roman" w:hAnsi="Times New Roman"/>
          <w:b w:val="off"/>
          <w:bCs w:val="off"/>
          <w:sz w:val="24"/>
          <w:szCs w:val="24"/>
          <w:lang w:val="en-GB"/>
        </w:rPr>
        <w:t>References</w:t>
      </w:r>
      <w:r>
        <w:rPr>
          <w:rFonts w:ascii="Times New Roman" w:cs="Times New Roman" w:hAnsi="Times New Roman"/>
          <w:b w:val="off"/>
          <w:bCs w:val="off"/>
          <w:sz w:val="24"/>
          <w:szCs w:val="24"/>
        </w:rPr>
        <w:tab/>
      </w:r>
      <w:r>
        <w:fldChar w:fldCharType="begin"/>
      </w:r>
      <w:r>
        <w:instrText xml:space="preserve"> PAGEREF _Toc159878418 \h </w:instrText>
      </w:r>
      <w:r>
        <w:fldChar w:fldCharType="separate"/>
      </w:r>
      <w:r>
        <w:rPr>
          <w:rFonts w:ascii="Times New Roman" w:cs="Times New Roman" w:hAnsi="Times New Roman"/>
          <w:b w:val="off"/>
          <w:bCs w:val="off"/>
          <w:sz w:val="24"/>
          <w:szCs w:val="24"/>
        </w:rPr>
        <w:t>12</w:t>
      </w:r>
      <w:r>
        <w:fldChar w:fldCharType="end"/>
      </w:r>
      <w:r>
        <w:fldChar w:fldCharType="end"/>
      </w:r>
    </w:p>
    <w:p w14:paraId="00000017">
      <w:pPr>
        <w:spacing w:before="240" w:after="240" w:line="360" w:lineRule="auto"/>
        <w:jc w:val="both"/>
        <w:rPr>
          <w:lang w:val="en-GB"/>
        </w:rPr>
      </w:pPr>
      <w:r>
        <w:fldChar w:fldCharType="end"/>
      </w:r>
    </w:p>
    <w:p w14:paraId="00000018">
      <w:pPr>
        <w:rPr>
          <w:rFonts w:eastAsiaTheme="majorEastAsia"/>
          <w:color w:val="2f5395" w:themeColor="accent1" w:themeShade="bf"/>
          <w:sz w:val="32"/>
          <w:lang w:val="en-GB"/>
        </w:rPr>
      </w:pPr>
      <w:r>
        <w:rPr>
          <w:lang w:val="en-GB"/>
        </w:rPr>
        <w:br w:type="page"/>
      </w:r>
    </w:p>
    <w:p w14:paraId="00000019">
      <w:pPr>
        <w:pStyle w:val="Style1"/>
        <w:spacing w:line="360" w:lineRule="auto"/>
        <w:jc w:val="both"/>
        <w:rPr>
          <w:rFonts w:ascii="Times New Roman" w:cs="Times New Roman" w:hAnsi="Times New Roman"/>
          <w:sz w:val="24"/>
          <w:szCs w:val="24"/>
          <w:lang w:val="en-GB"/>
        </w:rPr>
      </w:pPr>
      <w:bookmarkStart w:id="0" w:name="_Toc159878410"/>
      <w:r>
        <w:rPr>
          <w:rFonts w:ascii="Times New Roman" w:cs="Times New Roman" w:hAnsi="Times New Roman"/>
          <w:sz w:val="24"/>
          <w:szCs w:val="24"/>
          <w:lang w:val="en-GB"/>
        </w:rPr>
        <w:t>Introduction</w:t>
      </w:r>
      <w:bookmarkEnd w:id="0"/>
    </w:p>
    <w:p w14:paraId="0000001A">
      <w:pPr>
        <w:pStyle w:val="Style2"/>
        <w:spacing w:before="240" w:after="240"/>
        <w:rPr>
          <w:lang w:val="en-GB"/>
        </w:rPr>
      </w:pPr>
      <w:r>
        <w:rPr>
          <w:rFonts w:ascii="Times New Roman" w:cs="Times New Roman" w:hAnsi="Times New Roman"/>
          <w:sz w:val="24"/>
          <w:szCs w:val="24"/>
          <w:lang w:val="en-GB"/>
        </w:rPr>
        <w:t xml:space="preserve">In the quick-changing international of hospitality today, sustainability has end up the most critical factor for resorts all over the world. As people come to be extra aware of the environment, hotels are under more stress to show that they're committed to using eco-friendly methods. But due to the fact there are so many inexperienced badges and claims, humans are beginning to marvel if sustainability efforts are real and if they are operating. For example, the Green Haven Hotel is looked at on this study to peer how nicely it lives as much as its green credentials. </w:t>
      </w:r>
      <w:r>
        <w:rPr>
          <w:rFonts w:ascii="Times New Roman" w:cs="Times New Roman" w:hAnsi="Times New Roman"/>
          <w:sz w:val="24"/>
          <w:szCs w:val="24"/>
          <w:lang w:val="en-GB"/>
        </w:rPr>
        <w:t>Through an analysis of its rules and tactics, the limitations and potential answers to the hunt for proper sustainability in the resort region will be illuminated.</w:t>
      </w:r>
      <w:r>
        <w:rPr>
          <w:lang w:val="en-GB"/>
        </w:rPr>
        <w:br w:type="page"/>
      </w:r>
    </w:p>
    <w:p w14:paraId="0000001B">
      <w:pPr>
        <w:pStyle w:val="Style1"/>
        <w:spacing w:line="360" w:lineRule="auto"/>
        <w:jc w:val="both"/>
        <w:rPr>
          <w:rFonts w:ascii="Times New Roman" w:cs="Times New Roman" w:hAnsi="Times New Roman"/>
          <w:sz w:val="24"/>
          <w:szCs w:val="24"/>
          <w:lang w:val="en-GB"/>
        </w:rPr>
      </w:pPr>
      <w:bookmarkStart w:id="1" w:name="_Toc159878411"/>
      <w:r>
        <w:rPr>
          <w:rFonts w:ascii="Times New Roman" w:cs="Times New Roman" w:hAnsi="Times New Roman"/>
          <w:sz w:val="24"/>
          <w:szCs w:val="24"/>
          <w:lang w:val="en-GB"/>
        </w:rPr>
        <w:t>Has the hotel been accused of greenwashing?</w:t>
      </w:r>
      <w:bookmarkEnd w:id="1"/>
    </w:p>
    <w:p w14:paraId="0000001C">
      <w:pPr>
        <w:pStyle w:val="Style2"/>
        <w:spacing w:before="240" w:after="240"/>
        <w:rPr>
          <w:rStyle w:val="Style2Char"/>
          <w:rFonts w:ascii="Times New Roman" w:cs="Times New Roman" w:hAnsi="Times New Roman"/>
          <w:sz w:val="24"/>
          <w:szCs w:val="24"/>
          <w:lang w:val="en-GB"/>
        </w:rPr>
      </w:pPr>
      <w:r>
        <w:rPr>
          <w:rFonts w:ascii="Times New Roman" w:cs="Times New Roman" w:hAnsi="Times New Roman"/>
          <w:sz w:val="24"/>
          <w:szCs w:val="24"/>
          <w:lang w:val="en-GB"/>
        </w:rPr>
        <w:t>G</w:t>
      </w:r>
      <w:r>
        <w:rPr>
          <w:rStyle w:val="Style2Char"/>
          <w:rFonts w:ascii="Times New Roman" w:cs="Times New Roman" w:hAnsi="Times New Roman"/>
          <w:sz w:val="24"/>
          <w:szCs w:val="24"/>
          <w:lang w:val="en-GB"/>
        </w:rPr>
        <w:t xml:space="preserve">reenwashing is a trouble in the lodge commercial enterprise which can trick individuals who are seeking out green locations to stay. People inside the UK are getting increasingly inquisitive about environmentally pleasant </w:t>
      </w:r>
      <w:r>
        <w:rPr>
          <w:rStyle w:val="Style2Char"/>
          <w:rFonts w:ascii="Times New Roman" w:cs="Times New Roman" w:hAnsi="Times New Roman"/>
          <w:sz w:val="24"/>
          <w:szCs w:val="24"/>
          <w:lang w:val="en-GB"/>
        </w:rPr>
        <w:t>practices;</w:t>
      </w:r>
      <w:r>
        <w:rPr>
          <w:rStyle w:val="Style2Char"/>
          <w:rFonts w:ascii="Times New Roman" w:cs="Times New Roman" w:hAnsi="Times New Roman"/>
          <w:sz w:val="24"/>
          <w:szCs w:val="24"/>
          <w:lang w:val="en-GB"/>
        </w:rPr>
        <w:t xml:space="preserve"> </w:t>
      </w:r>
      <w:r>
        <w:rPr>
          <w:rStyle w:val="Style2Char"/>
          <w:rFonts w:ascii="Times New Roman" w:cs="Times New Roman" w:hAnsi="Times New Roman"/>
          <w:sz w:val="24"/>
          <w:szCs w:val="24"/>
          <w:lang w:val="en-GB"/>
        </w:rPr>
        <w:t>however,</w:t>
      </w:r>
      <w:r>
        <w:rPr>
          <w:rStyle w:val="Style2Char"/>
          <w:rFonts w:ascii="Times New Roman" w:cs="Times New Roman" w:hAnsi="Times New Roman"/>
          <w:sz w:val="24"/>
          <w:szCs w:val="24"/>
          <w:lang w:val="en-GB"/>
        </w:rPr>
        <w:t xml:space="preserve"> the huge variety of inexperienced badges can be deceptive in some instances. One </w:t>
      </w:r>
      <w:r>
        <w:rPr>
          <w:rStyle w:val="Style2Char"/>
          <w:rFonts w:ascii="Times New Roman" w:cs="Times New Roman" w:hAnsi="Times New Roman"/>
          <w:sz w:val="24"/>
          <w:szCs w:val="24"/>
          <w:lang w:val="en-GB"/>
        </w:rPr>
        <w:t xml:space="preserve">hotel </w:t>
      </w:r>
      <w:r>
        <w:rPr>
          <w:rStyle w:val="Style2Char"/>
          <w:rFonts w:ascii="Times New Roman" w:cs="Times New Roman" w:hAnsi="Times New Roman"/>
          <w:sz w:val="24"/>
          <w:szCs w:val="24"/>
          <w:lang w:val="en-GB"/>
        </w:rPr>
        <w:t>that has gotten awful press for being green is the lovely Green Haven Hotel</w:t>
      </w:r>
      <w:r>
        <w:rPr>
          <w:rStyle w:val="Style2Char"/>
          <w:rFonts w:ascii="Times New Roman" w:cs="Times New Roman" w:hAnsi="Times New Roman"/>
          <w:sz w:val="24"/>
          <w:szCs w:val="24"/>
          <w:lang w:val="en-GB"/>
        </w:rPr>
        <w:t xml:space="preserve">. </w:t>
      </w:r>
      <w:r>
        <w:rPr>
          <w:rStyle w:val="Style2Char"/>
          <w:rFonts w:ascii="Times New Roman" w:cs="Times New Roman" w:hAnsi="Times New Roman"/>
          <w:sz w:val="24"/>
          <w:szCs w:val="24"/>
          <w:lang w:val="en-GB"/>
        </w:rPr>
        <w:t>Some people have said that the motel is "greenwashing," although it proudly indicates its many green certifications and awards</w:t>
      </w:r>
      <w:r>
        <w:rPr>
          <w:rStyle w:val="Style2Char"/>
          <w:rFonts w:ascii="Times New Roman" w:cs="Times New Roman" w:hAnsi="Times New Roman"/>
          <w:sz w:val="24"/>
          <w:szCs w:val="24"/>
          <w:lang w:val="en-GB"/>
        </w:rPr>
        <w:t xml:space="preserve"> (</w:t>
      </w:r>
      <w:r>
        <w:rPr>
          <w:rFonts w:ascii="Times New Roman" w:cs="Times New Roman" w:hAnsi="Times New Roman"/>
          <w:color w:val="222222"/>
          <w:sz w:val="24"/>
          <w:szCs w:val="24"/>
          <w:shd w:val="clear" w:color="auto" w:fill="ffffff"/>
          <w:lang w:val="en-GB"/>
        </w:rPr>
        <w:t>Yang et al., 2020)</w:t>
      </w:r>
      <w:r>
        <w:rPr>
          <w:rStyle w:val="Style2Char"/>
          <w:rFonts w:ascii="Times New Roman" w:cs="Times New Roman" w:hAnsi="Times New Roman"/>
          <w:sz w:val="24"/>
          <w:szCs w:val="24"/>
          <w:lang w:val="en-GB"/>
        </w:rPr>
        <w:t>. Some people don't just like the Green Haven Hotel because they say that the lodge's environmental efforts are based extra on self-reported numbers rather than on strict, third-</w:t>
      </w:r>
      <w:r>
        <w:rPr>
          <w:rStyle w:val="Style2Char"/>
          <w:rFonts w:ascii="Times New Roman" w:cs="Times New Roman" w:hAnsi="Times New Roman"/>
          <w:sz w:val="24"/>
          <w:szCs w:val="24"/>
          <w:lang w:val="en-GB"/>
        </w:rPr>
        <w:t>party collaboration</w:t>
      </w:r>
      <w:r>
        <w:rPr>
          <w:rStyle w:val="Style2Char"/>
          <w:rFonts w:ascii="Times New Roman" w:cs="Times New Roman" w:hAnsi="Times New Roman"/>
          <w:sz w:val="24"/>
          <w:szCs w:val="24"/>
          <w:lang w:val="en-GB"/>
        </w:rPr>
        <w:t xml:space="preserve"> standards. For example, the motel brags approximately their strength-saving efforts like strength-efficient system and LED lighting fixtures, however they aren't clean approximately how an awful lot power they without a doubt use or how they may be seeking to decrease their carbon footprint. There have also been proceedings approximately how the resort handles trash from a few guests and environmental activists</w:t>
      </w:r>
      <w:r>
        <w:rPr>
          <w:rStyle w:val="Style2Char"/>
          <w:rFonts w:ascii="Times New Roman" w:cs="Times New Roman" w:hAnsi="Times New Roman"/>
          <w:sz w:val="24"/>
          <w:szCs w:val="24"/>
          <w:lang w:val="en-GB"/>
        </w:rPr>
        <w:t xml:space="preserve"> (</w:t>
      </w:r>
      <w:r>
        <w:rPr>
          <w:rFonts w:ascii="Times New Roman" w:cs="Times New Roman" w:hAnsi="Times New Roman"/>
          <w:color w:val="222222"/>
          <w:sz w:val="24"/>
          <w:szCs w:val="24"/>
          <w:shd w:val="clear" w:color="auto" w:fill="ffffff"/>
          <w:lang w:val="en-GB"/>
        </w:rPr>
        <w:t>Du, 2015)</w:t>
      </w:r>
      <w:r>
        <w:rPr>
          <w:rStyle w:val="Style2Char"/>
          <w:rFonts w:ascii="Times New Roman" w:cs="Times New Roman" w:hAnsi="Times New Roman"/>
          <w:sz w:val="24"/>
          <w:szCs w:val="24"/>
          <w:lang w:val="en-GB"/>
        </w:rPr>
        <w:t>. Many visitors have grumbled that there don't appear to be any recycling symptoms and there are a variety of single-use plastics, even though the lodge says it supports recycling and lowering waste. People also are inquisitive about how committed the Green Haven Hotel is to supporting local communities and the usage of green materials. Ordinary things are going on with the sourcing manner, as some items come from resources that don't seem very sustainable, even though restaurant menus say they use regionally grown ingredients</w:t>
      </w:r>
      <w:r>
        <w:rPr>
          <w:rStyle w:val="Style2Char"/>
          <w:rFonts w:ascii="Times New Roman" w:cs="Times New Roman" w:hAnsi="Times New Roman"/>
          <w:sz w:val="24"/>
          <w:szCs w:val="24"/>
          <w:lang w:val="en-GB"/>
        </w:rPr>
        <w:t xml:space="preserve"> (</w:t>
      </w:r>
      <w:r>
        <w:rPr>
          <w:rFonts w:ascii="Times New Roman" w:cs="Times New Roman" w:hAnsi="Times New Roman"/>
          <w:color w:val="222222"/>
          <w:sz w:val="24"/>
          <w:szCs w:val="24"/>
          <w:shd w:val="clear" w:color="auto" w:fill="ffffff"/>
          <w:lang w:val="en-GB"/>
        </w:rPr>
        <w:t>Gatti et al., 2019)</w:t>
      </w:r>
      <w:r>
        <w:rPr>
          <w:rStyle w:val="Style2Char"/>
          <w:rFonts w:ascii="Times New Roman" w:cs="Times New Roman" w:hAnsi="Times New Roman"/>
          <w:sz w:val="24"/>
          <w:szCs w:val="24"/>
          <w:lang w:val="en-GB"/>
        </w:rPr>
        <w:t xml:space="preserve">. Even if the Green Haven Hotel </w:t>
      </w:r>
      <w:r>
        <w:rPr>
          <w:rStyle w:val="Style2Char"/>
          <w:rFonts w:ascii="Times New Roman" w:cs="Times New Roman" w:hAnsi="Times New Roman"/>
          <w:sz w:val="24"/>
          <w:szCs w:val="24"/>
          <w:lang w:val="en-GB"/>
        </w:rPr>
        <w:t>truly</w:t>
      </w:r>
      <w:r>
        <w:rPr>
          <w:rStyle w:val="Style2Char"/>
          <w:rFonts w:ascii="Times New Roman" w:cs="Times New Roman" w:hAnsi="Times New Roman"/>
          <w:sz w:val="24"/>
          <w:szCs w:val="24"/>
          <w:lang w:val="en-GB"/>
        </w:rPr>
        <w:t xml:space="preserve"> desires to help the environment, the claims that it's miles "greenwashing" make it tough to believe that its efforts are real and operating</w:t>
      </w:r>
      <w:r>
        <w:rPr>
          <w:rStyle w:val="Style2Char"/>
          <w:rFonts w:ascii="Times New Roman" w:cs="Times New Roman" w:hAnsi="Times New Roman"/>
          <w:sz w:val="24"/>
          <w:szCs w:val="24"/>
          <w:lang w:val="en-GB"/>
        </w:rPr>
        <w:t xml:space="preserve"> (</w:t>
      </w:r>
      <w:r>
        <w:rPr>
          <w:rFonts w:ascii="Times New Roman" w:cs="Times New Roman" w:hAnsi="Times New Roman"/>
          <w:color w:val="222222"/>
          <w:sz w:val="24"/>
          <w:szCs w:val="24"/>
          <w:shd w:val="clear" w:color="auto" w:fill="ffffff"/>
          <w:lang w:val="en-GB"/>
        </w:rPr>
        <w:t>Seele and Gatti, 2017)</w:t>
      </w:r>
      <w:r>
        <w:rPr>
          <w:rStyle w:val="Style2Char"/>
          <w:rFonts w:ascii="Times New Roman" w:cs="Times New Roman" w:hAnsi="Times New Roman"/>
          <w:sz w:val="24"/>
          <w:szCs w:val="24"/>
          <w:lang w:val="en-GB"/>
        </w:rPr>
        <w:t>. Hotel guests who care approximately the environment are getting increasingly picky, and locations that place seem before substance may additionally trick them. Lastly, the Green Haven Hotel wasn't formally charged with greenwashing, however the difference between what it said it was like and how it became suggests that the lodge enterprise desires to be extra sincere and accountable if it desires eco-aware customers to make clever alternatives</w:t>
      </w:r>
      <w:r>
        <w:rPr>
          <w:rStyle w:val="Style2Char"/>
          <w:rFonts w:ascii="Times New Roman" w:cs="Times New Roman" w:hAnsi="Times New Roman"/>
          <w:sz w:val="24"/>
          <w:szCs w:val="24"/>
          <w:lang w:val="en-GB"/>
        </w:rPr>
        <w:t xml:space="preserve"> (</w:t>
      </w:r>
      <w:r>
        <w:rPr>
          <w:rFonts w:ascii="Times New Roman" w:cs="Times New Roman" w:hAnsi="Times New Roman"/>
          <w:color w:val="222222"/>
          <w:sz w:val="24"/>
          <w:szCs w:val="24"/>
          <w:shd w:val="clear" w:color="auto" w:fill="ffffff"/>
          <w:lang w:val="en-GB"/>
        </w:rPr>
        <w:t>Wu et al., 2020)</w:t>
      </w:r>
      <w:r>
        <w:rPr>
          <w:rStyle w:val="Style2Char"/>
          <w:rFonts w:ascii="Times New Roman" w:cs="Times New Roman" w:hAnsi="Times New Roman"/>
          <w:sz w:val="24"/>
          <w:szCs w:val="24"/>
          <w:lang w:val="en-GB"/>
        </w:rPr>
        <w:t>.</w:t>
      </w:r>
    </w:p>
    <w:p w14:paraId="0000001D">
      <w:pPr>
        <w:pStyle w:val="Style1"/>
        <w:spacing w:line="360" w:lineRule="auto"/>
        <w:jc w:val="both"/>
        <w:rPr>
          <w:sz w:val="24"/>
          <w:szCs w:val="24"/>
          <w:lang w:val="en-GB"/>
        </w:rPr>
      </w:pPr>
      <w:bookmarkStart w:id="2" w:name="_Toc159878412"/>
      <w:r>
        <w:rPr>
          <w:sz w:val="24"/>
          <w:szCs w:val="24"/>
          <w:lang w:val="en-GB"/>
        </w:rPr>
        <w:t>Are there areas where it could be construed that they are greenwashing</w:t>
      </w:r>
      <w:bookmarkEnd w:id="2"/>
      <w:r>
        <w:rPr>
          <w:sz w:val="24"/>
          <w:szCs w:val="24"/>
          <w:lang w:val="en-GB"/>
        </w:rPr>
        <w:t xml:space="preserve"> </w:t>
      </w:r>
    </w:p>
    <w:p w14:paraId="0000001E">
      <w:pPr>
        <w:pStyle w:val="Style2"/>
        <w:spacing w:before="240" w:after="240"/>
        <w:rPr>
          <w:sz w:val="24"/>
          <w:szCs w:val="24"/>
          <w:lang w:val="en-GB"/>
        </w:rPr>
      </w:pPr>
      <w:r>
        <w:rPr>
          <w:sz w:val="24"/>
          <w:szCs w:val="24"/>
          <w:lang w:val="en-GB"/>
        </w:rPr>
        <w:t xml:space="preserve">When decreasing detergent use, subtly be counted. By now not washing towels each day, the Green Haven Hotel may also seem eco-aware without actually improving sustainability. Even </w:t>
      </w:r>
      <w:r>
        <w:rPr>
          <w:sz w:val="24"/>
          <w:szCs w:val="24"/>
          <w:lang w:val="en-GB"/>
        </w:rPr>
        <w:t>even</w:t>
      </w:r>
      <w:r>
        <w:rPr>
          <w:sz w:val="24"/>
          <w:szCs w:val="24"/>
          <w:lang w:val="en-GB"/>
        </w:rPr>
        <w:t xml:space="preserve"> as decreasing washing frequency saves water and electricity, the environmental effect can be small in comparison to different strategies. Critics say the motel is saving cash by doing this, which may also appear green. Hotels frequently paint streamlining operations and decreasing laundry fees as green measures to attract environmentally conscious clients. Additionally, guests' expectations and tastes may conflict with not washing towels every day. Hospitality consumers might also cost cleanliness and anticipate new towels every day</w:t>
      </w:r>
      <w:r>
        <w:rPr>
          <w:sz w:val="24"/>
          <w:szCs w:val="24"/>
          <w:lang w:val="en-GB"/>
        </w:rPr>
        <w:t xml:space="preserve"> (</w:t>
      </w:r>
      <w:r>
        <w:rPr>
          <w:color w:val="222222"/>
          <w:sz w:val="24"/>
          <w:szCs w:val="24"/>
          <w:shd w:val="clear" w:color="auto" w:fill="ffffff"/>
          <w:lang w:val="en-GB"/>
        </w:rPr>
        <w:t>Lashley, 2015)</w:t>
      </w:r>
      <w:r>
        <w:rPr>
          <w:sz w:val="24"/>
          <w:szCs w:val="24"/>
          <w:lang w:val="en-GB"/>
        </w:rPr>
        <w:t xml:space="preserve">. The hotel's greenwashing efforts may additionally disappoint </w:t>
      </w:r>
      <w:r>
        <w:rPr>
          <w:sz w:val="24"/>
          <w:szCs w:val="24"/>
          <w:lang w:val="en-GB"/>
        </w:rPr>
        <w:t>travelers</w:t>
      </w:r>
      <w:r>
        <w:rPr>
          <w:sz w:val="24"/>
          <w:szCs w:val="24"/>
          <w:lang w:val="en-GB"/>
        </w:rPr>
        <w:t>, who may additionally feel fooled by the aid of the resort's environmental claims. If the hotel genuinely considers towel reuse as a sustainability measure, it may lose the possibility of helping the environment. This challenge can also make guests assume the lodge is "inexperienced" without in reality supporting the environment. Other areas the lodge ought to enhance are strength efficiency, trash discount, and sustainable sourcing</w:t>
      </w:r>
      <w:r>
        <w:rPr>
          <w:sz w:val="24"/>
          <w:szCs w:val="24"/>
          <w:lang w:val="en-GB"/>
        </w:rPr>
        <w:t xml:space="preserve"> (</w:t>
      </w:r>
      <w:r>
        <w:rPr>
          <w:color w:val="222222"/>
          <w:sz w:val="24"/>
          <w:szCs w:val="24"/>
          <w:shd w:val="clear" w:color="auto" w:fill="ffffff"/>
          <w:lang w:val="en-GB"/>
        </w:rPr>
        <w:t>Parguel</w:t>
      </w:r>
      <w:r>
        <w:rPr>
          <w:color w:val="222222"/>
          <w:sz w:val="24"/>
          <w:szCs w:val="24"/>
          <w:shd w:val="clear" w:color="auto" w:fill="ffffff"/>
          <w:lang w:val="en-GB"/>
        </w:rPr>
        <w:t xml:space="preserve"> et al., 2015)</w:t>
      </w:r>
      <w:r>
        <w:rPr>
          <w:sz w:val="24"/>
          <w:szCs w:val="24"/>
          <w:lang w:val="en-GB"/>
        </w:rPr>
        <w:t xml:space="preserve">. Finally, it's worth thinking if the motel's choice to no longer wash towels day by day is an environmentally conscientious pass or simply greenwashing to appear first-class. Being prematurely and genuine in environmental efforts helps encourage </w:t>
      </w:r>
      <w:r>
        <w:rPr>
          <w:sz w:val="24"/>
          <w:szCs w:val="24"/>
          <w:lang w:val="en-GB"/>
        </w:rPr>
        <w:t>travelers</w:t>
      </w:r>
      <w:r>
        <w:rPr>
          <w:sz w:val="24"/>
          <w:szCs w:val="24"/>
          <w:lang w:val="en-GB"/>
        </w:rPr>
        <w:t xml:space="preserve"> to agree with hotel sustainability</w:t>
      </w:r>
      <w:r>
        <w:rPr>
          <w:sz w:val="24"/>
          <w:szCs w:val="24"/>
          <w:lang w:val="en-GB"/>
        </w:rPr>
        <w:t xml:space="preserve"> (</w:t>
      </w:r>
      <w:r>
        <w:rPr>
          <w:color w:val="222222"/>
          <w:sz w:val="24"/>
          <w:szCs w:val="24"/>
          <w:shd w:val="clear" w:color="auto" w:fill="ffffff"/>
          <w:lang w:val="en-GB"/>
        </w:rPr>
        <w:t>Jones et al., 2014)</w:t>
      </w:r>
      <w:r>
        <w:rPr>
          <w:sz w:val="24"/>
          <w:szCs w:val="24"/>
          <w:lang w:val="en-GB"/>
        </w:rPr>
        <w:t>.</w:t>
      </w:r>
    </w:p>
    <w:p w14:paraId="0000001F">
      <w:pPr>
        <w:spacing w:before="240" w:after="240" w:line="360" w:lineRule="auto"/>
        <w:rPr>
          <w:rFonts w:eastAsiaTheme="majorEastAsia"/>
          <w:color w:val="2f5395" w:themeColor="accent1" w:themeShade="bf"/>
          <w:sz w:val="32"/>
          <w:lang w:val="en-GB"/>
        </w:rPr>
      </w:pPr>
      <w:r>
        <w:rPr>
          <w:lang w:val="en-GB"/>
        </w:rPr>
        <w:br w:type="page"/>
      </w:r>
    </w:p>
    <w:p w14:paraId="00000020">
      <w:pPr>
        <w:pStyle w:val="Style1"/>
        <w:spacing w:line="360" w:lineRule="auto"/>
        <w:jc w:val="both"/>
        <w:rPr>
          <w:rFonts w:ascii="Times New Roman" w:cs="Times New Roman" w:hAnsi="Times New Roman"/>
          <w:sz w:val="24"/>
          <w:szCs w:val="24"/>
          <w:lang w:val="en-GB"/>
        </w:rPr>
      </w:pPr>
      <w:bookmarkStart w:id="3" w:name="_Toc159878413"/>
      <w:r>
        <w:rPr>
          <w:rFonts w:ascii="Times New Roman" w:cs="Times New Roman" w:hAnsi="Times New Roman"/>
          <w:sz w:val="24"/>
          <w:szCs w:val="24"/>
          <w:lang w:val="en-GB"/>
        </w:rPr>
        <w:t xml:space="preserve">Do they </w:t>
      </w:r>
      <w:r>
        <w:rPr>
          <w:rFonts w:ascii="Times New Roman" w:cs="Times New Roman" w:hAnsi="Times New Roman"/>
          <w:sz w:val="24"/>
          <w:szCs w:val="24"/>
          <w:lang w:val="en-GB"/>
        </w:rPr>
        <w:t>self-evaluate</w:t>
      </w:r>
      <w:r>
        <w:rPr>
          <w:rFonts w:ascii="Times New Roman" w:cs="Times New Roman" w:hAnsi="Times New Roman"/>
          <w:sz w:val="24"/>
          <w:szCs w:val="24"/>
          <w:lang w:val="en-GB"/>
        </w:rPr>
        <w:t>?</w:t>
      </w:r>
      <w:bookmarkEnd w:id="3"/>
    </w:p>
    <w:p w14:paraId="00000021">
      <w:pPr>
        <w:pStyle w:val="Style2"/>
        <w:spacing w:before="240" w:after="240"/>
        <w:rPr>
          <w:rFonts w:ascii="Times New Roman" w:cs="Times New Roman" w:hAnsi="Times New Roman"/>
          <w:sz w:val="24"/>
          <w:szCs w:val="24"/>
          <w:lang w:val="en-GB"/>
        </w:rPr>
      </w:pPr>
      <w:r>
        <w:rPr>
          <w:rFonts w:ascii="Times New Roman" w:cs="Times New Roman" w:hAnsi="Times New Roman"/>
          <w:sz w:val="24"/>
          <w:szCs w:val="24"/>
          <w:lang w:val="en-GB"/>
        </w:rPr>
        <w:t xml:space="preserve">Hotels frequently examine their environmental regulations and procedures, and the Green Haven Hotel is not any different. Hotels can find out how nicely their sustainability efforts are working, and what the problems are, and display that they are certainly devoted to being environmentally friendly with the aid of doing an internal look. How nicely an </w:t>
      </w:r>
      <w:r>
        <w:rPr>
          <w:rFonts w:ascii="Times New Roman" w:cs="Times New Roman" w:hAnsi="Times New Roman"/>
          <w:sz w:val="24"/>
          <w:szCs w:val="24"/>
          <w:lang w:val="en-GB"/>
        </w:rPr>
        <w:t>inn's</w:t>
      </w:r>
      <w:r>
        <w:rPr>
          <w:rFonts w:ascii="Times New Roman" w:cs="Times New Roman" w:hAnsi="Times New Roman"/>
          <w:sz w:val="24"/>
          <w:szCs w:val="24"/>
          <w:lang w:val="en-GB"/>
        </w:rPr>
        <w:t xml:space="preserve"> self-evaluation strategies work relies upon how open, thorough, and prepared it is to face troubles</w:t>
      </w:r>
      <w:r>
        <w:rPr>
          <w:rFonts w:ascii="Times New Roman" w:cs="Times New Roman" w:hAnsi="Times New Roman"/>
          <w:sz w:val="24"/>
          <w:szCs w:val="24"/>
          <w:lang w:val="en-GB"/>
        </w:rPr>
        <w:t xml:space="preserve"> (</w:t>
      </w:r>
      <w:r>
        <w:rPr>
          <w:rFonts w:ascii="Times New Roman" w:cs="Times New Roman" w:hAnsi="Times New Roman"/>
          <w:color w:val="222222"/>
          <w:sz w:val="24"/>
          <w:szCs w:val="24"/>
          <w:shd w:val="clear" w:color="auto" w:fill="ffffff"/>
          <w:lang w:val="en-GB"/>
        </w:rPr>
        <w:t>Flynn et al., 2017)</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The Green Haven Hotel has possibly installed ways to evaluate itself so that it could keep in tune with its efforts to be greater environmentally pleasant. One way to attain this goal is to maintain an eye on their environmental performance by checking key markers like how a whole lot water and energy they use, how much trash they make, and what sort of greenhouse fuel they release</w:t>
      </w:r>
      <w:r>
        <w:rPr>
          <w:rFonts w:ascii="Times New Roman" w:cs="Times New Roman" w:hAnsi="Times New Roman"/>
          <w:sz w:val="24"/>
          <w:szCs w:val="24"/>
          <w:lang w:val="en-GB"/>
        </w:rPr>
        <w:t xml:space="preserve"> (</w:t>
      </w:r>
      <w:r>
        <w:rPr>
          <w:rFonts w:ascii="Times New Roman" w:cs="Times New Roman" w:hAnsi="Times New Roman"/>
          <w:color w:val="222222"/>
          <w:sz w:val="24"/>
          <w:szCs w:val="24"/>
          <w:shd w:val="clear" w:color="auto" w:fill="ffffff"/>
          <w:lang w:val="en-GB"/>
        </w:rPr>
        <w:t>SHEN, n.d.)</w:t>
      </w:r>
      <w:r>
        <w:rPr>
          <w:rFonts w:ascii="Times New Roman" w:cs="Times New Roman" w:hAnsi="Times New Roman"/>
          <w:sz w:val="24"/>
          <w:szCs w:val="24"/>
          <w:lang w:val="en-GB"/>
        </w:rPr>
        <w:t>. Self-evaluation shall we the motel's management preserve a watch on how well they may be meeting their inexperienced desires, find locations where they can do better, and take action to fix the troubles they discover.</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However, the hotel may not fully recognize its effect on the environment through self-evaluation. There is a risk that the motel's self-said records are not correct or are skewed since it hasn't been checked or licensed with the aid of an honest party. People may not accept this as true with the hotel's eco-claims because they're now not being supervised via an impartial</w:t>
      </w:r>
      <w:r>
        <w:rPr>
          <w:rFonts w:ascii="Times New Roman" w:cs="Times New Roman" w:hAnsi="Times New Roman"/>
          <w:sz w:val="24"/>
          <w:szCs w:val="24"/>
          <w:lang w:val="en-GB"/>
        </w:rPr>
        <w:t xml:space="preserve"> third-party collaboration</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Self-assessment may additionally pass over some environmental factors or provide greater weight to sports that do not appear to have as much of an effect due to the fact they may be easy to degree or do</w:t>
      </w:r>
      <w:r>
        <w:rPr>
          <w:rFonts w:ascii="Times New Roman" w:cs="Times New Roman" w:hAnsi="Times New Roman"/>
          <w:sz w:val="24"/>
          <w:szCs w:val="24"/>
          <w:lang w:val="en-GB"/>
        </w:rPr>
        <w:t xml:space="preserve"> (</w:t>
      </w:r>
      <w:r>
        <w:rPr>
          <w:rFonts w:ascii="Times New Roman" w:cs="Times New Roman" w:hAnsi="Times New Roman"/>
          <w:color w:val="222222"/>
          <w:sz w:val="24"/>
          <w:szCs w:val="24"/>
          <w:shd w:val="clear" w:color="auto" w:fill="ffffff"/>
          <w:lang w:val="en-GB"/>
        </w:rPr>
        <w:t>Thai and Nguyen, 2022)</w:t>
      </w:r>
      <w:r>
        <w:rPr>
          <w:rFonts w:ascii="Times New Roman" w:cs="Times New Roman" w:hAnsi="Times New Roman"/>
          <w:sz w:val="24"/>
          <w:szCs w:val="24"/>
          <w:lang w:val="en-GB"/>
        </w:rPr>
        <w:t>. The inn can be responsible for greenwashing if it best talks about approximately empty tasks as opposed to real, lengthy-term adjustments to make it greater environmentally pleasant.</w:t>
      </w:r>
    </w:p>
    <w:p w14:paraId="00000022">
      <w:pPr>
        <w:pStyle w:val="Style2"/>
        <w:spacing w:before="240" w:after="240"/>
        <w:rPr>
          <w:rFonts w:ascii="Times New Roman" w:cs="Times New Roman" w:hAnsi="Times New Roman"/>
          <w:sz w:val="24"/>
          <w:szCs w:val="24"/>
          <w:lang w:val="en-GB"/>
        </w:rPr>
      </w:pPr>
      <w:r>
        <w:rPr>
          <w:rFonts w:ascii="Times New Roman" w:cs="Times New Roman" w:hAnsi="Times New Roman"/>
          <w:sz w:val="24"/>
          <w:szCs w:val="24"/>
          <w:lang w:val="en-GB"/>
        </w:rPr>
        <w:t>Hotels just like the Green Haven Hotel might do well to return their internal sustainability checks with external approval from famous certification applications or audits carried out by using unbiased assessors</w:t>
      </w:r>
      <w:r>
        <w:rPr>
          <w:rFonts w:ascii="Times New Roman" w:cs="Times New Roman" w:hAnsi="Times New Roman"/>
          <w:sz w:val="24"/>
          <w:szCs w:val="24"/>
          <w:lang w:val="en-GB"/>
        </w:rPr>
        <w:t xml:space="preserve"> (</w:t>
      </w:r>
      <w:r>
        <w:rPr>
          <w:rFonts w:ascii="Times New Roman" w:cs="Times New Roman" w:hAnsi="Times New Roman"/>
          <w:color w:val="222222"/>
          <w:sz w:val="24"/>
          <w:szCs w:val="24"/>
          <w:shd w:val="clear" w:color="auto" w:fill="ffffff"/>
          <w:lang w:val="en-GB"/>
        </w:rPr>
        <w:t>Pupavac</w:t>
      </w:r>
      <w:r>
        <w:rPr>
          <w:rFonts w:ascii="Times New Roman" w:cs="Times New Roman" w:hAnsi="Times New Roman"/>
          <w:color w:val="222222"/>
          <w:sz w:val="24"/>
          <w:szCs w:val="24"/>
          <w:shd w:val="clear" w:color="auto" w:fill="ffffff"/>
          <w:lang w:val="en-GB"/>
        </w:rPr>
        <w:t>, 2020)</w:t>
      </w:r>
      <w:r>
        <w:rPr>
          <w:rFonts w:ascii="Times New Roman" w:cs="Times New Roman" w:hAnsi="Times New Roman"/>
          <w:sz w:val="24"/>
          <w:szCs w:val="24"/>
          <w:lang w:val="en-GB"/>
        </w:rPr>
        <w:t>. This could make their sustainability efforts greater credible. The resort's claims approximately being environmentally pleasant are sponsored with the aid of excessive standards and out-of-door critiques, which reassure customers and stakeholders.</w:t>
      </w:r>
    </w:p>
    <w:p w14:paraId="00000023">
      <w:pPr>
        <w:pStyle w:val="Style2"/>
        <w:spacing w:before="240" w:after="240"/>
        <w:rPr>
          <w:rFonts w:ascii="Times New Roman" w:cs="Times New Roman" w:hAnsi="Times New Roman"/>
          <w:lang w:val="en-GB"/>
        </w:rPr>
      </w:pPr>
      <w:r>
        <w:rPr>
          <w:rFonts w:ascii="Times New Roman" w:cs="Times New Roman" w:hAnsi="Times New Roman"/>
          <w:lang w:val="en-GB"/>
        </w:rPr>
        <w:t xml:space="preserve">To sum up, inns can </w:t>
      </w:r>
      <w:r>
        <w:rPr>
          <w:rFonts w:ascii="Times New Roman" w:cs="Times New Roman" w:hAnsi="Times New Roman"/>
          <w:lang w:val="en-GB"/>
        </w:rPr>
        <w:t>analyze</w:t>
      </w:r>
      <w:r>
        <w:rPr>
          <w:rFonts w:ascii="Times New Roman" w:cs="Times New Roman" w:hAnsi="Times New Roman"/>
          <w:lang w:val="en-GB"/>
        </w:rPr>
        <w:t xml:space="preserve"> plenty of approximately how sustainable they are with the aid of evaluating themselves. However, they must also use out-of-door proof to ensure that their environmental actions are honest, believable, and held accountable. By the usage of </w:t>
      </w:r>
      <w:r>
        <w:rPr>
          <w:lang w:val="en-GB"/>
        </w:rPr>
        <w:t xml:space="preserve">a </w:t>
      </w:r>
      <w:r>
        <w:rPr>
          <w:rFonts w:ascii="Times New Roman" w:cs="Times New Roman" w:hAnsi="Times New Roman"/>
          <w:lang w:val="en-GB"/>
        </w:rPr>
        <w:t>comprehensive plan, the lodge shows that it cares about the surroundings and wins the agreement with guests who care approximately the surroundings.</w:t>
      </w:r>
    </w:p>
    <w:p w14:paraId="00000024">
      <w:pPr>
        <w:spacing w:before="240" w:after="240" w:line="360" w:lineRule="auto"/>
        <w:rPr>
          <w:rFonts w:ascii="Times New Roman" w:cs="Times New Roman" w:eastAsiaTheme="majorEastAsia" w:hAnsi="Times New Roman"/>
          <w:color w:val="2f5395" w:themeColor="accent1" w:themeShade="bf"/>
          <w:sz w:val="32"/>
          <w:lang w:val="en-GB"/>
        </w:rPr>
      </w:pPr>
      <w:r>
        <w:rPr>
          <w:rFonts w:ascii="Times New Roman" w:cs="Times New Roman" w:hAnsi="Times New Roman"/>
          <w:lang w:val="en-GB"/>
        </w:rPr>
        <w:br w:type="page"/>
      </w:r>
    </w:p>
    <w:p w14:paraId="00000025">
      <w:pPr>
        <w:pStyle w:val="Style1"/>
        <w:spacing w:line="360" w:lineRule="auto"/>
        <w:jc w:val="both"/>
        <w:rPr>
          <w:rFonts w:ascii="Times New Roman" w:cs="Times New Roman" w:hAnsi="Times New Roman"/>
          <w:sz w:val="24"/>
          <w:szCs w:val="24"/>
          <w:lang w:val="en-GB"/>
        </w:rPr>
      </w:pPr>
      <w:bookmarkStart w:id="4" w:name="_Toc159878414"/>
      <w:r>
        <w:rPr>
          <w:rFonts w:ascii="Times New Roman" w:cs="Times New Roman" w:hAnsi="Times New Roman"/>
          <w:sz w:val="24"/>
          <w:szCs w:val="24"/>
          <w:lang w:val="en-GB"/>
        </w:rPr>
        <w:t xml:space="preserve">Why do companies </w:t>
      </w:r>
      <w:r>
        <w:rPr>
          <w:rFonts w:ascii="Times New Roman" w:cs="Times New Roman" w:hAnsi="Times New Roman"/>
          <w:sz w:val="24"/>
          <w:szCs w:val="24"/>
          <w:lang w:val="en-GB"/>
        </w:rPr>
        <w:t>self-evaluate</w:t>
      </w:r>
      <w:r>
        <w:rPr>
          <w:rFonts w:ascii="Times New Roman" w:cs="Times New Roman" w:hAnsi="Times New Roman"/>
          <w:sz w:val="24"/>
          <w:szCs w:val="24"/>
          <w:lang w:val="en-GB"/>
        </w:rPr>
        <w:t>?</w:t>
      </w:r>
      <w:bookmarkEnd w:id="4"/>
    </w:p>
    <w:p w14:paraId="00000026">
      <w:pPr>
        <w:pStyle w:val="Style2"/>
        <w:spacing w:before="240" w:after="240"/>
        <w:rPr>
          <w:rFonts w:ascii="Times New Roman" w:cs="Times New Roman" w:hAnsi="Times New Roman"/>
          <w:sz w:val="24"/>
          <w:szCs w:val="24"/>
          <w:lang w:val="en-GB"/>
        </w:rPr>
      </w:pPr>
      <w:r>
        <w:rPr>
          <w:rFonts w:ascii="Times New Roman" w:cs="Times New Roman" w:hAnsi="Times New Roman"/>
          <w:sz w:val="24"/>
          <w:szCs w:val="24"/>
          <w:lang w:val="en-GB"/>
        </w:rPr>
        <w:t>Self-assessment is one of numerous elements that affect a business enterprise's lengthy-term viability, competitive gain, and market achievement.</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Self-evaluation helps groups examine their performance and pick out regions for improvement. Financial overall performance, product first-rate, patron pleasure, and worker engagement can monitor what is operating and what is no longer. This method makes resource allocation, strategy development, and operation optimization selections more definite.</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Self-evaluation enables corporations to set strategic goals and goals. Establishing dreams and requirements facilitates corporations to track their progress and examine their overall performance</w:t>
      </w:r>
      <w:r>
        <w:rPr>
          <w:rFonts w:ascii="Times New Roman" w:cs="Times New Roman" w:hAnsi="Times New Roman"/>
          <w:sz w:val="24"/>
          <w:szCs w:val="24"/>
          <w:lang w:val="en-GB"/>
        </w:rPr>
        <w:t xml:space="preserve"> (</w:t>
      </w:r>
      <w:r>
        <w:rPr>
          <w:rFonts w:ascii="Times New Roman" w:cs="Times New Roman" w:hAnsi="Times New Roman"/>
          <w:color w:val="222222"/>
          <w:sz w:val="24"/>
          <w:szCs w:val="24"/>
          <w:shd w:val="clear" w:color="auto" w:fill="ffffff"/>
          <w:lang w:val="en-GB"/>
        </w:rPr>
        <w:t>Horng and Lin, 2013)</w:t>
      </w:r>
      <w:r>
        <w:rPr>
          <w:rFonts w:ascii="Times New Roman" w:cs="Times New Roman" w:hAnsi="Times New Roman"/>
          <w:sz w:val="24"/>
          <w:szCs w:val="24"/>
          <w:lang w:val="en-GB"/>
        </w:rPr>
        <w:t xml:space="preserve">. This chronic evaluation guarantees that the enterprise's priorities are met and lets them regulate their course to </w:t>
      </w:r>
      <w:r>
        <w:rPr>
          <w:rFonts w:ascii="Times New Roman" w:cs="Times New Roman" w:hAnsi="Times New Roman"/>
          <w:sz w:val="24"/>
          <w:szCs w:val="24"/>
          <w:lang w:val="en-GB"/>
        </w:rPr>
        <w:t>fulfill</w:t>
      </w:r>
      <w:r>
        <w:rPr>
          <w:rFonts w:ascii="Times New Roman" w:cs="Times New Roman" w:hAnsi="Times New Roman"/>
          <w:sz w:val="24"/>
          <w:szCs w:val="24"/>
          <w:lang w:val="en-GB"/>
        </w:rPr>
        <w:t xml:space="preserve"> their desires.</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The organization additionally promotes non-stop development via self-evaluation. By encouraging important exams of strategies, systems, and overall performance metrics, groups can enhance personnel creativity, ingenuity, and problem-fixing. Employees who compare their performance can offer thoughts for increasing productivity, innovation, and client delight.</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Self-assessment boosts transparency, accountability, and stakeholder consideration. Organizations show integrity and suitable commercial enterprise operations with the aid of publicly studying and sharing overall performance consequences with buyers, customers, personnel, and regulators. Long-term success and sustainability require openness and trust from all sides.</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Self-assessment facilitates corporations to measure performance, track improvement, and enhance, and boom transparency and duty. By reviewing operations, techniques, and outcomes often, businesses can adapt to converting marketplace conditions, lower hazards, capture opportunities, and gain long-term desires.</w:t>
      </w:r>
    </w:p>
    <w:p w14:paraId="00000027">
      <w:pPr>
        <w:spacing w:before="240" w:after="240" w:line="360" w:lineRule="auto"/>
        <w:rPr>
          <w:rFonts w:eastAsiaTheme="majorEastAsia"/>
          <w:color w:val="2f5395" w:themeColor="accent1" w:themeShade="bf"/>
          <w:sz w:val="32"/>
          <w:lang w:val="en-GB"/>
        </w:rPr>
      </w:pPr>
      <w:r>
        <w:rPr>
          <w:lang w:val="en-GB"/>
        </w:rPr>
        <w:br w:type="page"/>
      </w:r>
    </w:p>
    <w:p w14:paraId="00000028">
      <w:pPr>
        <w:pStyle w:val="Style1"/>
        <w:spacing w:line="360" w:lineRule="auto"/>
        <w:jc w:val="both"/>
        <w:rPr>
          <w:rFonts w:ascii="Times New Roman" w:cs="Times New Roman" w:hAnsi="Times New Roman"/>
          <w:sz w:val="24"/>
          <w:szCs w:val="24"/>
          <w:lang w:val="en-GB"/>
        </w:rPr>
      </w:pPr>
      <w:bookmarkStart w:id="5" w:name="_Toc159878415"/>
      <w:r>
        <w:rPr>
          <w:rFonts w:ascii="Times New Roman" w:cs="Times New Roman" w:hAnsi="Times New Roman"/>
          <w:sz w:val="24"/>
          <w:szCs w:val="24"/>
          <w:lang w:val="en-GB"/>
        </w:rPr>
        <w:t>Is ‘Green’ technology being used and is it more sustainable?</w:t>
      </w:r>
      <w:bookmarkEnd w:id="5"/>
    </w:p>
    <w:p w14:paraId="00000029">
      <w:pPr>
        <w:pStyle w:val="Style2"/>
        <w:spacing w:before="240" w:after="240"/>
        <w:rPr>
          <w:rFonts w:ascii="Times New Roman" w:cs="Times New Roman" w:hAnsi="Times New Roman"/>
          <w:sz w:val="24"/>
          <w:szCs w:val="24"/>
          <w:lang w:val="en-GB"/>
        </w:rPr>
      </w:pPr>
      <w:r>
        <w:rPr>
          <w:rFonts w:ascii="Times New Roman" w:cs="Times New Roman" w:hAnsi="Times New Roman"/>
          <w:sz w:val="24"/>
          <w:szCs w:val="24"/>
          <w:lang w:val="en-GB"/>
        </w:rPr>
        <w:t>In recent years, numerous motels have followed "green" technologies to lessen their environmental impact, together with the Green Haven Hotel. Green technology includes eco-friendly and useful resource-green improvements. This era can help lodges manage water, energy, waste, and more</w:t>
      </w:r>
      <w:r>
        <w:rPr>
          <w:rFonts w:ascii="Times New Roman" w:cs="Times New Roman" w:hAnsi="Times New Roman"/>
          <w:sz w:val="24"/>
          <w:szCs w:val="24"/>
          <w:lang w:val="en-GB"/>
        </w:rPr>
        <w:t xml:space="preserve"> (</w:t>
      </w:r>
      <w:r>
        <w:rPr>
          <w:rFonts w:ascii="Times New Roman" w:cs="Times New Roman" w:hAnsi="Times New Roman"/>
          <w:color w:val="222222"/>
          <w:sz w:val="24"/>
          <w:szCs w:val="24"/>
          <w:shd w:val="clear" w:color="auto" w:fill="ffffff"/>
          <w:lang w:val="en-GB"/>
        </w:rPr>
        <w:t>Dai et al., 2013)</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Green technology in resorts includes renewable power and electricity-green systems. Hotels are investing in strength control systems, clever thermostats, and LED lighting to save strength. Hotels also lessen their environmental effect with the aid of installing solar panels, wind turbines, and geothermal heating and cooling structures</w:t>
      </w:r>
      <w:r>
        <w:rPr>
          <w:rFonts w:ascii="Times New Roman" w:cs="Times New Roman" w:hAnsi="Times New Roman"/>
          <w:sz w:val="24"/>
          <w:szCs w:val="24"/>
          <w:lang w:val="en-GB"/>
        </w:rPr>
        <w:t xml:space="preserve"> (</w:t>
      </w:r>
      <w:r>
        <w:rPr>
          <w:rFonts w:ascii="Times New Roman" w:cs="Times New Roman" w:hAnsi="Times New Roman"/>
          <w:color w:val="222222"/>
          <w:sz w:val="24"/>
          <w:szCs w:val="24"/>
          <w:shd w:val="clear" w:color="auto" w:fill="ffffff"/>
          <w:lang w:val="en-GB"/>
        </w:rPr>
        <w:t>Sheldon, 2014)</w:t>
      </w:r>
      <w:r>
        <w:rPr>
          <w:rFonts w:ascii="Times New Roman" w:cs="Times New Roman" w:hAnsi="Times New Roman"/>
          <w:sz w:val="24"/>
          <w:szCs w:val="24"/>
          <w:lang w:val="en-GB"/>
        </w:rPr>
        <w:t>.</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The green era is likewise affecting water conservation. Hotels are putting in low-float bathrooms and showerheads to save water. Greywater recycling is likewise being implemented. People are the usage of modern-day irrigation and rainwater collection technologies to lessen municipal water use and conserve natural resources.</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Hotels are also using green technology to enhance trash management. Hotels are composting organic waste, recycling, and decreasing single-use plastics to minimize waste and sell circularity.</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The green era has helped the lodge commercial enterprise turn out to be extra sustainable</w:t>
      </w:r>
      <w:r>
        <w:rPr>
          <w:rFonts w:ascii="Times New Roman" w:cs="Times New Roman" w:hAnsi="Times New Roman"/>
          <w:sz w:val="24"/>
          <w:szCs w:val="24"/>
          <w:lang w:val="en-GB"/>
        </w:rPr>
        <w:t xml:space="preserve"> (</w:t>
      </w:r>
      <w:r>
        <w:rPr>
          <w:rFonts w:ascii="Times New Roman" w:cs="Times New Roman" w:hAnsi="Times New Roman"/>
          <w:color w:val="222222"/>
          <w:sz w:val="24"/>
          <w:szCs w:val="24"/>
          <w:shd w:val="clear" w:color="auto" w:fill="ffffff"/>
          <w:lang w:val="en-GB"/>
        </w:rPr>
        <w:t>Xie et al., 2019)</w:t>
      </w:r>
      <w:r>
        <w:rPr>
          <w:rFonts w:ascii="Times New Roman" w:cs="Times New Roman" w:hAnsi="Times New Roman"/>
          <w:sz w:val="24"/>
          <w:szCs w:val="24"/>
          <w:lang w:val="en-GB"/>
        </w:rPr>
        <w:t>. Hotels can store money, make site visitors happier, care approximately the environment, and be accountable corporate residents with this technology. Green generation is essential, however resorts must also focus on sustainable sourcing, community involvement, and social duty to lessen their environmental effect. Green technologies and different holistic sustainability measures can also help accommodations lead to a more sustainable future</w:t>
      </w:r>
      <w:r>
        <w:rPr>
          <w:rFonts w:ascii="Times New Roman" w:cs="Times New Roman" w:hAnsi="Times New Roman"/>
          <w:sz w:val="24"/>
          <w:szCs w:val="24"/>
          <w:lang w:val="en-GB"/>
        </w:rPr>
        <w:t xml:space="preserve"> (</w:t>
      </w:r>
      <w:r>
        <w:rPr>
          <w:rFonts w:ascii="Times New Roman" w:cs="Times New Roman" w:hAnsi="Times New Roman"/>
          <w:color w:val="222222"/>
          <w:sz w:val="24"/>
          <w:szCs w:val="24"/>
          <w:shd w:val="clear" w:color="auto" w:fill="ffffff"/>
          <w:lang w:val="en-GB"/>
        </w:rPr>
        <w:t>Szabo and Webster, 2021)</w:t>
      </w:r>
      <w:r>
        <w:rPr>
          <w:rFonts w:ascii="Times New Roman" w:cs="Times New Roman" w:hAnsi="Times New Roman"/>
          <w:sz w:val="24"/>
          <w:szCs w:val="24"/>
          <w:lang w:val="en-GB"/>
        </w:rPr>
        <w:t>.</w:t>
      </w:r>
    </w:p>
    <w:p w14:paraId="0000002A">
      <w:pPr>
        <w:spacing w:before="240" w:after="240" w:line="360" w:lineRule="auto"/>
        <w:rPr>
          <w:rFonts w:ascii="Times New Roman" w:cs="Times New Roman" w:eastAsiaTheme="majorEastAsia" w:hAnsi="Times New Roman"/>
          <w:color w:val="2f5395" w:themeColor="accent1" w:themeShade="bf"/>
          <w:sz w:val="24"/>
          <w:szCs w:val="24"/>
          <w:lang w:val="en-GB"/>
        </w:rPr>
      </w:pPr>
      <w:r>
        <w:rPr>
          <w:rFonts w:ascii="Times New Roman" w:cs="Times New Roman" w:hAnsi="Times New Roman"/>
          <w:sz w:val="24"/>
          <w:szCs w:val="24"/>
          <w:lang w:val="en-GB"/>
        </w:rPr>
        <w:br w:type="page"/>
      </w:r>
    </w:p>
    <w:p w14:paraId="0000002B">
      <w:pPr>
        <w:pStyle w:val="Style1"/>
        <w:spacing w:line="360" w:lineRule="auto"/>
        <w:jc w:val="both"/>
        <w:rPr>
          <w:rFonts w:ascii="Times New Roman" w:cs="Times New Roman" w:hAnsi="Times New Roman"/>
          <w:sz w:val="24"/>
          <w:szCs w:val="24"/>
          <w:lang w:val="en-GB"/>
        </w:rPr>
      </w:pPr>
      <w:bookmarkStart w:id="6" w:name="_Toc159878416"/>
      <w:r>
        <w:rPr>
          <w:rFonts w:ascii="Times New Roman" w:cs="Times New Roman" w:hAnsi="Times New Roman"/>
          <w:sz w:val="24"/>
          <w:szCs w:val="24"/>
          <w:lang w:val="en-GB"/>
        </w:rPr>
        <w:t xml:space="preserve">What could they do instead of </w:t>
      </w:r>
      <w:r>
        <w:rPr>
          <w:rFonts w:ascii="Times New Roman" w:cs="Times New Roman" w:hAnsi="Times New Roman"/>
          <w:sz w:val="24"/>
          <w:szCs w:val="24"/>
          <w:lang w:val="en-GB"/>
        </w:rPr>
        <w:t>self-evaluating</w:t>
      </w:r>
      <w:bookmarkEnd w:id="6"/>
    </w:p>
    <w:p w14:paraId="0000002C">
      <w:pPr>
        <w:pStyle w:val="Style2"/>
        <w:spacing w:before="240" w:after="240"/>
        <w:rPr>
          <w:rFonts w:ascii="Times New Roman" w:cs="Times New Roman" w:hAnsi="Times New Roman"/>
          <w:sz w:val="24"/>
          <w:szCs w:val="24"/>
          <w:lang w:val="en-GB"/>
        </w:rPr>
      </w:pPr>
      <w:r>
        <w:rPr>
          <w:rFonts w:ascii="Times New Roman" w:cs="Times New Roman" w:hAnsi="Times New Roman"/>
          <w:sz w:val="24"/>
          <w:szCs w:val="24"/>
          <w:lang w:val="en-GB"/>
        </w:rPr>
        <w:t xml:space="preserve">Instead of self-assessment, hotels like Green Haven can enhance their sustainability efforts by carrying out </w:t>
      </w:r>
      <w:r>
        <w:rPr>
          <w:rFonts w:ascii="Times New Roman" w:cs="Times New Roman" w:hAnsi="Times New Roman"/>
          <w:sz w:val="24"/>
          <w:szCs w:val="24"/>
          <w:lang w:val="en-GB"/>
        </w:rPr>
        <w:t xml:space="preserve">third-party </w:t>
      </w:r>
      <w:r>
        <w:rPr>
          <w:rFonts w:ascii="Times New Roman" w:cs="Times New Roman" w:hAnsi="Times New Roman"/>
          <w:sz w:val="24"/>
          <w:szCs w:val="24"/>
          <w:lang w:val="en-GB"/>
        </w:rPr>
        <w:t>certification and assessment methods. External reviews enhance credibility, openness, and duty over self-evaluation.</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 xml:space="preserve">External exams can include accreditation from famous hospitality-unique sustainability certification applications. </w:t>
      </w:r>
      <w:r>
        <w:rPr>
          <w:rFonts w:ascii="Times New Roman" w:cs="Times New Roman" w:hAnsi="Times New Roman"/>
          <w:sz w:val="24"/>
          <w:szCs w:val="24"/>
          <w:lang w:val="en-GB"/>
        </w:rPr>
        <w:t>EarthCheck</w:t>
      </w:r>
      <w:r>
        <w:rPr>
          <w:rFonts w:ascii="Times New Roman" w:cs="Times New Roman" w:hAnsi="Times New Roman"/>
          <w:sz w:val="24"/>
          <w:szCs w:val="24"/>
          <w:lang w:val="en-GB"/>
        </w:rPr>
        <w:t>, Green Key Global, and LEED for Buildings can examine inns' environmental performance through the usage of strict standards</w:t>
      </w:r>
      <w:r>
        <w:rPr>
          <w:rFonts w:ascii="Times New Roman" w:cs="Times New Roman" w:hAnsi="Times New Roman"/>
          <w:sz w:val="24"/>
          <w:szCs w:val="24"/>
          <w:lang w:val="en-GB"/>
        </w:rPr>
        <w:t xml:space="preserve"> (</w:t>
      </w:r>
      <w:r>
        <w:rPr>
          <w:rFonts w:ascii="Times New Roman" w:cs="Times New Roman" w:hAnsi="Times New Roman"/>
          <w:color w:val="222222"/>
          <w:sz w:val="24"/>
          <w:szCs w:val="24"/>
          <w:shd w:val="clear" w:color="auto" w:fill="ffffff"/>
          <w:lang w:val="en-GB"/>
        </w:rPr>
        <w:t>Kibert</w:t>
      </w:r>
      <w:r>
        <w:rPr>
          <w:rFonts w:ascii="Times New Roman" w:cs="Times New Roman" w:hAnsi="Times New Roman"/>
          <w:color w:val="222222"/>
          <w:sz w:val="24"/>
          <w:szCs w:val="24"/>
          <w:shd w:val="clear" w:color="auto" w:fill="ffffff"/>
          <w:lang w:val="en-GB"/>
        </w:rPr>
        <w:t>, 2016)</w:t>
      </w:r>
      <w:r>
        <w:rPr>
          <w:rFonts w:ascii="Times New Roman" w:cs="Times New Roman" w:hAnsi="Times New Roman"/>
          <w:sz w:val="24"/>
          <w:szCs w:val="24"/>
          <w:lang w:val="en-GB"/>
        </w:rPr>
        <w:t>. Hotels might also show their sustainability efforts to stakeholders and clients involved in the surroundings by receiving accreditation from those packages.</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Hire third party sustainability specialists to audit and compare. These specialists can objectively investigate the inn's sustainability practices and identify issues and answers to enhance environmental overall performance. Hotels can improve their sustainability techniques using hiring impartial experts with impartial critiques, enterprise high-quality practices, and specialized understanding.</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Participating in industry-wide sustainability projects and working with different corporations offers substantial opportunities for outside evaluation and benchmarking. Hotels can be a part of sustainable tourism and hospitality institutions or networks for peer comparison, nice exercise sharing, and improvement sources. Collaboration results in sharing records, growing new answers, and addressing enterprise-huge sustainability issues.</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 xml:space="preserve">Self-assessment has its blessings, however, outside critiques from reputable third parties, certification packages, independent auditors, and industry alliances can enhance sustainability tasks at resorts like the Green Haven Hotel. These </w:t>
      </w:r>
      <w:r>
        <w:rPr>
          <w:rFonts w:ascii="Times New Roman" w:cs="Times New Roman" w:hAnsi="Times New Roman"/>
          <w:sz w:val="24"/>
          <w:szCs w:val="24"/>
          <w:lang w:val="en-GB"/>
        </w:rPr>
        <w:t xml:space="preserve">credible third-party </w:t>
      </w:r>
      <w:r>
        <w:rPr>
          <w:rFonts w:ascii="Times New Roman" w:cs="Times New Roman" w:hAnsi="Times New Roman"/>
          <w:sz w:val="24"/>
          <w:szCs w:val="24"/>
          <w:lang w:val="en-GB"/>
        </w:rPr>
        <w:t>opinions enhance trustworthiness and openness and offer guidelines for sustainability and environmental impact.</w:t>
      </w:r>
    </w:p>
    <w:p w14:paraId="0000002D">
      <w:pPr>
        <w:spacing w:before="240" w:after="240" w:line="360" w:lineRule="auto"/>
        <w:jc w:val="both"/>
        <w:rPr>
          <w:rFonts w:ascii="Times New Roman" w:cs="Times New Roman" w:hAnsi="Times New Roman"/>
          <w:sz w:val="24"/>
          <w:szCs w:val="24"/>
          <w:lang w:val="en-GB"/>
        </w:rPr>
      </w:pPr>
    </w:p>
    <w:p w14:paraId="0000002E">
      <w:pPr>
        <w:spacing w:before="240" w:after="240" w:line="360" w:lineRule="auto"/>
        <w:rPr>
          <w:rFonts w:eastAsiaTheme="majorEastAsia"/>
          <w:color w:val="2f5395" w:themeColor="accent1" w:themeShade="bf"/>
          <w:sz w:val="32"/>
          <w:lang w:val="en-GB"/>
        </w:rPr>
      </w:pPr>
      <w:r>
        <w:rPr>
          <w:lang w:val="en-GB"/>
        </w:rPr>
        <w:br w:type="page"/>
      </w:r>
    </w:p>
    <w:p w14:paraId="0000002F">
      <w:pPr>
        <w:pStyle w:val="Style1"/>
        <w:spacing w:line="360" w:lineRule="auto"/>
        <w:jc w:val="both"/>
        <w:rPr>
          <w:rFonts w:ascii="Times New Roman" w:cs="Times New Roman" w:hAnsi="Times New Roman"/>
          <w:sz w:val="24"/>
          <w:szCs w:val="24"/>
          <w:lang w:val="en-GB"/>
        </w:rPr>
      </w:pPr>
      <w:bookmarkStart w:id="7" w:name="_Toc159878417"/>
      <w:r>
        <w:rPr>
          <w:rFonts w:ascii="Times New Roman" w:cs="Times New Roman" w:hAnsi="Times New Roman"/>
          <w:sz w:val="24"/>
          <w:szCs w:val="24"/>
          <w:lang w:val="en-GB"/>
        </w:rPr>
        <w:t>Conclusion</w:t>
      </w:r>
      <w:bookmarkEnd w:id="7"/>
    </w:p>
    <w:p w14:paraId="00000030">
      <w:pPr>
        <w:pStyle w:val="Style2"/>
        <w:spacing w:before="240" w:after="240"/>
        <w:rPr>
          <w:rFonts w:ascii="Times New Roman" w:cs="Times New Roman" w:hAnsi="Times New Roman"/>
          <w:sz w:val="24"/>
          <w:szCs w:val="24"/>
          <w:lang w:val="en-GB"/>
        </w:rPr>
      </w:pPr>
      <w:r>
        <w:rPr>
          <w:rFonts w:ascii="Times New Roman" w:cs="Times New Roman" w:hAnsi="Times New Roman"/>
          <w:sz w:val="24"/>
          <w:szCs w:val="24"/>
          <w:lang w:val="en-GB"/>
        </w:rPr>
        <w:t xml:space="preserve">Looking at the Green Haven Hotel shows how difficult it is to be environmentally friendly inside the </w:t>
      </w:r>
      <w:r>
        <w:rPr>
          <w:rFonts w:ascii="Times New Roman" w:cs="Times New Roman" w:hAnsi="Times New Roman"/>
          <w:sz w:val="24"/>
          <w:szCs w:val="24"/>
          <w:lang w:val="en-GB"/>
        </w:rPr>
        <w:t xml:space="preserve">hotel </w:t>
      </w:r>
      <w:r>
        <w:rPr>
          <w:rFonts w:ascii="Times New Roman" w:cs="Times New Roman" w:hAnsi="Times New Roman"/>
          <w:sz w:val="24"/>
          <w:szCs w:val="24"/>
          <w:lang w:val="en-GB"/>
        </w:rPr>
        <w:t>enterprise. Two correct things that the motel has performed are saving strength and reducing trash</w:t>
      </w:r>
      <w:r>
        <w:rPr>
          <w:rFonts w:ascii="Times New Roman" w:cs="Times New Roman" w:hAnsi="Times New Roman"/>
          <w:sz w:val="24"/>
          <w:szCs w:val="24"/>
          <w:lang w:val="en-GB"/>
        </w:rPr>
        <w:t xml:space="preserve"> (</w:t>
      </w:r>
      <w:r>
        <w:rPr>
          <w:rFonts w:ascii="Times New Roman" w:cs="Times New Roman" w:hAnsi="Times New Roman"/>
          <w:color w:val="222222"/>
          <w:sz w:val="24"/>
          <w:szCs w:val="24"/>
          <w:shd w:val="clear" w:color="auto" w:fill="ffffff"/>
          <w:lang w:val="en-GB"/>
        </w:rPr>
        <w:t xml:space="preserve">Aggarwal and </w:t>
      </w:r>
      <w:r>
        <w:rPr>
          <w:rFonts w:ascii="Times New Roman" w:cs="Times New Roman" w:hAnsi="Times New Roman"/>
          <w:color w:val="222222"/>
          <w:sz w:val="24"/>
          <w:szCs w:val="24"/>
          <w:shd w:val="clear" w:color="auto" w:fill="ffffff"/>
          <w:lang w:val="en-GB"/>
        </w:rPr>
        <w:t>Kadyan</w:t>
      </w:r>
      <w:r>
        <w:rPr>
          <w:rFonts w:ascii="Times New Roman" w:cs="Times New Roman" w:hAnsi="Times New Roman"/>
          <w:color w:val="222222"/>
          <w:sz w:val="24"/>
          <w:szCs w:val="24"/>
          <w:shd w:val="clear" w:color="auto" w:fill="ffffff"/>
          <w:lang w:val="en-GB"/>
        </w:rPr>
        <w:t>, 2014)</w:t>
      </w:r>
      <w:r>
        <w:rPr>
          <w:rFonts w:ascii="Times New Roman" w:cs="Times New Roman" w:hAnsi="Times New Roman"/>
          <w:sz w:val="24"/>
          <w:szCs w:val="24"/>
          <w:lang w:val="en-GB"/>
        </w:rPr>
        <w:t>. However, some troubles want to be fixed, which includes possible cases of greenwashing. Businesses should stress openness, and responsibility</w:t>
      </w:r>
      <w:r>
        <w:rPr>
          <w:rFonts w:ascii="Times New Roman" w:cs="Times New Roman" w:hAnsi="Times New Roman"/>
          <w:sz w:val="24"/>
          <w:szCs w:val="24"/>
          <w:lang w:val="en-GB"/>
        </w:rPr>
        <w:t xml:space="preserve"> </w:t>
      </w:r>
      <w:r>
        <w:rPr>
          <w:rFonts w:ascii="Times New Roman" w:cs="Times New Roman" w:hAnsi="Times New Roman"/>
          <w:sz w:val="24"/>
          <w:szCs w:val="24"/>
          <w:lang w:val="en-GB"/>
        </w:rPr>
        <w:t xml:space="preserve">proof if they need to benefit </w:t>
      </w:r>
      <w:r>
        <w:rPr>
          <w:rFonts w:ascii="Times New Roman" w:cs="Times New Roman" w:hAnsi="Times New Roman"/>
          <w:sz w:val="24"/>
          <w:szCs w:val="24"/>
          <w:lang w:val="en-GB"/>
        </w:rPr>
        <w:t>clients</w:t>
      </w:r>
      <w:r>
        <w:rPr>
          <w:rFonts w:ascii="Times New Roman" w:cs="Times New Roman" w:hAnsi="Times New Roman"/>
          <w:sz w:val="24"/>
          <w:szCs w:val="24"/>
          <w:lang w:val="en-GB"/>
        </w:rPr>
        <w:t xml:space="preserve"> agree with inside the future. If hotels want to make the sector a greener place, they need to make actual sustainability guidelines which might be subsidized through thorough certification methods reviews. The hotel commercial enterprise wishes to paint together to preserve its promise of sustainable stewardship and meet the needs of increasingly more </w:t>
      </w:r>
      <w:r>
        <w:rPr>
          <w:rFonts w:ascii="Times New Roman" w:cs="Times New Roman" w:hAnsi="Times New Roman"/>
          <w:sz w:val="24"/>
          <w:szCs w:val="24"/>
          <w:lang w:val="en-GB"/>
        </w:rPr>
        <w:t>travelers</w:t>
      </w:r>
      <w:r>
        <w:rPr>
          <w:rFonts w:ascii="Times New Roman" w:cs="Times New Roman" w:hAnsi="Times New Roman"/>
          <w:sz w:val="24"/>
          <w:szCs w:val="24"/>
          <w:lang w:val="en-GB"/>
        </w:rPr>
        <w:t xml:space="preserve"> who care approximately the environment.</w:t>
      </w:r>
    </w:p>
    <w:p w14:paraId="00000031">
      <w:pPr>
        <w:pStyle w:val="Style2"/>
        <w:spacing w:before="240" w:after="240"/>
        <w:rPr>
          <w:lang w:val="en-GB"/>
        </w:rPr>
      </w:pPr>
    </w:p>
    <w:p w14:paraId="00000032">
      <w:pPr>
        <w:pStyle w:val="Style2"/>
        <w:spacing w:before="240" w:after="240"/>
        <w:rPr>
          <w:lang w:val="en-GB"/>
        </w:rPr>
      </w:pPr>
    </w:p>
    <w:p w14:paraId="00000033">
      <w:pPr>
        <w:pStyle w:val="Style2"/>
        <w:spacing w:before="240" w:after="240"/>
        <w:rPr>
          <w:lang w:val="en-GB"/>
        </w:rPr>
      </w:pPr>
    </w:p>
    <w:p w14:paraId="00000034">
      <w:pPr>
        <w:pStyle w:val="Style2"/>
        <w:spacing w:before="240" w:after="240"/>
        <w:rPr>
          <w:lang w:val="en-GB"/>
        </w:rPr>
      </w:pPr>
    </w:p>
    <w:p w14:paraId="00000035">
      <w:pPr>
        <w:pStyle w:val="Style2"/>
        <w:spacing w:before="240" w:after="240"/>
        <w:rPr>
          <w:lang w:val="en-GB"/>
        </w:rPr>
      </w:pPr>
    </w:p>
    <w:p w14:paraId="00000036">
      <w:pPr>
        <w:pStyle w:val="Style2"/>
        <w:spacing w:before="240" w:after="240"/>
        <w:rPr>
          <w:lang w:val="en-GB"/>
        </w:rPr>
      </w:pPr>
    </w:p>
    <w:p w14:paraId="00000037">
      <w:pPr>
        <w:pStyle w:val="Style2"/>
        <w:spacing w:before="240" w:after="240"/>
        <w:rPr>
          <w:lang w:val="en-GB"/>
        </w:rPr>
      </w:pPr>
    </w:p>
    <w:p w14:paraId="00000038">
      <w:pPr>
        <w:pStyle w:val="Style2"/>
        <w:spacing w:before="240" w:after="240"/>
        <w:rPr>
          <w:lang w:val="en-GB"/>
        </w:rPr>
      </w:pPr>
    </w:p>
    <w:p w14:paraId="00000039">
      <w:pPr>
        <w:pStyle w:val="Style2"/>
        <w:spacing w:before="240" w:after="240"/>
        <w:rPr>
          <w:lang w:val="en-GB"/>
        </w:rPr>
      </w:pPr>
    </w:p>
    <w:p w14:paraId="0000003A">
      <w:pPr>
        <w:pStyle w:val="Style2"/>
        <w:spacing w:before="240" w:after="240"/>
        <w:rPr>
          <w:lang w:val="en-GB"/>
        </w:rPr>
      </w:pPr>
    </w:p>
    <w:p w14:paraId="0000003B">
      <w:pPr>
        <w:pStyle w:val="Style2"/>
        <w:spacing w:before="240" w:after="240"/>
        <w:rPr>
          <w:lang w:val="en-GB"/>
        </w:rPr>
      </w:pPr>
    </w:p>
    <w:p w14:paraId="0000003C">
      <w:pPr>
        <w:pStyle w:val="Style2"/>
        <w:spacing w:before="240" w:after="240"/>
        <w:rPr>
          <w:lang w:val="en-GB"/>
        </w:rPr>
      </w:pPr>
    </w:p>
    <w:p w14:paraId="0000003D">
      <w:pPr>
        <w:pStyle w:val="Style2"/>
        <w:spacing w:before="240" w:after="240"/>
        <w:rPr>
          <w:lang w:val="en-GB"/>
        </w:rPr>
      </w:pPr>
    </w:p>
    <w:p w14:paraId="0000003E">
      <w:pPr>
        <w:pStyle w:val="Style1"/>
        <w:spacing w:line="360" w:lineRule="auto"/>
        <w:jc w:val="both"/>
        <w:rPr>
          <w:lang w:val="en-GB"/>
        </w:rPr>
      </w:pPr>
      <w:bookmarkStart w:id="8" w:name="_Toc159878418"/>
      <w:r>
        <w:rPr>
          <w:lang w:val="en-GB"/>
        </w:rPr>
        <w:t>References</w:t>
      </w:r>
      <w:bookmarkEnd w:id="8"/>
    </w:p>
    <w:p w14:paraId="0000003F">
      <w:pPr>
        <w:spacing w:before="240" w:after="240" w:line="360" w:lineRule="auto"/>
        <w:jc w:val="both"/>
        <w:rPr>
          <w:color w:val="222222"/>
          <w:szCs w:val="24"/>
          <w:shd w:val="clear" w:color="auto" w:fill="ffffff"/>
          <w:lang w:val="en-GB"/>
        </w:rPr>
      </w:pPr>
      <w:r>
        <w:rPr>
          <w:rFonts w:ascii="Times New Roman" w:cs="Times New Roman" w:hAnsi="Times New Roman"/>
          <w:color w:val="222222"/>
          <w:szCs w:val="24"/>
          <w:shd w:val="clear" w:color="auto" w:fill="ffffff"/>
          <w:lang w:val="en-GB"/>
        </w:rPr>
        <w:t xml:space="preserve">Aggarwal, P. and </w:t>
      </w:r>
      <w:r>
        <w:rPr>
          <w:rFonts w:ascii="Times New Roman" w:cs="Times New Roman" w:hAnsi="Times New Roman"/>
          <w:color w:val="222222"/>
          <w:szCs w:val="24"/>
          <w:shd w:val="clear" w:color="auto" w:fill="ffffff"/>
          <w:lang w:val="en-GB"/>
        </w:rPr>
        <w:t>Kadyan</w:t>
      </w:r>
      <w:r>
        <w:rPr>
          <w:rFonts w:ascii="Times New Roman" w:cs="Times New Roman" w:hAnsi="Times New Roman"/>
          <w:color w:val="222222"/>
          <w:szCs w:val="24"/>
          <w:shd w:val="clear" w:color="auto" w:fill="ffffff"/>
          <w:lang w:val="en-GB"/>
        </w:rPr>
        <w:t>, A., 2014. Greenwashing:</w:t>
      </w:r>
      <w:r>
        <w:rPr>
          <w:color w:val="222222"/>
          <w:szCs w:val="24"/>
          <w:shd w:val="clear" w:color="auto" w:fill="ffffff"/>
          <w:lang w:val="en-GB"/>
        </w:rPr>
        <w:t xml:space="preserve"> The darker side of CSR. </w:t>
      </w:r>
      <w:r>
        <w:rPr>
          <w:i/>
          <w:iCs/>
          <w:color w:val="222222"/>
          <w:szCs w:val="24"/>
          <w:shd w:val="clear" w:color="auto" w:fill="ffffff"/>
          <w:lang w:val="en-GB"/>
        </w:rPr>
        <w:t>Indian Journal of Applied Research</w:t>
      </w:r>
      <w:r>
        <w:rPr>
          <w:color w:val="222222"/>
          <w:szCs w:val="24"/>
          <w:shd w:val="clear" w:color="auto" w:fill="ffffff"/>
          <w:lang w:val="en-GB"/>
        </w:rPr>
        <w:t>, </w:t>
      </w:r>
      <w:r>
        <w:rPr>
          <w:i/>
          <w:iCs/>
          <w:color w:val="222222"/>
          <w:szCs w:val="24"/>
          <w:shd w:val="clear" w:color="auto" w:fill="ffffff"/>
          <w:lang w:val="en-GB"/>
        </w:rPr>
        <w:t>4</w:t>
      </w:r>
      <w:r>
        <w:rPr>
          <w:color w:val="222222"/>
          <w:szCs w:val="24"/>
          <w:shd w:val="clear" w:color="auto" w:fill="ffffff"/>
          <w:lang w:val="en-GB"/>
        </w:rPr>
        <w:t xml:space="preserve">(3), </w:t>
      </w:r>
      <w:r>
        <w:rPr>
          <w:rFonts w:ascii="Times New Roman" w:cs="Times New Roman" w:hAnsi="Times New Roman"/>
          <w:color w:val="222222"/>
          <w:szCs w:val="24"/>
          <w:shd w:val="clear" w:color="auto" w:fill="ffffff"/>
          <w:lang w:val="en-GB"/>
        </w:rPr>
        <w:t>pp.61-66.</w:t>
      </w:r>
    </w:p>
    <w:p w14:paraId="00000040">
      <w:pPr>
        <w:spacing w:before="240" w:after="240" w:line="360" w:lineRule="auto"/>
        <w:jc w:val="both"/>
        <w:rPr>
          <w:rFonts w:ascii="Times New Roman" w:cs="Times New Roman" w:hAnsi="Times New Roman"/>
          <w:color w:val="222222"/>
          <w:szCs w:val="24"/>
          <w:shd w:val="clear" w:color="auto" w:fill="ffffff"/>
          <w:lang w:val="en-GB"/>
        </w:rPr>
      </w:pPr>
      <w:r>
        <w:rPr>
          <w:rFonts w:ascii="Times New Roman" w:cs="Times New Roman" w:hAnsi="Times New Roman"/>
          <w:color w:val="222222"/>
          <w:szCs w:val="24"/>
          <w:shd w:val="clear" w:color="auto" w:fill="ffffff"/>
          <w:lang w:val="en-GB"/>
        </w:rPr>
        <w:t xml:space="preserve">Dai, Y., van </w:t>
      </w:r>
      <w:r>
        <w:rPr>
          <w:rFonts w:ascii="Times New Roman" w:cs="Times New Roman" w:hAnsi="Times New Roman"/>
          <w:color w:val="222222"/>
          <w:szCs w:val="24"/>
          <w:shd w:val="clear" w:color="auto" w:fill="ffffff"/>
          <w:lang w:val="en-GB"/>
        </w:rPr>
        <w:t>Spronsen</w:t>
      </w:r>
      <w:r>
        <w:rPr>
          <w:rFonts w:ascii="Times New Roman" w:cs="Times New Roman" w:hAnsi="Times New Roman"/>
          <w:color w:val="222222"/>
          <w:szCs w:val="24"/>
          <w:shd w:val="clear" w:color="auto" w:fill="ffffff"/>
          <w:lang w:val="en-GB"/>
        </w:rPr>
        <w:t xml:space="preserve">, J., </w:t>
      </w:r>
      <w:r>
        <w:rPr>
          <w:rFonts w:ascii="Times New Roman" w:cs="Times New Roman" w:hAnsi="Times New Roman"/>
          <w:color w:val="222222"/>
          <w:szCs w:val="24"/>
          <w:shd w:val="clear" w:color="auto" w:fill="ffffff"/>
          <w:lang w:val="en-GB"/>
        </w:rPr>
        <w:t>Witkamp</w:t>
      </w:r>
      <w:r>
        <w:rPr>
          <w:rFonts w:ascii="Times New Roman" w:cs="Times New Roman" w:hAnsi="Times New Roman"/>
          <w:color w:val="222222"/>
          <w:szCs w:val="24"/>
          <w:shd w:val="clear" w:color="auto" w:fill="ffffff"/>
          <w:lang w:val="en-GB"/>
        </w:rPr>
        <w:t xml:space="preserve">, G.J., </w:t>
      </w:r>
      <w:r>
        <w:rPr>
          <w:rFonts w:ascii="Times New Roman" w:cs="Times New Roman" w:hAnsi="Times New Roman"/>
          <w:color w:val="222222"/>
          <w:szCs w:val="24"/>
          <w:shd w:val="clear" w:color="auto" w:fill="ffffff"/>
          <w:lang w:val="en-GB"/>
        </w:rPr>
        <w:t>Verpoorte</w:t>
      </w:r>
      <w:r>
        <w:rPr>
          <w:rFonts w:ascii="Times New Roman" w:cs="Times New Roman" w:hAnsi="Times New Roman"/>
          <w:color w:val="222222"/>
          <w:szCs w:val="24"/>
          <w:shd w:val="clear" w:color="auto" w:fill="ffffff"/>
          <w:lang w:val="en-GB"/>
        </w:rPr>
        <w:t xml:space="preserve">, R. and Choi, Y.H., 2013. </w:t>
      </w:r>
      <w:r>
        <w:rPr>
          <w:color w:val="222222"/>
          <w:szCs w:val="24"/>
          <w:shd w:val="clear" w:color="auto" w:fill="ffffff"/>
          <w:lang w:val="en-GB"/>
        </w:rPr>
        <w:t>Natural deep eutectic solvents as new potential media for green technology. </w:t>
      </w:r>
      <w:r>
        <w:rPr>
          <w:i/>
          <w:iCs/>
          <w:color w:val="222222"/>
          <w:szCs w:val="24"/>
          <w:shd w:val="clear" w:color="auto" w:fill="ffffff"/>
          <w:lang w:val="en-GB"/>
        </w:rPr>
        <w:t xml:space="preserve">Analytica </w:t>
      </w:r>
      <w:r>
        <w:rPr>
          <w:i/>
          <w:iCs/>
          <w:color w:val="222222"/>
          <w:szCs w:val="24"/>
          <w:shd w:val="clear" w:color="auto" w:fill="ffffff"/>
          <w:lang w:val="en-GB"/>
        </w:rPr>
        <w:t>chimica</w:t>
      </w:r>
      <w:r>
        <w:rPr>
          <w:i/>
          <w:iCs/>
          <w:color w:val="222222"/>
          <w:szCs w:val="24"/>
          <w:shd w:val="clear" w:color="auto" w:fill="ffffff"/>
          <w:lang w:val="en-GB"/>
        </w:rPr>
        <w:t xml:space="preserve"> acta</w:t>
      </w:r>
      <w:r>
        <w:rPr>
          <w:color w:val="222222"/>
          <w:szCs w:val="24"/>
          <w:shd w:val="clear" w:color="auto" w:fill="ffffff"/>
          <w:lang w:val="en-GB"/>
        </w:rPr>
        <w:t>,</w:t>
      </w:r>
      <w:r>
        <w:rPr>
          <w:rFonts w:ascii="Times New Roman" w:cs="Times New Roman" w:hAnsi="Times New Roman"/>
          <w:color w:val="222222"/>
          <w:szCs w:val="24"/>
          <w:shd w:val="clear" w:color="auto" w:fill="ffffff"/>
          <w:lang w:val="en-GB"/>
        </w:rPr>
        <w:t> </w:t>
      </w:r>
      <w:r>
        <w:rPr>
          <w:rFonts w:ascii="Times New Roman" w:cs="Times New Roman" w:hAnsi="Times New Roman"/>
          <w:i/>
          <w:iCs/>
          <w:color w:val="222222"/>
          <w:szCs w:val="24"/>
          <w:shd w:val="clear" w:color="auto" w:fill="ffffff"/>
          <w:lang w:val="en-GB"/>
        </w:rPr>
        <w:t>766</w:t>
      </w:r>
      <w:r>
        <w:rPr>
          <w:rFonts w:ascii="Times New Roman" w:cs="Times New Roman" w:hAnsi="Times New Roman"/>
          <w:color w:val="222222"/>
          <w:szCs w:val="24"/>
          <w:shd w:val="clear" w:color="auto" w:fill="ffffff"/>
          <w:lang w:val="en-GB"/>
        </w:rPr>
        <w:t>, pp.61-68.</w:t>
      </w:r>
    </w:p>
    <w:p w14:paraId="00000041">
      <w:pPr>
        <w:spacing w:before="240" w:after="240" w:line="360" w:lineRule="auto"/>
        <w:jc w:val="both"/>
        <w:rPr>
          <w:color w:val="222222"/>
          <w:szCs w:val="24"/>
          <w:shd w:val="clear" w:color="auto" w:fill="ffffff"/>
          <w:lang w:val="en-GB"/>
        </w:rPr>
      </w:pPr>
      <w:r>
        <w:rPr>
          <w:rFonts w:ascii="Times New Roman" w:cs="Times New Roman" w:hAnsi="Times New Roman"/>
          <w:color w:val="222222"/>
          <w:szCs w:val="24"/>
          <w:shd w:val="clear" w:color="auto" w:fill="ffffff"/>
          <w:lang w:val="en-GB"/>
        </w:rPr>
        <w:t xml:space="preserve">de Freitas Netto, S.V., Sobral, M.F.F., Ribeiro, A.R.B. and Soares, G.R.D.L., 2020. </w:t>
      </w:r>
      <w:r>
        <w:rPr>
          <w:color w:val="222222"/>
          <w:szCs w:val="24"/>
          <w:shd w:val="clear" w:color="auto" w:fill="ffffff"/>
          <w:lang w:val="en-GB"/>
        </w:rPr>
        <w:t>Concepts and forms of greenwashing: A systematic review. </w:t>
      </w:r>
      <w:r>
        <w:rPr>
          <w:i/>
          <w:iCs/>
          <w:color w:val="222222"/>
          <w:szCs w:val="24"/>
          <w:shd w:val="clear" w:color="auto" w:fill="ffffff"/>
          <w:lang w:val="en-GB"/>
        </w:rPr>
        <w:t>Environmental Sciences Europe</w:t>
      </w:r>
      <w:r>
        <w:rPr>
          <w:color w:val="222222"/>
          <w:szCs w:val="24"/>
          <w:shd w:val="clear" w:color="auto" w:fill="ffffff"/>
          <w:lang w:val="en-GB"/>
        </w:rPr>
        <w:t>, </w:t>
      </w:r>
      <w:r>
        <w:rPr>
          <w:i/>
          <w:iCs/>
          <w:color w:val="222222"/>
          <w:szCs w:val="24"/>
          <w:shd w:val="clear" w:color="auto" w:fill="ffffff"/>
          <w:lang w:val="en-GB"/>
        </w:rPr>
        <w:t>32</w:t>
      </w:r>
      <w:r>
        <w:rPr>
          <w:color w:val="222222"/>
          <w:szCs w:val="24"/>
          <w:shd w:val="clear" w:color="auto" w:fill="ffffff"/>
          <w:lang w:val="en-GB"/>
        </w:rPr>
        <w:t>(1), pp.1-12.</w:t>
      </w:r>
    </w:p>
    <w:p w14:paraId="00000042">
      <w:pPr>
        <w:spacing w:before="240" w:after="240" w:line="360" w:lineRule="auto"/>
        <w:jc w:val="both"/>
        <w:rPr>
          <w:color w:val="222222"/>
          <w:szCs w:val="24"/>
          <w:shd w:val="clear" w:color="auto" w:fill="ffffff"/>
          <w:lang w:val="en-GB"/>
        </w:rPr>
      </w:pPr>
      <w:r>
        <w:rPr>
          <w:rFonts w:ascii="Times New Roman" w:cs="Times New Roman" w:hAnsi="Times New Roman"/>
          <w:color w:val="222222"/>
          <w:szCs w:val="24"/>
          <w:shd w:val="clear" w:color="auto" w:fill="ffffff"/>
          <w:lang w:val="en-GB"/>
        </w:rPr>
        <w:t>Du, X., 2015. How the market values greenwashing? Evidence from China</w:t>
      </w:r>
      <w:r>
        <w:rPr>
          <w:color w:val="222222"/>
          <w:szCs w:val="24"/>
          <w:shd w:val="clear" w:color="auto" w:fill="ffffff"/>
          <w:lang w:val="en-GB"/>
        </w:rPr>
        <w:t>. </w:t>
      </w:r>
      <w:r>
        <w:rPr>
          <w:i/>
          <w:iCs/>
          <w:color w:val="222222"/>
          <w:szCs w:val="24"/>
          <w:shd w:val="clear" w:color="auto" w:fill="ffffff"/>
          <w:lang w:val="en-GB"/>
        </w:rPr>
        <w:t>Journal of Business Ethics</w:t>
      </w:r>
      <w:r>
        <w:rPr>
          <w:color w:val="222222"/>
          <w:szCs w:val="24"/>
          <w:shd w:val="clear" w:color="auto" w:fill="ffffff"/>
          <w:lang w:val="en-GB"/>
        </w:rPr>
        <w:t>, </w:t>
      </w:r>
      <w:r>
        <w:rPr>
          <w:i/>
          <w:iCs/>
          <w:color w:val="222222"/>
          <w:szCs w:val="24"/>
          <w:shd w:val="clear" w:color="auto" w:fill="ffffff"/>
          <w:lang w:val="en-GB"/>
        </w:rPr>
        <w:t>128</w:t>
      </w:r>
      <w:r>
        <w:rPr>
          <w:color w:val="222222"/>
          <w:szCs w:val="24"/>
          <w:shd w:val="clear" w:color="auto" w:fill="ffffff"/>
          <w:lang w:val="en-GB"/>
        </w:rPr>
        <w:t>, pp.547-574.</w:t>
      </w:r>
    </w:p>
    <w:p w14:paraId="00000043">
      <w:pPr>
        <w:spacing w:before="240" w:after="240" w:line="360" w:lineRule="auto"/>
        <w:jc w:val="both"/>
        <w:rPr>
          <w:color w:val="222222"/>
          <w:szCs w:val="24"/>
          <w:shd w:val="clear" w:color="auto" w:fill="ffffff"/>
          <w:lang w:val="en-GB"/>
        </w:rPr>
      </w:pPr>
      <w:r>
        <w:rPr>
          <w:rFonts w:ascii="Times New Roman" w:cs="Times New Roman" w:hAnsi="Times New Roman"/>
          <w:color w:val="222222"/>
          <w:szCs w:val="24"/>
          <w:shd w:val="clear" w:color="auto" w:fill="ffffff"/>
          <w:lang w:val="en-GB"/>
        </w:rPr>
        <w:t xml:space="preserve">Flynn, K.M., Ho, P., Vieira, M.C., </w:t>
      </w:r>
      <w:r>
        <w:rPr>
          <w:rFonts w:ascii="Times New Roman" w:cs="Times New Roman" w:hAnsi="Times New Roman"/>
          <w:color w:val="222222"/>
          <w:szCs w:val="24"/>
          <w:shd w:val="clear" w:color="auto" w:fill="ffffff"/>
          <w:lang w:val="en-GB"/>
        </w:rPr>
        <w:t>Pittia</w:t>
      </w:r>
      <w:r>
        <w:rPr>
          <w:rFonts w:ascii="Times New Roman" w:cs="Times New Roman" w:hAnsi="Times New Roman"/>
          <w:color w:val="222222"/>
          <w:szCs w:val="24"/>
          <w:shd w:val="clear" w:color="auto" w:fill="ffffff"/>
          <w:lang w:val="en-GB"/>
        </w:rPr>
        <w:t>, P. and Dalla Rosa, M., 2017.</w:t>
      </w:r>
      <w:r>
        <w:rPr>
          <w:color w:val="222222"/>
          <w:szCs w:val="24"/>
          <w:shd w:val="clear" w:color="auto" w:fill="ffffff"/>
          <w:lang w:val="en-GB"/>
        </w:rPr>
        <w:t xml:space="preserve"> Food science and technology students self-evaluate soft and technical skills. </w:t>
      </w:r>
      <w:r>
        <w:rPr>
          <w:i/>
          <w:iCs/>
          <w:color w:val="222222"/>
          <w:szCs w:val="24"/>
          <w:shd w:val="clear" w:color="auto" w:fill="ffffff"/>
          <w:lang w:val="en-GB"/>
        </w:rPr>
        <w:t>International Journal of Food Studies</w:t>
      </w:r>
      <w:r>
        <w:rPr>
          <w:color w:val="222222"/>
          <w:szCs w:val="24"/>
          <w:shd w:val="clear" w:color="auto" w:fill="ffffff"/>
          <w:lang w:val="en-GB"/>
        </w:rPr>
        <w:t>, </w:t>
      </w:r>
      <w:r>
        <w:rPr>
          <w:i/>
          <w:iCs/>
          <w:color w:val="222222"/>
          <w:szCs w:val="24"/>
          <w:shd w:val="clear" w:color="auto" w:fill="ffffff"/>
          <w:lang w:val="en-GB"/>
        </w:rPr>
        <w:t>6</w:t>
      </w:r>
      <w:r>
        <w:rPr>
          <w:color w:val="222222"/>
          <w:szCs w:val="24"/>
          <w:shd w:val="clear" w:color="auto" w:fill="ffffff"/>
          <w:lang w:val="en-GB"/>
        </w:rPr>
        <w:t>(2).</w:t>
      </w:r>
    </w:p>
    <w:p w14:paraId="00000044">
      <w:pPr>
        <w:spacing w:before="240" w:after="240" w:line="360" w:lineRule="auto"/>
        <w:jc w:val="both"/>
        <w:rPr>
          <w:color w:val="222222"/>
          <w:szCs w:val="24"/>
          <w:shd w:val="clear" w:color="auto" w:fill="ffffff"/>
          <w:lang w:val="en-GB"/>
        </w:rPr>
      </w:pPr>
      <w:r>
        <w:rPr>
          <w:rFonts w:ascii="Times New Roman" w:cs="Times New Roman" w:hAnsi="Times New Roman"/>
          <w:color w:val="222222"/>
          <w:szCs w:val="24"/>
          <w:shd w:val="clear" w:color="auto" w:fill="ffffff"/>
          <w:lang w:val="en-GB"/>
        </w:rPr>
        <w:t>Gatti, L., Seele, P. and Rademacher, L., 2019.</w:t>
      </w:r>
      <w:r>
        <w:rPr>
          <w:color w:val="222222"/>
          <w:szCs w:val="24"/>
          <w:shd w:val="clear" w:color="auto" w:fill="ffffff"/>
          <w:lang w:val="en-GB"/>
        </w:rPr>
        <w:t xml:space="preserve"> Grey zone in–greenwash out. A review of greenwashing research and implications for the voluntary-mandatory transition of CSR. </w:t>
      </w:r>
      <w:r>
        <w:rPr>
          <w:i/>
          <w:iCs/>
          <w:color w:val="222222"/>
          <w:szCs w:val="24"/>
          <w:shd w:val="clear" w:color="auto" w:fill="ffffff"/>
          <w:lang w:val="en-GB"/>
        </w:rPr>
        <w:t>International Journal of Corporate Social Responsibility</w:t>
      </w:r>
      <w:r>
        <w:rPr>
          <w:color w:val="222222"/>
          <w:szCs w:val="24"/>
          <w:shd w:val="clear" w:color="auto" w:fill="ffffff"/>
          <w:lang w:val="en-GB"/>
        </w:rPr>
        <w:t>, </w:t>
      </w:r>
      <w:r>
        <w:rPr>
          <w:i/>
          <w:iCs/>
          <w:color w:val="222222"/>
          <w:szCs w:val="24"/>
          <w:shd w:val="clear" w:color="auto" w:fill="ffffff"/>
          <w:lang w:val="en-GB"/>
        </w:rPr>
        <w:t>4</w:t>
      </w:r>
      <w:r>
        <w:rPr>
          <w:color w:val="222222"/>
          <w:szCs w:val="24"/>
          <w:shd w:val="clear" w:color="auto" w:fill="ffffff"/>
          <w:lang w:val="en-GB"/>
        </w:rPr>
        <w:t>(1), pp.1-15.</w:t>
      </w:r>
    </w:p>
    <w:p w14:paraId="00000045">
      <w:pPr>
        <w:spacing w:before="240" w:after="240" w:line="360" w:lineRule="auto"/>
        <w:jc w:val="both"/>
        <w:rPr>
          <w:color w:val="222222"/>
          <w:szCs w:val="24"/>
          <w:shd w:val="clear" w:color="auto" w:fill="ffffff"/>
          <w:lang w:val="en-GB"/>
        </w:rPr>
      </w:pPr>
      <w:r>
        <w:rPr>
          <w:rFonts w:ascii="Times New Roman" w:cs="Times New Roman" w:hAnsi="Times New Roman"/>
          <w:color w:val="222222"/>
          <w:szCs w:val="24"/>
          <w:shd w:val="clear" w:color="auto" w:fill="ffffff"/>
          <w:lang w:val="en-GB"/>
        </w:rPr>
        <w:t>Horng, J.S. and Lin, L., 2013. Training needs assessment in a hotel using 360 degree feedback to develop competency-based training programs.</w:t>
      </w:r>
      <w:r>
        <w:rPr>
          <w:color w:val="222222"/>
          <w:szCs w:val="24"/>
          <w:shd w:val="clear" w:color="auto" w:fill="ffffff"/>
          <w:lang w:val="en-GB"/>
        </w:rPr>
        <w:t> </w:t>
      </w:r>
      <w:r>
        <w:rPr>
          <w:i/>
          <w:iCs/>
          <w:color w:val="222222"/>
          <w:szCs w:val="24"/>
          <w:shd w:val="clear" w:color="auto" w:fill="ffffff"/>
          <w:lang w:val="en-GB"/>
        </w:rPr>
        <w:t>Journal of Hospitality and Tourism Management</w:t>
      </w:r>
      <w:r>
        <w:rPr>
          <w:color w:val="222222"/>
          <w:szCs w:val="24"/>
          <w:shd w:val="clear" w:color="auto" w:fill="ffffff"/>
          <w:lang w:val="en-GB"/>
        </w:rPr>
        <w:t>, </w:t>
      </w:r>
      <w:r>
        <w:rPr>
          <w:i/>
          <w:iCs/>
          <w:color w:val="222222"/>
          <w:szCs w:val="24"/>
          <w:shd w:val="clear" w:color="auto" w:fill="ffffff"/>
          <w:lang w:val="en-GB"/>
        </w:rPr>
        <w:t>20</w:t>
      </w:r>
      <w:r>
        <w:rPr>
          <w:color w:val="222222"/>
          <w:szCs w:val="24"/>
          <w:shd w:val="clear" w:color="auto" w:fill="ffffff"/>
          <w:lang w:val="en-GB"/>
        </w:rPr>
        <w:t>, pp.61-67.</w:t>
      </w:r>
    </w:p>
    <w:p w14:paraId="00000046">
      <w:pPr>
        <w:spacing w:before="240" w:after="240" w:line="360" w:lineRule="auto"/>
        <w:jc w:val="both"/>
        <w:rPr>
          <w:color w:val="222222"/>
          <w:szCs w:val="24"/>
          <w:shd w:val="clear" w:color="auto" w:fill="ffffff"/>
          <w:lang w:val="en-GB"/>
        </w:rPr>
      </w:pPr>
      <w:r>
        <w:rPr>
          <w:rFonts w:ascii="Times New Roman" w:cs="Times New Roman" w:hAnsi="Times New Roman"/>
          <w:color w:val="222222"/>
          <w:szCs w:val="24"/>
          <w:shd w:val="clear" w:color="auto" w:fill="ffffff"/>
          <w:lang w:val="en-GB"/>
        </w:rPr>
        <w:t xml:space="preserve">Jones, P., Hillier, D. and Comfort, D., 2014. </w:t>
      </w:r>
      <w:r>
        <w:rPr>
          <w:color w:val="222222"/>
          <w:szCs w:val="24"/>
          <w:shd w:val="clear" w:color="auto" w:fill="ffffff"/>
          <w:lang w:val="en-GB"/>
        </w:rPr>
        <w:t>Sustainability in the global hotel industry. </w:t>
      </w:r>
      <w:r>
        <w:rPr>
          <w:i/>
          <w:iCs/>
          <w:color w:val="222222"/>
          <w:szCs w:val="24"/>
          <w:shd w:val="clear" w:color="auto" w:fill="ffffff"/>
          <w:lang w:val="en-GB"/>
        </w:rPr>
        <w:t>International Journal of Contemporary Hospitality Management</w:t>
      </w:r>
      <w:r>
        <w:rPr>
          <w:color w:val="222222"/>
          <w:szCs w:val="24"/>
          <w:shd w:val="clear" w:color="auto" w:fill="ffffff"/>
          <w:lang w:val="en-GB"/>
        </w:rPr>
        <w:t>, </w:t>
      </w:r>
      <w:r>
        <w:rPr>
          <w:i/>
          <w:iCs/>
          <w:color w:val="222222"/>
          <w:szCs w:val="24"/>
          <w:shd w:val="clear" w:color="auto" w:fill="ffffff"/>
          <w:lang w:val="en-GB"/>
        </w:rPr>
        <w:t>26</w:t>
      </w:r>
      <w:r>
        <w:rPr>
          <w:color w:val="222222"/>
          <w:szCs w:val="24"/>
          <w:shd w:val="clear" w:color="auto" w:fill="ffffff"/>
          <w:lang w:val="en-GB"/>
        </w:rPr>
        <w:t>(1), pp.5-17.</w:t>
      </w:r>
    </w:p>
    <w:p w14:paraId="00000047">
      <w:pPr>
        <w:spacing w:before="240" w:after="240" w:line="360" w:lineRule="auto"/>
        <w:jc w:val="both"/>
        <w:rPr>
          <w:color w:val="222222"/>
          <w:szCs w:val="24"/>
          <w:shd w:val="clear" w:color="auto" w:fill="ffffff"/>
          <w:lang w:val="en-GB"/>
        </w:rPr>
      </w:pPr>
      <w:r>
        <w:rPr>
          <w:rFonts w:ascii="Times New Roman" w:cs="Times New Roman" w:hAnsi="Times New Roman"/>
          <w:color w:val="222222"/>
          <w:szCs w:val="24"/>
          <w:shd w:val="clear" w:color="auto" w:fill="ffffff"/>
          <w:lang w:val="en-GB"/>
        </w:rPr>
        <w:t>Kibert</w:t>
      </w:r>
      <w:r>
        <w:rPr>
          <w:rFonts w:ascii="Times New Roman" w:cs="Times New Roman" w:hAnsi="Times New Roman"/>
          <w:color w:val="222222"/>
          <w:szCs w:val="24"/>
          <w:shd w:val="clear" w:color="auto" w:fill="ffffff"/>
          <w:lang w:val="en-GB"/>
        </w:rPr>
        <w:t>, C.J., 2016. </w:t>
      </w:r>
      <w:r>
        <w:rPr>
          <w:i/>
          <w:iCs/>
          <w:color w:val="222222"/>
          <w:szCs w:val="24"/>
          <w:shd w:val="clear" w:color="auto" w:fill="ffffff"/>
          <w:lang w:val="en-GB"/>
        </w:rPr>
        <w:t>Sustainable construction: green building design and delivery</w:t>
      </w:r>
      <w:r>
        <w:rPr>
          <w:color w:val="222222"/>
          <w:szCs w:val="24"/>
          <w:shd w:val="clear" w:color="auto" w:fill="ffffff"/>
          <w:lang w:val="en-GB"/>
        </w:rPr>
        <w:t>. John Wiley &amp; Sons.</w:t>
      </w:r>
    </w:p>
    <w:p w14:paraId="00000048">
      <w:pPr>
        <w:spacing w:before="240" w:after="240" w:line="360" w:lineRule="auto"/>
        <w:jc w:val="both"/>
        <w:rPr>
          <w:color w:val="222222"/>
          <w:szCs w:val="24"/>
          <w:shd w:val="clear" w:color="auto" w:fill="ffffff"/>
          <w:lang w:val="en-GB"/>
        </w:rPr>
      </w:pPr>
      <w:r>
        <w:rPr>
          <w:rFonts w:ascii="Times New Roman" w:cs="Times New Roman" w:hAnsi="Times New Roman"/>
          <w:color w:val="222222"/>
          <w:szCs w:val="24"/>
          <w:shd w:val="clear" w:color="auto" w:fill="ffffff"/>
          <w:lang w:val="en-GB"/>
        </w:rPr>
        <w:t xml:space="preserve">Lashley, C., 2015. </w:t>
      </w:r>
      <w:r>
        <w:rPr>
          <w:color w:val="222222"/>
          <w:szCs w:val="24"/>
          <w:shd w:val="clear" w:color="auto" w:fill="ffffff"/>
          <w:lang w:val="en-GB"/>
        </w:rPr>
        <w:t>Hospitality and hospitableness. </w:t>
      </w:r>
      <w:r>
        <w:rPr>
          <w:i/>
          <w:iCs/>
          <w:color w:val="222222"/>
          <w:szCs w:val="24"/>
          <w:shd w:val="clear" w:color="auto" w:fill="ffffff"/>
          <w:lang w:val="en-GB"/>
        </w:rPr>
        <w:t>Research in hospitality Management</w:t>
      </w:r>
      <w:r>
        <w:rPr>
          <w:color w:val="222222"/>
          <w:szCs w:val="24"/>
          <w:shd w:val="clear" w:color="auto" w:fill="ffffff"/>
          <w:lang w:val="en-GB"/>
        </w:rPr>
        <w:t>, </w:t>
      </w:r>
      <w:r>
        <w:rPr>
          <w:i/>
          <w:iCs/>
          <w:color w:val="222222"/>
          <w:szCs w:val="24"/>
          <w:shd w:val="clear" w:color="auto" w:fill="ffffff"/>
          <w:lang w:val="en-GB"/>
        </w:rPr>
        <w:t>5</w:t>
      </w:r>
      <w:r>
        <w:rPr>
          <w:color w:val="222222"/>
          <w:szCs w:val="24"/>
          <w:shd w:val="clear" w:color="auto" w:fill="ffffff"/>
          <w:lang w:val="en-GB"/>
        </w:rPr>
        <w:t>(1), pp.1-7.</w:t>
      </w:r>
    </w:p>
    <w:p w14:paraId="00000049">
      <w:pPr>
        <w:spacing w:before="240" w:after="240" w:line="360" w:lineRule="auto"/>
        <w:jc w:val="both"/>
        <w:rPr>
          <w:color w:val="222222"/>
          <w:szCs w:val="24"/>
          <w:shd w:val="clear" w:color="auto" w:fill="ffffff"/>
          <w:lang w:val="en-GB"/>
        </w:rPr>
      </w:pPr>
      <w:r>
        <w:rPr>
          <w:rFonts w:ascii="Times New Roman" w:cs="Times New Roman" w:hAnsi="Times New Roman"/>
          <w:color w:val="222222"/>
          <w:szCs w:val="24"/>
          <w:shd w:val="clear" w:color="auto" w:fill="ffffff"/>
          <w:lang w:val="en-GB"/>
        </w:rPr>
        <w:t>Parguel</w:t>
      </w:r>
      <w:r>
        <w:rPr>
          <w:rFonts w:ascii="Times New Roman" w:cs="Times New Roman" w:hAnsi="Times New Roman"/>
          <w:color w:val="222222"/>
          <w:szCs w:val="24"/>
          <w:shd w:val="clear" w:color="auto" w:fill="ffffff"/>
          <w:lang w:val="en-GB"/>
        </w:rPr>
        <w:t xml:space="preserve">, B., Benoit-Moreau, F. and Russell, C.A., 2015. </w:t>
      </w:r>
      <w:r>
        <w:rPr>
          <w:color w:val="222222"/>
          <w:szCs w:val="24"/>
          <w:shd w:val="clear" w:color="auto" w:fill="ffffff"/>
          <w:lang w:val="en-GB"/>
        </w:rPr>
        <w:t>Can evoking nature in advertising mislead consumers? The power of ‘executional greenwashing'. </w:t>
      </w:r>
      <w:r>
        <w:rPr>
          <w:i/>
          <w:iCs/>
          <w:color w:val="222222"/>
          <w:szCs w:val="24"/>
          <w:shd w:val="clear" w:color="auto" w:fill="ffffff"/>
          <w:lang w:val="en-GB"/>
        </w:rPr>
        <w:t>International Journal of Advertising</w:t>
      </w:r>
      <w:r>
        <w:rPr>
          <w:color w:val="222222"/>
          <w:szCs w:val="24"/>
          <w:shd w:val="clear" w:color="auto" w:fill="ffffff"/>
          <w:lang w:val="en-GB"/>
        </w:rPr>
        <w:t>, </w:t>
      </w:r>
      <w:r>
        <w:rPr>
          <w:i/>
          <w:iCs/>
          <w:color w:val="222222"/>
          <w:szCs w:val="24"/>
          <w:shd w:val="clear" w:color="auto" w:fill="ffffff"/>
          <w:lang w:val="en-GB"/>
        </w:rPr>
        <w:t>34</w:t>
      </w:r>
      <w:r>
        <w:rPr>
          <w:color w:val="222222"/>
          <w:szCs w:val="24"/>
          <w:shd w:val="clear" w:color="auto" w:fill="ffffff"/>
          <w:lang w:val="en-GB"/>
        </w:rPr>
        <w:t>(1), pp.107-134.</w:t>
      </w:r>
    </w:p>
    <w:p w14:paraId="0000004A">
      <w:pPr>
        <w:spacing w:before="240" w:after="240" w:line="360" w:lineRule="auto"/>
        <w:jc w:val="both"/>
        <w:rPr>
          <w:color w:val="222222"/>
          <w:szCs w:val="24"/>
          <w:shd w:val="clear" w:color="auto" w:fill="ffffff"/>
          <w:lang w:val="en-GB"/>
        </w:rPr>
      </w:pPr>
      <w:r>
        <w:rPr>
          <w:color w:val="222222"/>
          <w:szCs w:val="24"/>
          <w:shd w:val="clear" w:color="auto" w:fill="ffffff"/>
          <w:lang w:val="en-GB"/>
        </w:rPr>
        <w:t>Pupavac</w:t>
      </w:r>
      <w:r>
        <w:rPr>
          <w:color w:val="222222"/>
          <w:szCs w:val="24"/>
          <w:shd w:val="clear" w:color="auto" w:fill="ffffff"/>
          <w:lang w:val="en-GB"/>
        </w:rPr>
        <w:t>, J., 2020. ASSESSING THE EMPLOYEES'PERFORMANCE IN THE HOTEL INDUSTRY. In </w:t>
      </w:r>
      <w:r>
        <w:rPr>
          <w:i/>
          <w:iCs/>
          <w:color w:val="222222"/>
          <w:szCs w:val="24"/>
          <w:shd w:val="clear" w:color="auto" w:fill="ffffff"/>
          <w:lang w:val="en-GB"/>
        </w:rPr>
        <w:t xml:space="preserve">Faculty of Tourism and Hospitality Management in </w:t>
      </w:r>
      <w:r>
        <w:rPr>
          <w:i/>
          <w:iCs/>
          <w:color w:val="222222"/>
          <w:szCs w:val="24"/>
          <w:shd w:val="clear" w:color="auto" w:fill="ffffff"/>
          <w:lang w:val="en-GB"/>
        </w:rPr>
        <w:t>Opatija</w:t>
      </w:r>
      <w:r>
        <w:rPr>
          <w:i/>
          <w:iCs/>
          <w:color w:val="222222"/>
          <w:szCs w:val="24"/>
          <w:shd w:val="clear" w:color="auto" w:fill="ffffff"/>
          <w:lang w:val="en-GB"/>
        </w:rPr>
        <w:t>. Biennial International Congress. Tourism &amp; Hospitality Industry</w:t>
      </w:r>
      <w:r>
        <w:rPr>
          <w:color w:val="222222"/>
          <w:szCs w:val="24"/>
          <w:shd w:val="clear" w:color="auto" w:fill="ffffff"/>
          <w:lang w:val="en-GB"/>
        </w:rPr>
        <w:t> (pp. 216-225). University of Rijeka, Faculty of Tourism &amp; Hospitality Management.</w:t>
      </w:r>
    </w:p>
    <w:p w14:paraId="0000004B">
      <w:pPr>
        <w:spacing w:before="240" w:after="240" w:line="360" w:lineRule="auto"/>
        <w:jc w:val="both"/>
        <w:rPr>
          <w:color w:val="222222"/>
          <w:szCs w:val="24"/>
          <w:shd w:val="clear" w:color="auto" w:fill="ffffff"/>
          <w:lang w:val="en-GB"/>
        </w:rPr>
      </w:pPr>
      <w:r>
        <w:rPr>
          <w:color w:val="222222"/>
          <w:szCs w:val="24"/>
          <w:shd w:val="clear" w:color="auto" w:fill="ffffff"/>
          <w:lang w:val="en-GB"/>
        </w:rPr>
        <w:t>Seele, P. and Gatti, L., 2017. Greenwashing revisited: In search of a typology and accusation</w:t>
      </w:r>
      <w:r>
        <w:rPr>
          <w:rFonts w:ascii="Cambria Math" w:cs="Cambria Math" w:hAnsi="Cambria Math"/>
          <w:color w:val="222222"/>
          <w:szCs w:val="24"/>
          <w:shd w:val="clear" w:color="auto" w:fill="ffffff"/>
          <w:lang w:val="en-GB"/>
        </w:rPr>
        <w:t>‐</w:t>
      </w:r>
      <w:r>
        <w:rPr>
          <w:color w:val="222222"/>
          <w:szCs w:val="24"/>
          <w:shd w:val="clear" w:color="auto" w:fill="ffffff"/>
          <w:lang w:val="en-GB"/>
        </w:rPr>
        <w:t>based definition incorporating legitimacy strategies. </w:t>
      </w:r>
      <w:r>
        <w:rPr>
          <w:i/>
          <w:iCs/>
          <w:color w:val="222222"/>
          <w:szCs w:val="24"/>
          <w:shd w:val="clear" w:color="auto" w:fill="ffffff"/>
          <w:lang w:val="en-GB"/>
        </w:rPr>
        <w:t>Business Strategy and the Environment</w:t>
      </w:r>
      <w:r>
        <w:rPr>
          <w:color w:val="222222"/>
          <w:szCs w:val="24"/>
          <w:shd w:val="clear" w:color="auto" w:fill="ffffff"/>
          <w:lang w:val="en-GB"/>
        </w:rPr>
        <w:t>, </w:t>
      </w:r>
      <w:r>
        <w:rPr>
          <w:i/>
          <w:iCs/>
          <w:color w:val="222222"/>
          <w:szCs w:val="24"/>
          <w:shd w:val="clear" w:color="auto" w:fill="ffffff"/>
          <w:lang w:val="en-GB"/>
        </w:rPr>
        <w:t>26</w:t>
      </w:r>
      <w:r>
        <w:rPr>
          <w:color w:val="222222"/>
          <w:szCs w:val="24"/>
          <w:shd w:val="clear" w:color="auto" w:fill="ffffff"/>
          <w:lang w:val="en-GB"/>
        </w:rPr>
        <w:t>(2), pp.239-252.</w:t>
      </w:r>
    </w:p>
    <w:p w14:paraId="0000004C">
      <w:pPr>
        <w:spacing w:before="240" w:after="240" w:line="360" w:lineRule="auto"/>
        <w:jc w:val="both"/>
        <w:rPr>
          <w:color w:val="222222"/>
          <w:szCs w:val="24"/>
          <w:shd w:val="clear" w:color="auto" w:fill="ffffff"/>
          <w:lang w:val="en-GB"/>
        </w:rPr>
      </w:pPr>
      <w:r>
        <w:rPr>
          <w:color w:val="222222"/>
          <w:szCs w:val="24"/>
          <w:shd w:val="clear" w:color="auto" w:fill="ffffff"/>
          <w:lang w:val="en-GB"/>
        </w:rPr>
        <w:t>Sheldon, R.A., 2014. Green and sustainable manufacture of chemicals from biomass: state of the art. </w:t>
      </w:r>
      <w:r>
        <w:rPr>
          <w:i/>
          <w:iCs/>
          <w:color w:val="222222"/>
          <w:szCs w:val="24"/>
          <w:shd w:val="clear" w:color="auto" w:fill="ffffff"/>
          <w:lang w:val="en-GB"/>
        </w:rPr>
        <w:t>Green Chemistry</w:t>
      </w:r>
      <w:r>
        <w:rPr>
          <w:color w:val="222222"/>
          <w:szCs w:val="24"/>
          <w:shd w:val="clear" w:color="auto" w:fill="ffffff"/>
          <w:lang w:val="en-GB"/>
        </w:rPr>
        <w:t>, </w:t>
      </w:r>
      <w:r>
        <w:rPr>
          <w:i/>
          <w:iCs/>
          <w:color w:val="222222"/>
          <w:szCs w:val="24"/>
          <w:shd w:val="clear" w:color="auto" w:fill="ffffff"/>
          <w:lang w:val="en-GB"/>
        </w:rPr>
        <w:t>16</w:t>
      </w:r>
      <w:r>
        <w:rPr>
          <w:color w:val="222222"/>
          <w:szCs w:val="24"/>
          <w:shd w:val="clear" w:color="auto" w:fill="ffffff"/>
          <w:lang w:val="en-GB"/>
        </w:rPr>
        <w:t>(3), pp.950-963.</w:t>
      </w:r>
    </w:p>
    <w:p w14:paraId="0000004D">
      <w:pPr>
        <w:spacing w:before="240" w:after="240" w:line="360" w:lineRule="auto"/>
        <w:jc w:val="both"/>
        <w:rPr>
          <w:color w:val="222222"/>
          <w:szCs w:val="24"/>
          <w:shd w:val="clear" w:color="auto" w:fill="ffffff"/>
          <w:lang w:val="en-GB"/>
        </w:rPr>
      </w:pPr>
      <w:r>
        <w:rPr>
          <w:color w:val="222222"/>
          <w:szCs w:val="24"/>
          <w:shd w:val="clear" w:color="auto" w:fill="ffffff"/>
          <w:lang w:val="en-GB"/>
        </w:rPr>
        <w:t>SHEN, H.X., Design of Informational Teaching Methods and Processes of Higher Vocational Curriculum—A Case Study of “Hotel Marketing” Course Unit.</w:t>
      </w:r>
    </w:p>
    <w:p w14:paraId="0000004E">
      <w:pPr>
        <w:spacing w:before="240" w:after="240" w:line="360" w:lineRule="auto"/>
        <w:jc w:val="both"/>
        <w:rPr>
          <w:color w:val="222222"/>
          <w:szCs w:val="24"/>
          <w:shd w:val="clear" w:color="auto" w:fill="ffffff"/>
          <w:lang w:val="en-GB"/>
        </w:rPr>
      </w:pPr>
      <w:r>
        <w:rPr>
          <w:color w:val="222222"/>
          <w:szCs w:val="24"/>
          <w:shd w:val="clear" w:color="auto" w:fill="ffffff"/>
          <w:lang w:val="en-GB"/>
        </w:rPr>
        <w:t>Szabo, S. and Webster, J., 2021. Perceived greenwashing: the effects of green marketing on environmental and product perceptions. </w:t>
      </w:r>
      <w:r>
        <w:rPr>
          <w:i/>
          <w:iCs/>
          <w:color w:val="222222"/>
          <w:szCs w:val="24"/>
          <w:shd w:val="clear" w:color="auto" w:fill="ffffff"/>
          <w:lang w:val="en-GB"/>
        </w:rPr>
        <w:t>Journal of business ethics</w:t>
      </w:r>
      <w:r>
        <w:rPr>
          <w:color w:val="222222"/>
          <w:szCs w:val="24"/>
          <w:shd w:val="clear" w:color="auto" w:fill="ffffff"/>
          <w:lang w:val="en-GB"/>
        </w:rPr>
        <w:t>, </w:t>
      </w:r>
      <w:r>
        <w:rPr>
          <w:i/>
          <w:iCs/>
          <w:color w:val="222222"/>
          <w:szCs w:val="24"/>
          <w:shd w:val="clear" w:color="auto" w:fill="ffffff"/>
          <w:lang w:val="en-GB"/>
        </w:rPr>
        <w:t>171</w:t>
      </w:r>
      <w:r>
        <w:rPr>
          <w:color w:val="222222"/>
          <w:szCs w:val="24"/>
          <w:shd w:val="clear" w:color="auto" w:fill="ffffff"/>
          <w:lang w:val="en-GB"/>
        </w:rPr>
        <w:t>, pp.719-739.</w:t>
      </w:r>
    </w:p>
    <w:p w14:paraId="0000004F">
      <w:pPr>
        <w:spacing w:before="240" w:after="240" w:line="360" w:lineRule="auto"/>
        <w:jc w:val="both"/>
        <w:rPr>
          <w:color w:val="222222"/>
          <w:szCs w:val="24"/>
          <w:shd w:val="clear" w:color="auto" w:fill="ffffff"/>
          <w:lang w:val="en-GB"/>
        </w:rPr>
      </w:pPr>
      <w:r>
        <w:rPr>
          <w:color w:val="222222"/>
          <w:szCs w:val="24"/>
          <w:shd w:val="clear" w:color="auto" w:fill="ffffff"/>
          <w:lang w:val="en-GB"/>
        </w:rPr>
        <w:t xml:space="preserve">Thai, K.P. and Nguyen, Q.H., 2022. How green hotel practices stimulates customer citizenship </w:t>
      </w:r>
      <w:r>
        <w:rPr>
          <w:color w:val="222222"/>
          <w:szCs w:val="24"/>
          <w:shd w:val="clear" w:color="auto" w:fill="ffffff"/>
          <w:lang w:val="en-GB"/>
        </w:rPr>
        <w:t>behavior</w:t>
      </w:r>
      <w:r>
        <w:rPr>
          <w:color w:val="222222"/>
          <w:szCs w:val="24"/>
          <w:shd w:val="clear" w:color="auto" w:fill="ffffff"/>
          <w:lang w:val="en-GB"/>
        </w:rPr>
        <w:t>? examining the role of green hotel mage and customer satisfaction in Vietnam. </w:t>
      </w:r>
      <w:r>
        <w:rPr>
          <w:i/>
          <w:iCs/>
          <w:color w:val="222222"/>
          <w:szCs w:val="24"/>
          <w:shd w:val="clear" w:color="auto" w:fill="ffffff"/>
          <w:lang w:val="en-GB"/>
        </w:rPr>
        <w:t xml:space="preserve">Geo J. Tour. </w:t>
      </w:r>
      <w:r>
        <w:rPr>
          <w:i/>
          <w:iCs/>
          <w:color w:val="222222"/>
          <w:szCs w:val="24"/>
          <w:shd w:val="clear" w:color="auto" w:fill="ffffff"/>
          <w:lang w:val="en-GB"/>
        </w:rPr>
        <w:t>Geosites</w:t>
      </w:r>
      <w:r>
        <w:rPr>
          <w:color w:val="222222"/>
          <w:szCs w:val="24"/>
          <w:shd w:val="clear" w:color="auto" w:fill="ffffff"/>
          <w:lang w:val="en-GB"/>
        </w:rPr>
        <w:t>, </w:t>
      </w:r>
      <w:r>
        <w:rPr>
          <w:i/>
          <w:iCs/>
          <w:color w:val="222222"/>
          <w:szCs w:val="24"/>
          <w:shd w:val="clear" w:color="auto" w:fill="ffffff"/>
          <w:lang w:val="en-GB"/>
        </w:rPr>
        <w:t>40</w:t>
      </w:r>
      <w:r>
        <w:rPr>
          <w:color w:val="222222"/>
          <w:szCs w:val="24"/>
          <w:shd w:val="clear" w:color="auto" w:fill="ffffff"/>
          <w:lang w:val="en-GB"/>
        </w:rPr>
        <w:t>, pp.274-282.</w:t>
      </w:r>
    </w:p>
    <w:p w14:paraId="00000050">
      <w:pPr>
        <w:spacing w:before="240" w:after="240" w:line="360" w:lineRule="auto"/>
        <w:jc w:val="both"/>
        <w:rPr>
          <w:color w:val="222222"/>
          <w:szCs w:val="24"/>
          <w:shd w:val="clear" w:color="auto" w:fill="ffffff"/>
          <w:lang w:val="en-GB"/>
        </w:rPr>
      </w:pPr>
      <w:r>
        <w:rPr>
          <w:color w:val="222222"/>
          <w:szCs w:val="24"/>
          <w:shd w:val="clear" w:color="auto" w:fill="ffffff"/>
          <w:lang w:val="en-GB"/>
        </w:rPr>
        <w:t>Wu, Y., Zhang, K. and Xie, J., 2020. Bad greenwashing, good greenwashing: Corporate social responsibility and information transparency. </w:t>
      </w:r>
      <w:r>
        <w:rPr>
          <w:i/>
          <w:iCs/>
          <w:color w:val="222222"/>
          <w:szCs w:val="24"/>
          <w:shd w:val="clear" w:color="auto" w:fill="ffffff"/>
          <w:lang w:val="en-GB"/>
        </w:rPr>
        <w:t>Management Science</w:t>
      </w:r>
      <w:r>
        <w:rPr>
          <w:color w:val="222222"/>
          <w:szCs w:val="24"/>
          <w:shd w:val="clear" w:color="auto" w:fill="ffffff"/>
          <w:lang w:val="en-GB"/>
        </w:rPr>
        <w:t>, </w:t>
      </w:r>
      <w:r>
        <w:rPr>
          <w:i/>
          <w:iCs/>
          <w:color w:val="222222"/>
          <w:szCs w:val="24"/>
          <w:shd w:val="clear" w:color="auto" w:fill="ffffff"/>
          <w:lang w:val="en-GB"/>
        </w:rPr>
        <w:t>66</w:t>
      </w:r>
      <w:r>
        <w:rPr>
          <w:color w:val="222222"/>
          <w:szCs w:val="24"/>
          <w:shd w:val="clear" w:color="auto" w:fill="ffffff"/>
          <w:lang w:val="en-GB"/>
        </w:rPr>
        <w:t>(7), pp.3095-3112.</w:t>
      </w:r>
    </w:p>
    <w:p w14:paraId="00000051">
      <w:pPr>
        <w:spacing w:before="240" w:after="240" w:line="360" w:lineRule="auto"/>
        <w:jc w:val="both"/>
        <w:rPr>
          <w:color w:val="222222"/>
          <w:szCs w:val="24"/>
          <w:shd w:val="clear" w:color="auto" w:fill="ffffff"/>
          <w:lang w:val="en-GB"/>
        </w:rPr>
      </w:pPr>
      <w:r>
        <w:rPr>
          <w:color w:val="222222"/>
          <w:szCs w:val="24"/>
          <w:shd w:val="clear" w:color="auto" w:fill="ffffff"/>
          <w:lang w:val="en-GB"/>
        </w:rPr>
        <w:t>Xie, X., Huo, J. and Zou, H., 2019. Green process innovation, green product innovation, and corporate financial performance: A content analysis method. </w:t>
      </w:r>
      <w:r>
        <w:rPr>
          <w:i/>
          <w:iCs/>
          <w:color w:val="222222"/>
          <w:szCs w:val="24"/>
          <w:shd w:val="clear" w:color="auto" w:fill="ffffff"/>
          <w:lang w:val="en-GB"/>
        </w:rPr>
        <w:t>Journal of business research</w:t>
      </w:r>
      <w:r>
        <w:rPr>
          <w:color w:val="222222"/>
          <w:szCs w:val="24"/>
          <w:shd w:val="clear" w:color="auto" w:fill="ffffff"/>
          <w:lang w:val="en-GB"/>
        </w:rPr>
        <w:t>, </w:t>
      </w:r>
      <w:r>
        <w:rPr>
          <w:i/>
          <w:iCs/>
          <w:color w:val="222222"/>
          <w:szCs w:val="24"/>
          <w:shd w:val="clear" w:color="auto" w:fill="ffffff"/>
          <w:lang w:val="en-GB"/>
        </w:rPr>
        <w:t>101</w:t>
      </w:r>
      <w:r>
        <w:rPr>
          <w:color w:val="222222"/>
          <w:szCs w:val="24"/>
          <w:shd w:val="clear" w:color="auto" w:fill="ffffff"/>
          <w:lang w:val="en-GB"/>
        </w:rPr>
        <w:t>, pp.697-706.</w:t>
      </w:r>
    </w:p>
    <w:p w14:paraId="00000052">
      <w:pPr>
        <w:spacing w:before="240" w:after="240" w:line="360" w:lineRule="auto"/>
        <w:jc w:val="both"/>
        <w:rPr>
          <w:color w:val="222222"/>
          <w:szCs w:val="24"/>
          <w:shd w:val="clear" w:color="auto" w:fill="ffffff"/>
          <w:lang w:val="en-GB"/>
        </w:rPr>
      </w:pPr>
      <w:r>
        <w:rPr>
          <w:color w:val="222222"/>
          <w:szCs w:val="24"/>
          <w:shd w:val="clear" w:color="auto" w:fill="ffffff"/>
          <w:lang w:val="en-GB"/>
        </w:rPr>
        <w:t>Yang, Z., Nguyen, T.T.H., Nguyen, H.N., Nguyen, T.T.N. and Cao, T.T., 2020. Greenwashing behaviours: Causes, taxonomy and consequences based on a systematic literature review. </w:t>
      </w:r>
      <w:r>
        <w:rPr>
          <w:i/>
          <w:iCs/>
          <w:color w:val="222222"/>
          <w:szCs w:val="24"/>
          <w:shd w:val="clear" w:color="auto" w:fill="ffffff"/>
          <w:lang w:val="en-GB"/>
        </w:rPr>
        <w:t>Journal of Business Economics and Management</w:t>
      </w:r>
      <w:r>
        <w:rPr>
          <w:color w:val="222222"/>
          <w:szCs w:val="24"/>
          <w:shd w:val="clear" w:color="auto" w:fill="ffffff"/>
          <w:lang w:val="en-GB"/>
        </w:rPr>
        <w:t>, </w:t>
      </w:r>
      <w:r>
        <w:rPr>
          <w:i/>
          <w:iCs/>
          <w:color w:val="222222"/>
          <w:szCs w:val="24"/>
          <w:shd w:val="clear" w:color="auto" w:fill="ffffff"/>
          <w:lang w:val="en-GB"/>
        </w:rPr>
        <w:t>21</w:t>
      </w:r>
      <w:r>
        <w:rPr>
          <w:color w:val="222222"/>
          <w:szCs w:val="24"/>
          <w:shd w:val="clear" w:color="auto" w:fill="ffffff"/>
          <w:lang w:val="en-GB"/>
        </w:rPr>
        <w:t>(5), pp.1486-1507.</w:t>
      </w:r>
    </w:p>
    <w:sectPr>
      <w:footerReference w:type="default" r:id="rId11"/>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after="0" w:line="240" w:lineRule="auto"/>
        <w:rPr/>
      </w:pPr>
      <w:r>
        <w:rPr/>
        <w:separator/>
      </w:r>
    </w:p>
  </w:endnote>
  <w:endnote w:type="continuationSeparator" w:id="1">
    <w:p w14:paraId="00000004">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Cambria Math">
    <w:panose1 w:val="02040503050406030204"/>
    <w:charset w:val="00"/>
    <w:family w:val="roman"/>
    <w:pitch w:val="variable"/>
    <w:sig w:usb0="00000000" w:usb1="420024ff" w:usb2="02000000" w:usb3="00000000" w:csb0="000001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53">
    <w:pPr>
      <w:pStyle w:val="Footer"/>
      <w:jc w:val="center"/>
      <w:rPr/>
    </w:pPr>
    <w:r>
      <w:fldChar w:fldCharType="begin"/>
    </w:r>
    <w:r>
      <w:instrText xml:space="preserve"> PAGE   \* MERGEFORMAT </w:instrText>
    </w:r>
    <w:r>
      <w:fldChar w:fldCharType="separate"/>
    </w:r>
    <w:r>
      <w:t>2</w:t>
    </w:r>
    <w:r>
      <w:fldChar w:fldCharType="end"/>
    </w:r>
  </w:p>
  <w:p w14:paraId="00000054">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after="0" w:line="240" w:lineRule="auto"/>
        <w:rPr/>
      </w:pPr>
      <w:r>
        <w:rPr/>
        <w:separator/>
      </w:r>
    </w:p>
  </w:footnote>
  <w:footnote w:type="continuationSeparator" w:id="1">
    <w:p w14:paraId="00000002">
      <w:pPr>
        <w:spacing w:after="0" w:line="240" w:lineRule="auto"/>
        <w:rPr/>
      </w:pPr>
      <w:r>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E8D"/>
    <w:rsid w:val="00012E8D"/>
    <w:rsid w:val="00114B4F"/>
    <w:rsid w:val="00241A18"/>
    <w:rsid w:val="002848D8"/>
    <w:rsid w:val="002B0B72"/>
    <w:rsid w:val="002B726D"/>
    <w:rsid w:val="003D481F"/>
    <w:rsid w:val="005949BB"/>
    <w:rsid w:val="005D4472"/>
    <w:rsid w:val="00666C9A"/>
    <w:rsid w:val="0067785C"/>
    <w:rsid w:val="00687B90"/>
    <w:rsid w:val="00711E65"/>
    <w:rsid w:val="007D1641"/>
    <w:rsid w:val="00880C2E"/>
    <w:rsid w:val="008D66F1"/>
    <w:rsid w:val="0095612C"/>
    <w:rsid w:val="009674B7"/>
    <w:rsid w:val="00A17717"/>
    <w:rsid w:val="00AB7A40"/>
    <w:rsid w:val="00B863C7"/>
    <w:rsid w:val="00BD38B8"/>
    <w:rsid w:val="00BE3262"/>
    <w:rsid w:val="00D132DE"/>
    <w:rsid w:val="00E05475"/>
    <w:rsid w:val="00F309EE"/>
    <w:rsid w:val="00F878FB"/>
    <w:rsid w:val="00FC07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2968F7"/>
  <w15:chartTrackingRefBased/>
  <w15:docId w15:val="{A9292602-6B9D-48E1-9103-EAE8F651B667}"/>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Arial" w:cs="Arial" w:eastAsiaTheme="minorHAnsi" w:hAnsi="Arial"/>
        <w:color w:val="000000" w:themeColor="text1"/>
        <w:sz w:val="24"/>
        <w:szCs w:val="32"/>
        <w:lang w:val="en-US" w:bidi="ar-SA" w:eastAsia="en-US"/>
      </w:rPr>
    </w:rPrDefault>
    <w:pPrDefault>
      <w:pPr>
        <w:spacing w:after="160" w:line="259" w:lineRule="auto"/>
      </w:pPr>
    </w:pPrDefault>
  </w:docDefaults>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240" w:after="0"/>
    </w:pPr>
    <w:rPr>
      <w:rFonts w:asciiTheme="majorHAnsi" w:cstheme="majorBidi" w:eastAsiaTheme="majorEastAsia" w:hAnsiTheme="majorHAnsi"/>
      <w:color w:val="2f5395" w:themeColor="accent1" w:themeShade="bf"/>
      <w:sz w:val="32"/>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heme="majorHAnsi" w:cstheme="majorBidi" w:eastAsiaTheme="majorEastAsia" w:hAnsiTheme="majorHAnsi"/>
      <w:color w:val="2f5395" w:themeColor="accent1" w:themeShade="bf"/>
      <w:sz w:val="32"/>
    </w:rPr>
  </w:style>
  <w:style w:type="paragraph" w:customStyle="1" w:styleId="Style1">
    <w:name w:val="Style1"/>
    <w:basedOn w:val="Heading1"/>
    <w:link w:val="Style1Char"/>
    <w:uiPriority w:val="99"/>
    <w:qFormat w:val="on"/>
    <w:pPr>
      <w:spacing w:after="240"/>
    </w:pPr>
    <w:rPr>
      <w:rFonts w:ascii="Arial" w:cs="Arial" w:hAnsi="Arial"/>
    </w:rPr>
  </w:style>
  <w:style w:type="character" w:customStyle="1" w:styleId="Style1Char">
    <w:name w:val="Style1 Char"/>
    <w:basedOn w:val="Heading1Char"/>
    <w:link w:val="Style1"/>
    <w:uiPriority w:val="99"/>
    <w:rPr>
      <w:rFonts w:asciiTheme="majorHAnsi" w:cstheme="majorBidi" w:eastAsiaTheme="majorEastAsia" w:hAnsiTheme="majorHAnsi"/>
      <w:color w:val="2f5395" w:themeColor="accent1" w:themeShade="bf"/>
      <w:sz w:val="32"/>
    </w:rPr>
  </w:style>
  <w:style w:type="paragraph" w:customStyle="1" w:styleId="Style2">
    <w:name w:val="Style2"/>
    <w:basedOn w:val="Normal"/>
    <w:link w:val="Style2Char"/>
    <w:uiPriority w:val="99"/>
    <w:qFormat w:val="on"/>
    <w:pPr>
      <w:spacing w:line="360" w:lineRule="auto"/>
      <w:jc w:val="both"/>
    </w:pPr>
  </w:style>
  <w:style w:type="character" w:customStyle="1" w:styleId="Style2Char">
    <w:name w:val="Style2 Char"/>
    <w:basedOn w:val="DefaultParagraphFont"/>
    <w:link w:val="Style2"/>
    <w:uiPriority w:val="99"/>
  </w:style>
  <w:style w:type="paragraph" w:styleId="Header">
    <w:name w:val="Header"/>
    <w:basedOn w:val="Normal"/>
    <w:link w:val="HeaderChar"/>
    <w:uiPriority w:val="99"/>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unhideWhenUsed w:val="on"/>
    <w:qFormat w:val="on"/>
    <w:p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595DAB-E0EA-4314-AEDF-EDD95D01F9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14</Pages>
  <Words>2693</Words>
  <Characters>16191</Characters>
  <DocSecurity>0</DocSecurity>
  <Lines>279</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Marius Stroe</dc:creator>
  <cp:lastModifiedBy>Marius Stroe</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6364053e5fb47bd5e904925f185b464eb52da52524a0d2df0341e3ff2bdee598</vt:lpwstr>
  </property>
</Properties>
</file>