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51327" w14:textId="56454AA4" w:rsidR="00AC444E" w:rsidRDefault="00AC444E" w:rsidP="00AC444E">
      <w:pPr>
        <w:pStyle w:val="NormalWeb"/>
        <w:spacing w:before="0" w:beforeAutospacing="0" w:after="0" w:afterAutospacing="0"/>
        <w:ind w:left="-180" w:right="-334"/>
      </w:pPr>
      <w:r>
        <w:rPr>
          <w:noProof/>
        </w:rPr>
        <w:drawing>
          <wp:inline distT="0" distB="0" distL="0" distR="0" wp14:anchorId="6FE70B9A" wp14:editId="5007CCB6">
            <wp:extent cx="1905000" cy="632460"/>
            <wp:effectExtent l="19050" t="19050" r="19050" b="15240"/>
            <wp:docPr id="1829388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6AC6A8C" w14:textId="77777777" w:rsidR="00AC444E" w:rsidRDefault="00AC444E" w:rsidP="00AC444E">
      <w:pPr>
        <w:pStyle w:val="NormalWeb"/>
        <w:spacing w:before="0" w:beforeAutospacing="0" w:after="0" w:afterAutospacing="0"/>
        <w:ind w:left="-180" w:right="-334"/>
      </w:pPr>
    </w:p>
    <w:p w14:paraId="4F808394" w14:textId="77777777" w:rsidR="00AC444E" w:rsidRDefault="00AC444E" w:rsidP="00AC444E">
      <w:pPr>
        <w:pStyle w:val="NormalWeb"/>
        <w:spacing w:before="0" w:beforeAutospacing="0" w:after="0" w:afterAutospacing="0"/>
        <w:ind w:left="-180" w:right="-334"/>
      </w:pPr>
    </w:p>
    <w:p w14:paraId="1044B563" w14:textId="77777777" w:rsidR="00AC444E" w:rsidRDefault="00AC444E" w:rsidP="00AC444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6EF4AAB" w14:textId="77777777" w:rsidR="00AC444E" w:rsidRPr="00230F35" w:rsidRDefault="00AC444E" w:rsidP="00AC444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5104256" w14:textId="77777777" w:rsidR="00AC444E" w:rsidRPr="00230F35" w:rsidRDefault="00AC444E" w:rsidP="00AC444E">
      <w:pPr>
        <w:rPr>
          <w:rFonts w:ascii="Arial" w:hAnsi="Arial" w:cs="Arial"/>
          <w:sz w:val="28"/>
          <w:szCs w:val="28"/>
          <w:lang w:val="cy-GB"/>
        </w:rPr>
      </w:pPr>
    </w:p>
    <w:p w14:paraId="2BCDAA45" w14:textId="77777777" w:rsidR="00AC444E" w:rsidRDefault="00AC444E" w:rsidP="00AC444E">
      <w:pPr>
        <w:pStyle w:val="Heading3"/>
        <w:jc w:val="center"/>
        <w:rPr>
          <w:lang w:val="cy-GB"/>
        </w:rPr>
      </w:pPr>
      <w:r>
        <w:rPr>
          <w:lang w:val="cy-GB"/>
        </w:rPr>
        <w:t>THIS SHEET MUST BE THE FIRST PAGE OF THE ASSIGNMENT YOU ARE SUBMITTING  (DO NOT SEND AS A SEPARATE FILE)</w:t>
      </w:r>
    </w:p>
    <w:p w14:paraId="0C09E86B" w14:textId="77777777" w:rsidR="00AC444E" w:rsidRDefault="00AC444E" w:rsidP="00AC444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C444E" w:rsidRPr="00230F35" w14:paraId="168FA457" w14:textId="77777777" w:rsidTr="00272653">
        <w:trPr>
          <w:trHeight w:val="614"/>
        </w:trPr>
        <w:tc>
          <w:tcPr>
            <w:tcW w:w="8856" w:type="dxa"/>
            <w:gridSpan w:val="5"/>
          </w:tcPr>
          <w:p w14:paraId="7326120E"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C444E" w:rsidRPr="00230F35" w14:paraId="34A37B7B" w14:textId="77777777" w:rsidTr="00272653">
        <w:trPr>
          <w:trHeight w:val="718"/>
        </w:trPr>
        <w:tc>
          <w:tcPr>
            <w:tcW w:w="8856" w:type="dxa"/>
            <w:gridSpan w:val="5"/>
          </w:tcPr>
          <w:p w14:paraId="1FA05DD2" w14:textId="77777777" w:rsidR="00AC444E"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Emily Nixon</w:t>
            </w:r>
          </w:p>
          <w:p w14:paraId="663C0E50" w14:textId="77777777" w:rsidR="00AC444E" w:rsidRPr="00230F35" w:rsidRDefault="00AC444E" w:rsidP="00272653">
            <w:pPr>
              <w:pStyle w:val="NormalWeb"/>
              <w:spacing w:before="0" w:beforeAutospacing="0" w:after="0" w:afterAutospacing="0"/>
              <w:ind w:right="34"/>
              <w:rPr>
                <w:rFonts w:ascii="Arial" w:hAnsi="Arial" w:cs="Arial"/>
                <w:sz w:val="22"/>
                <w:szCs w:val="22"/>
              </w:rPr>
            </w:pPr>
          </w:p>
          <w:p w14:paraId="28FE08C7"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2212291@uwtsd.student.ac.uk</w:t>
            </w:r>
          </w:p>
        </w:tc>
      </w:tr>
      <w:tr w:rsidR="00AC444E" w:rsidRPr="00230F35" w14:paraId="38BFE0E2" w14:textId="77777777" w:rsidTr="00272653">
        <w:trPr>
          <w:trHeight w:val="849"/>
        </w:trPr>
        <w:tc>
          <w:tcPr>
            <w:tcW w:w="4788" w:type="dxa"/>
          </w:tcPr>
          <w:p w14:paraId="7EC4F891"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2043FF">
              <w:rPr>
                <w:rFonts w:ascii="Arial" w:hAnsi="Arial" w:cs="Arial"/>
                <w:sz w:val="22"/>
                <w:szCs w:val="22"/>
              </w:rPr>
              <w:t>HPCA7014</w:t>
            </w:r>
          </w:p>
          <w:p w14:paraId="6580DF8A" w14:textId="77777777" w:rsidR="00AC444E" w:rsidRPr="00230F35" w:rsidRDefault="00AC444E" w:rsidP="00272653">
            <w:pPr>
              <w:pStyle w:val="NormalWeb"/>
              <w:spacing w:before="0" w:beforeAutospacing="0" w:after="0" w:afterAutospacing="0"/>
              <w:ind w:right="34"/>
              <w:rPr>
                <w:rFonts w:ascii="Arial" w:hAnsi="Arial" w:cs="Arial"/>
                <w:sz w:val="22"/>
                <w:szCs w:val="22"/>
              </w:rPr>
            </w:pPr>
          </w:p>
          <w:p w14:paraId="1C0C9D8E" w14:textId="77777777" w:rsidR="00AC444E"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 </w:t>
            </w:r>
          </w:p>
          <w:p w14:paraId="2B05240F" w14:textId="77777777" w:rsidR="00AC444E" w:rsidRDefault="00AC444E" w:rsidP="00272653">
            <w:pPr>
              <w:pStyle w:val="NormalWeb"/>
              <w:spacing w:before="0" w:beforeAutospacing="0" w:after="0" w:afterAutospacing="0"/>
              <w:ind w:right="34"/>
              <w:rPr>
                <w:rFonts w:ascii="Arial" w:hAnsi="Arial" w:cs="Arial"/>
                <w:sz w:val="22"/>
                <w:szCs w:val="22"/>
              </w:rPr>
            </w:pPr>
          </w:p>
          <w:p w14:paraId="7F451442" w14:textId="77777777" w:rsidR="00AC444E" w:rsidRPr="00230F35" w:rsidRDefault="00AC444E" w:rsidP="00272653">
            <w:pPr>
              <w:pStyle w:val="NormalWeb"/>
              <w:spacing w:before="0" w:beforeAutospacing="0" w:after="0" w:afterAutospacing="0"/>
              <w:ind w:right="34"/>
              <w:rPr>
                <w:rFonts w:ascii="Arial" w:hAnsi="Arial" w:cs="Arial"/>
                <w:sz w:val="22"/>
                <w:szCs w:val="22"/>
              </w:rPr>
            </w:pPr>
          </w:p>
        </w:tc>
        <w:tc>
          <w:tcPr>
            <w:tcW w:w="2266" w:type="dxa"/>
            <w:gridSpan w:val="3"/>
          </w:tcPr>
          <w:p w14:paraId="18272CC1" w14:textId="77777777" w:rsidR="00AC444E"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1EC967F" w14:textId="77777777" w:rsidR="00AC444E" w:rsidRDefault="00AC444E" w:rsidP="00272653">
            <w:pPr>
              <w:pStyle w:val="NormalWeb"/>
              <w:spacing w:before="0" w:beforeAutospacing="0" w:after="0" w:afterAutospacing="0"/>
              <w:ind w:right="34"/>
              <w:rPr>
                <w:rFonts w:ascii="Arial" w:hAnsi="Arial" w:cs="Arial"/>
                <w:sz w:val="22"/>
                <w:szCs w:val="22"/>
              </w:rPr>
            </w:pPr>
          </w:p>
          <w:p w14:paraId="5C564A52" w14:textId="77777777" w:rsidR="00AC444E" w:rsidRPr="00230F35" w:rsidRDefault="00AC444E" w:rsidP="00272653">
            <w:pPr>
              <w:pStyle w:val="NormalWeb"/>
              <w:spacing w:before="0" w:beforeAutospacing="0" w:after="0" w:afterAutospacing="0"/>
              <w:ind w:right="34"/>
              <w:rPr>
                <w:rFonts w:ascii="Arial" w:hAnsi="Arial" w:cs="Arial"/>
                <w:sz w:val="22"/>
                <w:szCs w:val="22"/>
              </w:rPr>
            </w:pPr>
            <w:r>
              <w:rPr>
                <w:rFonts w:ascii="Arial" w:hAnsi="Arial" w:cs="Arial"/>
                <w:sz w:val="22"/>
                <w:szCs w:val="22"/>
              </w:rPr>
              <w:t>2212291</w:t>
            </w:r>
          </w:p>
        </w:tc>
        <w:tc>
          <w:tcPr>
            <w:tcW w:w="1802" w:type="dxa"/>
          </w:tcPr>
          <w:p w14:paraId="756E10DD"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89EFC4"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043FF">
              <w:rPr>
                <w:rFonts w:ascii="Arial" w:hAnsi="Arial" w:cs="Arial"/>
                <w:b/>
                <w:bCs/>
                <w:sz w:val="22"/>
                <w:szCs w:val="22"/>
              </w:rPr>
              <w:t>Yes/</w:t>
            </w:r>
            <w:r w:rsidRPr="00230F35">
              <w:rPr>
                <w:rFonts w:ascii="Arial" w:hAnsi="Arial" w:cs="Arial"/>
                <w:sz w:val="22"/>
                <w:szCs w:val="22"/>
              </w:rPr>
              <w:t>No</w:t>
            </w:r>
          </w:p>
        </w:tc>
      </w:tr>
      <w:tr w:rsidR="00AC444E" w:rsidRPr="00230F35" w14:paraId="0462A515" w14:textId="77777777" w:rsidTr="00272653">
        <w:trPr>
          <w:trHeight w:val="1139"/>
        </w:trPr>
        <w:tc>
          <w:tcPr>
            <w:tcW w:w="8856" w:type="dxa"/>
            <w:gridSpan w:val="5"/>
          </w:tcPr>
          <w:p w14:paraId="34231E29"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t xml:space="preserve"> C</w:t>
            </w:r>
            <w:r w:rsidRPr="002043FF">
              <w:rPr>
                <w:rFonts w:ascii="Arial" w:hAnsi="Arial" w:cs="Arial"/>
                <w:sz w:val="22"/>
                <w:szCs w:val="22"/>
              </w:rPr>
              <w:t>ompare and critically contrast Mircea Eliade and Emile Durkheim’s views of sacred space</w:t>
            </w:r>
          </w:p>
          <w:p w14:paraId="4248DF7D" w14:textId="77777777" w:rsidR="00AC444E" w:rsidRPr="00230F35" w:rsidRDefault="00AC444E" w:rsidP="00272653">
            <w:pPr>
              <w:pStyle w:val="NormalWeb"/>
              <w:spacing w:before="0" w:beforeAutospacing="0" w:after="0" w:afterAutospacing="0"/>
              <w:ind w:right="34"/>
              <w:rPr>
                <w:rFonts w:ascii="Arial" w:hAnsi="Arial" w:cs="Arial"/>
                <w:sz w:val="22"/>
                <w:szCs w:val="22"/>
              </w:rPr>
            </w:pPr>
          </w:p>
          <w:p w14:paraId="00B29B07" w14:textId="77777777" w:rsidR="00AC444E" w:rsidRDefault="00AC444E" w:rsidP="00272653">
            <w:pPr>
              <w:pStyle w:val="NormalWeb"/>
              <w:spacing w:before="0" w:beforeAutospacing="0" w:after="0" w:afterAutospacing="0"/>
              <w:ind w:right="34"/>
              <w:rPr>
                <w:rFonts w:ascii="Arial" w:hAnsi="Arial" w:cs="Arial"/>
                <w:sz w:val="22"/>
                <w:szCs w:val="22"/>
              </w:rPr>
            </w:pPr>
          </w:p>
          <w:p w14:paraId="5EF1FC23"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13/11/23 – Differentiated Deadline- 27/11/23</w:t>
            </w:r>
          </w:p>
        </w:tc>
      </w:tr>
      <w:tr w:rsidR="00AC444E" w:rsidRPr="00230F35" w14:paraId="2C5B47D1" w14:textId="77777777" w:rsidTr="00272653">
        <w:trPr>
          <w:trHeight w:val="978"/>
        </w:trPr>
        <w:tc>
          <w:tcPr>
            <w:tcW w:w="8856" w:type="dxa"/>
            <w:gridSpan w:val="5"/>
            <w:tcBorders>
              <w:bottom w:val="single" w:sz="4" w:space="0" w:color="000000"/>
            </w:tcBorders>
          </w:tcPr>
          <w:p w14:paraId="5763D7D1" w14:textId="77777777" w:rsidR="00AC444E" w:rsidRPr="00230F35" w:rsidRDefault="00AC444E" w:rsidP="00272653">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7B4187">
              <w:rPr>
                <w:rFonts w:ascii="Arial" w:hAnsi="Arial" w:cs="Arial"/>
              </w:rPr>
            </w:r>
            <w:r w:rsidR="007B4187">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7B4187">
              <w:rPr>
                <w:rFonts w:ascii="Arial" w:hAnsi="Arial" w:cs="Arial"/>
              </w:rPr>
            </w:r>
            <w:r w:rsidR="007B4187">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043FF">
              <w:rPr>
                <w:rFonts w:ascii="Arial" w:hAnsi="Arial" w:cs="Arial"/>
                <w:highlight w:val="yellow"/>
              </w:rPr>
              <w:fldChar w:fldCharType="begin">
                <w:ffData>
                  <w:name w:val="Check15"/>
                  <w:enabled/>
                  <w:calcOnExit w:val="0"/>
                  <w:checkBox>
                    <w:sizeAuto/>
                    <w:default w:val="0"/>
                  </w:checkBox>
                </w:ffData>
              </w:fldChar>
            </w:r>
            <w:bookmarkStart w:id="2" w:name="Check15"/>
            <w:r w:rsidRPr="002043FF">
              <w:rPr>
                <w:rFonts w:ascii="Arial" w:hAnsi="Arial" w:cs="Arial"/>
                <w:highlight w:val="yellow"/>
              </w:rPr>
              <w:instrText xml:space="preserve"> FORMCHECKBOX </w:instrText>
            </w:r>
            <w:r w:rsidR="007B4187">
              <w:rPr>
                <w:rFonts w:ascii="Arial" w:hAnsi="Arial" w:cs="Arial"/>
                <w:highlight w:val="yellow"/>
              </w:rPr>
            </w:r>
            <w:r w:rsidR="007B4187">
              <w:rPr>
                <w:rFonts w:ascii="Arial" w:hAnsi="Arial" w:cs="Arial"/>
                <w:highlight w:val="yellow"/>
              </w:rPr>
              <w:fldChar w:fldCharType="separate"/>
            </w:r>
            <w:r w:rsidRPr="002043FF">
              <w:rPr>
                <w:rFonts w:ascii="Arial" w:hAnsi="Arial" w:cs="Arial"/>
                <w:highlight w:val="yellow"/>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7B4187">
              <w:rPr>
                <w:rFonts w:ascii="Arial" w:hAnsi="Arial" w:cs="Arial"/>
              </w:rPr>
            </w:r>
            <w:r w:rsidR="007B4187">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7B4187">
              <w:rPr>
                <w:rFonts w:ascii="Arial" w:hAnsi="Arial" w:cs="Arial"/>
              </w:rPr>
            </w:r>
            <w:r w:rsidR="007B4187">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7B4187">
              <w:rPr>
                <w:rFonts w:ascii="Arial" w:hAnsi="Arial" w:cs="Arial"/>
              </w:rPr>
            </w:r>
            <w:r w:rsidR="007B4187">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C444E" w:rsidRPr="00230F35" w14:paraId="48A41126" w14:textId="77777777" w:rsidTr="00272653">
        <w:trPr>
          <w:trHeight w:val="978"/>
        </w:trPr>
        <w:tc>
          <w:tcPr>
            <w:tcW w:w="8856" w:type="dxa"/>
            <w:gridSpan w:val="5"/>
            <w:shd w:val="clear" w:color="auto" w:fill="D9D9D9"/>
          </w:tcPr>
          <w:p w14:paraId="44DEDD10" w14:textId="77777777" w:rsidR="00AC444E" w:rsidRPr="00230F35"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4D39B3C" w14:textId="77777777" w:rsidR="00AC444E" w:rsidRDefault="00AC444E" w:rsidP="0027265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EFNixon</w:t>
            </w:r>
            <w:proofErr w:type="spellEnd"/>
            <w:r w:rsidRPr="00230F35">
              <w:rPr>
                <w:rFonts w:ascii="Arial" w:hAnsi="Arial" w:cs="Arial"/>
                <w:sz w:val="22"/>
                <w:szCs w:val="22"/>
              </w:rPr>
              <w:t>………………………………………………</w:t>
            </w:r>
          </w:p>
          <w:p w14:paraId="34F72045" w14:textId="77777777" w:rsidR="00AC444E" w:rsidRDefault="00AC444E" w:rsidP="0027265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079DB7E2" w14:textId="77777777" w:rsidR="00AC444E" w:rsidRPr="00230F35" w:rsidRDefault="00AC444E" w:rsidP="0027265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C444E" w:rsidRPr="00230F35" w14:paraId="55C4F47D" w14:textId="77777777" w:rsidTr="00272653">
        <w:trPr>
          <w:trHeight w:val="3972"/>
        </w:trPr>
        <w:tc>
          <w:tcPr>
            <w:tcW w:w="8856" w:type="dxa"/>
            <w:gridSpan w:val="5"/>
          </w:tcPr>
          <w:p w14:paraId="5932B38C" w14:textId="77777777" w:rsidR="00AC444E" w:rsidRDefault="00AC444E" w:rsidP="00272653">
            <w:pPr>
              <w:rPr>
                <w:rFonts w:ascii="Arial" w:hAnsi="Arial"/>
                <w:b/>
              </w:rPr>
            </w:pPr>
          </w:p>
          <w:p w14:paraId="091EEC69" w14:textId="77777777" w:rsidR="00AC444E" w:rsidRPr="00116CE6" w:rsidRDefault="00AC444E" w:rsidP="0027265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C444E" w:rsidRPr="00116CE6" w14:paraId="5AE6631F" w14:textId="77777777" w:rsidTr="00272653">
              <w:tc>
                <w:tcPr>
                  <w:tcW w:w="6970" w:type="dxa"/>
                </w:tcPr>
                <w:p w14:paraId="026036DD" w14:textId="77777777" w:rsidR="00AC444E" w:rsidRPr="00116CE6" w:rsidRDefault="00AC444E" w:rsidP="00272653">
                  <w:pPr>
                    <w:rPr>
                      <w:rFonts w:ascii="Arial" w:hAnsi="Arial"/>
                      <w:sz w:val="20"/>
                      <w:szCs w:val="20"/>
                    </w:rPr>
                  </w:pPr>
                </w:p>
                <w:p w14:paraId="40257109" w14:textId="77777777" w:rsidR="00AC444E" w:rsidRPr="00116CE6" w:rsidRDefault="00AC444E" w:rsidP="0027265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76E3B50" w14:textId="77777777" w:rsidR="00AC444E" w:rsidRPr="00116CE6" w:rsidRDefault="00AC444E" w:rsidP="00272653">
                  <w:pPr>
                    <w:rPr>
                      <w:rFonts w:ascii="Arial" w:hAnsi="Arial"/>
                      <w:sz w:val="20"/>
                      <w:szCs w:val="20"/>
                    </w:rPr>
                  </w:pPr>
                </w:p>
              </w:tc>
            </w:tr>
            <w:tr w:rsidR="00AC444E" w:rsidRPr="00EF04F7" w14:paraId="7127BB65" w14:textId="77777777" w:rsidTr="00272653">
              <w:tc>
                <w:tcPr>
                  <w:tcW w:w="6970" w:type="dxa"/>
                </w:tcPr>
                <w:p w14:paraId="53758E3A" w14:textId="77777777" w:rsidR="00AC444E" w:rsidRPr="00EF04F7" w:rsidRDefault="00AC444E" w:rsidP="00272653">
                  <w:pPr>
                    <w:rPr>
                      <w:rFonts w:ascii="Arial" w:hAnsi="Arial"/>
                      <w:sz w:val="20"/>
                      <w:szCs w:val="20"/>
                      <w:lang w:val="de-DE"/>
                    </w:rPr>
                  </w:pPr>
                </w:p>
                <w:p w14:paraId="5FDE2B79" w14:textId="77777777" w:rsidR="00AC444E" w:rsidRPr="00EF04F7" w:rsidRDefault="00AC444E" w:rsidP="00272653">
                  <w:pPr>
                    <w:rPr>
                      <w:rFonts w:ascii="Arial" w:hAnsi="Arial"/>
                      <w:sz w:val="20"/>
                      <w:szCs w:val="20"/>
                      <w:lang w:val="de-DE"/>
                    </w:rPr>
                  </w:pPr>
                  <w:r w:rsidRPr="00EF04F7">
                    <w:rPr>
                      <w:rFonts w:ascii="Arial" w:hAnsi="Arial"/>
                      <w:sz w:val="20"/>
                      <w:szCs w:val="20"/>
                      <w:lang w:val="de-DE"/>
                    </w:rPr>
                    <w:t>2</w:t>
                  </w:r>
                  <w:r w:rsidRPr="00EF04F7">
                    <w:rPr>
                      <w:rFonts w:ascii="Arial" w:hAnsi="Arial"/>
                      <w:sz w:val="20"/>
                      <w:szCs w:val="20"/>
                      <w:vertAlign w:val="superscript"/>
                      <w:lang w:val="de-DE"/>
                    </w:rPr>
                    <w:t>nd</w:t>
                  </w:r>
                  <w:r w:rsidRPr="00EF04F7">
                    <w:rPr>
                      <w:rFonts w:ascii="Arial" w:hAnsi="Arial"/>
                      <w:sz w:val="20"/>
                      <w:szCs w:val="20"/>
                      <w:lang w:val="de-DE"/>
                    </w:rPr>
                    <w:t xml:space="preserve"> Marker’s/Moderator’s provisional mark</w:t>
                  </w:r>
                </w:p>
              </w:tc>
              <w:tc>
                <w:tcPr>
                  <w:tcW w:w="1660" w:type="dxa"/>
                </w:tcPr>
                <w:p w14:paraId="6936AA14" w14:textId="77777777" w:rsidR="00AC444E" w:rsidRPr="00EF04F7" w:rsidRDefault="00AC444E" w:rsidP="00272653">
                  <w:pPr>
                    <w:rPr>
                      <w:rFonts w:ascii="Arial" w:hAnsi="Arial"/>
                      <w:sz w:val="20"/>
                      <w:szCs w:val="20"/>
                      <w:lang w:val="de-DE"/>
                    </w:rPr>
                  </w:pPr>
                </w:p>
              </w:tc>
            </w:tr>
            <w:tr w:rsidR="00AC444E" w:rsidRPr="00116CE6" w14:paraId="0102CEAC" w14:textId="77777777" w:rsidTr="00272653">
              <w:tc>
                <w:tcPr>
                  <w:tcW w:w="6970" w:type="dxa"/>
                </w:tcPr>
                <w:p w14:paraId="1C4D14BE" w14:textId="77777777" w:rsidR="00AC444E" w:rsidRPr="00EF04F7" w:rsidRDefault="00AC444E" w:rsidP="00272653">
                  <w:pPr>
                    <w:rPr>
                      <w:rFonts w:ascii="Arial" w:hAnsi="Arial"/>
                      <w:sz w:val="20"/>
                      <w:szCs w:val="20"/>
                      <w:lang w:val="de-DE"/>
                    </w:rPr>
                  </w:pPr>
                </w:p>
                <w:p w14:paraId="54218B06" w14:textId="77777777" w:rsidR="00AC444E" w:rsidRPr="00116CE6" w:rsidRDefault="00AC444E" w:rsidP="0027265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5DF4264" w14:textId="77777777" w:rsidR="00AC444E" w:rsidRPr="00116CE6" w:rsidRDefault="00AC444E" w:rsidP="00272653">
                  <w:pPr>
                    <w:rPr>
                      <w:rFonts w:ascii="Arial" w:hAnsi="Arial"/>
                      <w:sz w:val="20"/>
                      <w:szCs w:val="20"/>
                    </w:rPr>
                  </w:pPr>
                </w:p>
              </w:tc>
            </w:tr>
            <w:tr w:rsidR="00AC444E" w:rsidRPr="00116CE6" w14:paraId="06284FF6" w14:textId="77777777" w:rsidTr="00272653">
              <w:tc>
                <w:tcPr>
                  <w:tcW w:w="6970" w:type="dxa"/>
                </w:tcPr>
                <w:p w14:paraId="63BF55E1" w14:textId="77777777" w:rsidR="00AC444E" w:rsidRDefault="00AC444E" w:rsidP="00272653">
                  <w:pPr>
                    <w:rPr>
                      <w:rFonts w:ascii="Arial" w:hAnsi="Arial"/>
                      <w:sz w:val="20"/>
                      <w:szCs w:val="20"/>
                    </w:rPr>
                  </w:pPr>
                </w:p>
                <w:p w14:paraId="3E4E77D3" w14:textId="77777777" w:rsidR="00AC444E" w:rsidRPr="00022345" w:rsidRDefault="00AC444E" w:rsidP="00272653">
                  <w:pPr>
                    <w:rPr>
                      <w:rFonts w:ascii="Arial" w:hAnsi="Arial"/>
                      <w:b/>
                      <w:sz w:val="20"/>
                      <w:szCs w:val="20"/>
                    </w:rPr>
                  </w:pPr>
                  <w:r w:rsidRPr="00022345">
                    <w:rPr>
                      <w:rFonts w:ascii="Arial" w:hAnsi="Arial"/>
                      <w:b/>
                      <w:sz w:val="20"/>
                      <w:szCs w:val="20"/>
                    </w:rPr>
                    <w:t>Final Mark</w:t>
                  </w:r>
                </w:p>
                <w:p w14:paraId="6357ABD9" w14:textId="77777777" w:rsidR="00AC444E" w:rsidRPr="00116CE6" w:rsidRDefault="00AC444E" w:rsidP="00272653">
                  <w:pPr>
                    <w:rPr>
                      <w:rFonts w:ascii="Arial" w:hAnsi="Arial"/>
                      <w:sz w:val="20"/>
                      <w:szCs w:val="20"/>
                    </w:rPr>
                  </w:pPr>
                </w:p>
              </w:tc>
              <w:tc>
                <w:tcPr>
                  <w:tcW w:w="1660" w:type="dxa"/>
                </w:tcPr>
                <w:p w14:paraId="356887A3" w14:textId="77777777" w:rsidR="00AC444E" w:rsidRPr="00116CE6" w:rsidRDefault="00AC444E" w:rsidP="00272653">
                  <w:pPr>
                    <w:rPr>
                      <w:rFonts w:ascii="Arial" w:hAnsi="Arial"/>
                      <w:sz w:val="20"/>
                      <w:szCs w:val="20"/>
                    </w:rPr>
                  </w:pPr>
                </w:p>
              </w:tc>
            </w:tr>
          </w:tbl>
          <w:p w14:paraId="53903861" w14:textId="77777777" w:rsidR="00AC444E" w:rsidRDefault="00AC444E" w:rsidP="00272653">
            <w:pPr>
              <w:pStyle w:val="NormalWeb"/>
              <w:spacing w:before="0" w:beforeAutospacing="0" w:after="0" w:afterAutospacing="0"/>
              <w:ind w:left="142" w:right="34"/>
              <w:rPr>
                <w:rFonts w:ascii="Arial" w:hAnsi="Arial" w:cs="Arial"/>
                <w:b/>
                <w:sz w:val="22"/>
                <w:szCs w:val="22"/>
              </w:rPr>
            </w:pPr>
          </w:p>
          <w:p w14:paraId="5ECFBAED" w14:textId="77777777" w:rsidR="00AC444E" w:rsidRPr="00230F35" w:rsidRDefault="00AC444E" w:rsidP="0027265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2430032" w14:textId="77777777" w:rsidR="00AC444E" w:rsidRDefault="00AC444E" w:rsidP="00272653">
            <w:pPr>
              <w:pStyle w:val="NormalWeb"/>
              <w:spacing w:before="0" w:beforeAutospacing="0" w:after="0" w:afterAutospacing="0"/>
              <w:rPr>
                <w:rFonts w:ascii="Arial" w:hAnsi="Arial" w:cs="Arial"/>
                <w:b/>
                <w:sz w:val="22"/>
                <w:szCs w:val="22"/>
              </w:rPr>
            </w:pPr>
          </w:p>
          <w:p w14:paraId="3F6B5FCC" w14:textId="77777777" w:rsidR="00AC444E" w:rsidRDefault="00AC444E" w:rsidP="00272653">
            <w:pPr>
              <w:pStyle w:val="NormalWeb"/>
              <w:spacing w:before="0" w:beforeAutospacing="0" w:after="0" w:afterAutospacing="0"/>
              <w:rPr>
                <w:rFonts w:ascii="Arial" w:hAnsi="Arial" w:cs="Arial"/>
                <w:b/>
                <w:sz w:val="22"/>
                <w:szCs w:val="22"/>
              </w:rPr>
            </w:pPr>
          </w:p>
          <w:p w14:paraId="1546E297" w14:textId="77777777" w:rsidR="00AC444E" w:rsidRDefault="00AC444E" w:rsidP="00272653">
            <w:pPr>
              <w:pStyle w:val="NormalWeb"/>
              <w:spacing w:before="0" w:beforeAutospacing="0" w:after="0" w:afterAutospacing="0"/>
              <w:rPr>
                <w:rFonts w:ascii="Arial" w:hAnsi="Arial" w:cs="Arial"/>
                <w:b/>
                <w:sz w:val="22"/>
                <w:szCs w:val="22"/>
              </w:rPr>
            </w:pPr>
          </w:p>
          <w:p w14:paraId="5B6F6749" w14:textId="77777777" w:rsidR="00AC444E" w:rsidRDefault="00AC444E" w:rsidP="00272653">
            <w:pPr>
              <w:pStyle w:val="NormalWeb"/>
              <w:spacing w:before="0" w:beforeAutospacing="0" w:after="0" w:afterAutospacing="0"/>
              <w:rPr>
                <w:rFonts w:ascii="Arial" w:hAnsi="Arial" w:cs="Arial"/>
                <w:b/>
                <w:sz w:val="22"/>
                <w:szCs w:val="22"/>
              </w:rPr>
            </w:pPr>
          </w:p>
          <w:p w14:paraId="5BDA50B5" w14:textId="77777777" w:rsidR="00AC444E" w:rsidRDefault="00AC444E" w:rsidP="00272653">
            <w:pPr>
              <w:pStyle w:val="NormalWeb"/>
              <w:spacing w:before="0" w:beforeAutospacing="0" w:after="0" w:afterAutospacing="0"/>
              <w:rPr>
                <w:rFonts w:ascii="Arial" w:hAnsi="Arial" w:cs="Arial"/>
                <w:b/>
                <w:sz w:val="22"/>
                <w:szCs w:val="22"/>
              </w:rPr>
            </w:pPr>
          </w:p>
          <w:p w14:paraId="61570CE3" w14:textId="77777777" w:rsidR="00AC444E" w:rsidRPr="00230F35" w:rsidRDefault="00AC444E" w:rsidP="0027265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3965833" w14:textId="77777777" w:rsidR="00AC444E" w:rsidRDefault="00AC444E" w:rsidP="0027265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9C28069" w14:textId="77777777" w:rsidR="00AC444E" w:rsidRPr="00001C3B" w:rsidRDefault="00AC444E" w:rsidP="00272653">
            <w:pPr>
              <w:pStyle w:val="NormalWeb"/>
              <w:rPr>
                <w:rFonts w:ascii="Arial" w:hAnsi="Arial" w:cs="Arial"/>
                <w:sz w:val="22"/>
                <w:szCs w:val="22"/>
              </w:rPr>
            </w:pPr>
          </w:p>
        </w:tc>
      </w:tr>
      <w:tr w:rsidR="00AC444E" w:rsidRPr="00230F35" w14:paraId="28A77F09" w14:textId="77777777" w:rsidTr="00272653">
        <w:trPr>
          <w:trHeight w:val="492"/>
        </w:trPr>
        <w:tc>
          <w:tcPr>
            <w:tcW w:w="6768" w:type="dxa"/>
            <w:gridSpan w:val="3"/>
          </w:tcPr>
          <w:p w14:paraId="7FE45006" w14:textId="77777777" w:rsidR="00AC444E" w:rsidRPr="00230F35" w:rsidRDefault="00AC444E" w:rsidP="0027265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4DEF69B" w14:textId="77777777" w:rsidR="00AC444E" w:rsidRPr="00230F35" w:rsidRDefault="00AC444E" w:rsidP="00272653">
            <w:pPr>
              <w:pStyle w:val="NormalWeb"/>
              <w:spacing w:after="0"/>
              <w:ind w:left="142" w:right="34"/>
              <w:rPr>
                <w:rFonts w:ascii="Arial" w:hAnsi="Arial" w:cs="Arial"/>
                <w:sz w:val="22"/>
                <w:szCs w:val="22"/>
              </w:rPr>
            </w:pPr>
            <w:r w:rsidRPr="00230F35">
              <w:rPr>
                <w:rFonts w:ascii="Arial" w:hAnsi="Arial" w:cs="Arial"/>
                <w:sz w:val="22"/>
                <w:szCs w:val="22"/>
              </w:rPr>
              <w:t>Date:</w:t>
            </w:r>
          </w:p>
        </w:tc>
      </w:tr>
      <w:tr w:rsidR="00AC444E" w:rsidRPr="002F467C" w14:paraId="5EAE47CE" w14:textId="77777777" w:rsidTr="00272653">
        <w:tc>
          <w:tcPr>
            <w:tcW w:w="8856" w:type="dxa"/>
            <w:gridSpan w:val="5"/>
          </w:tcPr>
          <w:p w14:paraId="3CC1574F" w14:textId="77777777" w:rsidR="00AC444E" w:rsidRPr="00230F35" w:rsidRDefault="00AC444E" w:rsidP="00272653">
            <w:pPr>
              <w:pStyle w:val="NormalWeb"/>
              <w:spacing w:before="0" w:beforeAutospacing="0" w:after="0" w:afterAutospacing="0"/>
              <w:ind w:right="-334"/>
              <w:rPr>
                <w:rFonts w:ascii="Arial" w:hAnsi="Arial" w:cs="Arial"/>
                <w:bCs/>
                <w:i/>
                <w:sz w:val="22"/>
                <w:szCs w:val="22"/>
              </w:rPr>
            </w:pPr>
          </w:p>
          <w:p w14:paraId="603F3FC6" w14:textId="77777777" w:rsidR="00AC444E" w:rsidRPr="00230F35" w:rsidRDefault="00AC444E" w:rsidP="0027265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57E731B" w14:textId="77777777" w:rsidR="00AC444E" w:rsidRPr="00230F35" w:rsidRDefault="00AC444E" w:rsidP="00272653">
            <w:pPr>
              <w:pStyle w:val="NormalWeb"/>
              <w:spacing w:before="0" w:beforeAutospacing="0" w:after="0" w:afterAutospacing="0"/>
              <w:ind w:right="-334"/>
              <w:rPr>
                <w:rFonts w:ascii="Arial" w:hAnsi="Arial" w:cs="Arial"/>
                <w:b/>
                <w:bCs/>
                <w:sz w:val="22"/>
                <w:szCs w:val="22"/>
              </w:rPr>
            </w:pPr>
          </w:p>
          <w:p w14:paraId="0F12CD65"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F5E5576"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41016B6E"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6E833373"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3A59B079"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1DD3E8CD"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6596C7F4"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6481C06B"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60BFAE79"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34953D7C" w14:textId="77777777" w:rsidR="00AC444E" w:rsidRDefault="00AC444E" w:rsidP="00272653">
            <w:pPr>
              <w:pStyle w:val="NormalWeb"/>
              <w:spacing w:before="0" w:beforeAutospacing="0" w:after="0" w:afterAutospacing="0"/>
              <w:ind w:right="-334"/>
              <w:rPr>
                <w:rFonts w:ascii="Arial" w:hAnsi="Arial" w:cs="Arial"/>
                <w:bCs/>
                <w:sz w:val="22"/>
                <w:szCs w:val="22"/>
              </w:rPr>
            </w:pPr>
          </w:p>
          <w:p w14:paraId="5C649C9B"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1AD8C8FE"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09A37438"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tc>
      </w:tr>
      <w:tr w:rsidR="00AC444E" w:rsidRPr="002F467C" w14:paraId="04189726" w14:textId="77777777" w:rsidTr="00272653">
        <w:trPr>
          <w:trHeight w:val="720"/>
        </w:trPr>
        <w:tc>
          <w:tcPr>
            <w:tcW w:w="5211" w:type="dxa"/>
            <w:gridSpan w:val="2"/>
          </w:tcPr>
          <w:p w14:paraId="5F05A444"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67BBD42"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C444E" w:rsidRPr="002F467C" w14:paraId="5EBA58BC" w14:textId="77777777" w:rsidTr="00272653">
        <w:trPr>
          <w:trHeight w:val="720"/>
        </w:trPr>
        <w:tc>
          <w:tcPr>
            <w:tcW w:w="8856" w:type="dxa"/>
            <w:gridSpan w:val="5"/>
          </w:tcPr>
          <w:p w14:paraId="3E6B3E2F" w14:textId="77777777" w:rsidR="00AC444E" w:rsidRPr="00B34964" w:rsidRDefault="00AC444E" w:rsidP="00272653">
            <w:pPr>
              <w:rPr>
                <w:rFonts w:ascii="Arial" w:hAnsi="Arial" w:cs="Arial"/>
                <w:b/>
              </w:rPr>
            </w:pPr>
            <w:r w:rsidRPr="00B34964">
              <w:rPr>
                <w:rFonts w:ascii="Arial" w:hAnsi="Arial" w:cs="Arial"/>
                <w:b/>
              </w:rPr>
              <w:t>External Examiner’s comments (if relevant)</w:t>
            </w:r>
          </w:p>
          <w:p w14:paraId="333D5F73"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54839877"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577CF754"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70293325"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779C0647"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37A9CB1A"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07E18149"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71298304"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609424D1" w14:textId="77777777" w:rsidR="00AC444E" w:rsidRDefault="00AC444E" w:rsidP="00272653">
            <w:pPr>
              <w:pStyle w:val="NormalWeb"/>
              <w:spacing w:before="0" w:beforeAutospacing="0" w:after="0" w:afterAutospacing="0"/>
              <w:ind w:right="-334"/>
              <w:rPr>
                <w:rFonts w:ascii="Arial" w:hAnsi="Arial" w:cs="Arial"/>
                <w:bCs/>
                <w:sz w:val="22"/>
                <w:szCs w:val="22"/>
              </w:rPr>
            </w:pPr>
          </w:p>
          <w:p w14:paraId="2E554337"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p w14:paraId="18004DEE" w14:textId="77777777" w:rsidR="00AC444E" w:rsidRPr="00230F35" w:rsidRDefault="00AC444E" w:rsidP="00272653">
            <w:pPr>
              <w:pStyle w:val="NormalWeb"/>
              <w:spacing w:before="0" w:beforeAutospacing="0" w:after="0" w:afterAutospacing="0"/>
              <w:ind w:right="-334"/>
              <w:rPr>
                <w:rFonts w:ascii="Arial" w:hAnsi="Arial" w:cs="Arial"/>
                <w:bCs/>
                <w:sz w:val="22"/>
                <w:szCs w:val="22"/>
              </w:rPr>
            </w:pPr>
          </w:p>
        </w:tc>
      </w:tr>
      <w:tr w:rsidR="00AC444E" w:rsidRPr="002F467C" w14:paraId="7AB3F327" w14:textId="77777777" w:rsidTr="00272653">
        <w:trPr>
          <w:trHeight w:val="720"/>
        </w:trPr>
        <w:tc>
          <w:tcPr>
            <w:tcW w:w="5211" w:type="dxa"/>
            <w:gridSpan w:val="2"/>
          </w:tcPr>
          <w:p w14:paraId="2DEB03C2" w14:textId="77777777" w:rsidR="00AC444E" w:rsidRPr="00230F35" w:rsidRDefault="00AC444E" w:rsidP="00272653">
            <w:pPr>
              <w:rPr>
                <w:rFonts w:ascii="Arial" w:hAnsi="Arial" w:cs="Arial"/>
              </w:rPr>
            </w:pPr>
            <w:r w:rsidRPr="00230F35">
              <w:rPr>
                <w:rFonts w:ascii="Arial" w:hAnsi="Arial" w:cs="Arial"/>
              </w:rPr>
              <w:lastRenderedPageBreak/>
              <w:t>External Examiner’s Signature:</w:t>
            </w:r>
          </w:p>
        </w:tc>
        <w:tc>
          <w:tcPr>
            <w:tcW w:w="3645" w:type="dxa"/>
            <w:gridSpan w:val="3"/>
          </w:tcPr>
          <w:p w14:paraId="2BFBECB0" w14:textId="77777777" w:rsidR="00AC444E" w:rsidRPr="00230F35" w:rsidRDefault="00AC444E" w:rsidP="00272653">
            <w:pPr>
              <w:rPr>
                <w:rFonts w:ascii="Arial" w:hAnsi="Arial" w:cs="Arial"/>
              </w:rPr>
            </w:pPr>
            <w:r w:rsidRPr="00230F35">
              <w:rPr>
                <w:rFonts w:ascii="Arial" w:hAnsi="Arial" w:cs="Arial"/>
              </w:rPr>
              <w:t>Date:</w:t>
            </w:r>
          </w:p>
        </w:tc>
      </w:tr>
    </w:tbl>
    <w:p w14:paraId="6484097D" w14:textId="77777777" w:rsidR="00AC444E" w:rsidRPr="00D67BF8" w:rsidRDefault="00AC444E" w:rsidP="00AC444E">
      <w:pPr>
        <w:pStyle w:val="NormalWeb"/>
        <w:spacing w:before="0" w:beforeAutospacing="0" w:after="0" w:afterAutospacing="0"/>
        <w:ind w:right="-334"/>
        <w:rPr>
          <w:rFonts w:ascii="Trebuchet MS" w:hAnsi="Trebuchet MS" w:cs="Tahoma"/>
          <w:bCs/>
          <w:sz w:val="24"/>
          <w:szCs w:val="24"/>
        </w:rPr>
      </w:pPr>
    </w:p>
    <w:p w14:paraId="78F3FC8C" w14:textId="77777777" w:rsidR="009431D3" w:rsidRDefault="009431D3" w:rsidP="00DD542E">
      <w:pPr>
        <w:jc w:val="both"/>
        <w:rPr>
          <w:u w:val="single"/>
        </w:rPr>
      </w:pPr>
    </w:p>
    <w:p w14:paraId="1DDBE76C" w14:textId="77777777" w:rsidR="009431D3" w:rsidRDefault="009431D3" w:rsidP="00DD542E">
      <w:pPr>
        <w:jc w:val="both"/>
        <w:rPr>
          <w:u w:val="single"/>
        </w:rPr>
      </w:pPr>
    </w:p>
    <w:p w14:paraId="64459B31" w14:textId="77777777" w:rsidR="009431D3" w:rsidRDefault="009431D3" w:rsidP="00DD542E">
      <w:pPr>
        <w:jc w:val="both"/>
        <w:rPr>
          <w:u w:val="single"/>
        </w:rPr>
      </w:pPr>
    </w:p>
    <w:p w14:paraId="341EC205" w14:textId="77777777" w:rsidR="009431D3" w:rsidRDefault="009431D3" w:rsidP="00DD542E">
      <w:pPr>
        <w:jc w:val="both"/>
        <w:rPr>
          <w:u w:val="single"/>
        </w:rPr>
      </w:pPr>
    </w:p>
    <w:p w14:paraId="4F2AB3DF" w14:textId="77777777" w:rsidR="009431D3" w:rsidRDefault="009431D3" w:rsidP="00DD542E">
      <w:pPr>
        <w:jc w:val="both"/>
        <w:rPr>
          <w:u w:val="single"/>
        </w:rPr>
      </w:pPr>
    </w:p>
    <w:p w14:paraId="16B3057F" w14:textId="77777777" w:rsidR="009431D3" w:rsidRDefault="009431D3" w:rsidP="00DD542E">
      <w:pPr>
        <w:jc w:val="both"/>
        <w:rPr>
          <w:u w:val="single"/>
        </w:rPr>
      </w:pPr>
    </w:p>
    <w:p w14:paraId="660039EF" w14:textId="77777777" w:rsidR="009431D3" w:rsidRDefault="009431D3" w:rsidP="00DD542E">
      <w:pPr>
        <w:jc w:val="both"/>
        <w:rPr>
          <w:u w:val="single"/>
        </w:rPr>
      </w:pPr>
    </w:p>
    <w:p w14:paraId="00A75C84" w14:textId="77777777" w:rsidR="009431D3" w:rsidRDefault="009431D3" w:rsidP="00DD542E">
      <w:pPr>
        <w:jc w:val="both"/>
        <w:rPr>
          <w:u w:val="single"/>
        </w:rPr>
      </w:pPr>
    </w:p>
    <w:p w14:paraId="7BC1D830" w14:textId="77777777" w:rsidR="009431D3" w:rsidRDefault="009431D3" w:rsidP="00DD542E">
      <w:pPr>
        <w:jc w:val="both"/>
        <w:rPr>
          <w:u w:val="single"/>
        </w:rPr>
      </w:pPr>
    </w:p>
    <w:p w14:paraId="5D8A7B88" w14:textId="77777777" w:rsidR="009431D3" w:rsidRDefault="009431D3" w:rsidP="00DD542E">
      <w:pPr>
        <w:jc w:val="both"/>
        <w:rPr>
          <w:u w:val="single"/>
        </w:rPr>
      </w:pPr>
    </w:p>
    <w:p w14:paraId="5D22EEA1" w14:textId="77777777" w:rsidR="009431D3" w:rsidRDefault="009431D3" w:rsidP="00DD542E">
      <w:pPr>
        <w:jc w:val="both"/>
        <w:rPr>
          <w:u w:val="single"/>
        </w:rPr>
      </w:pPr>
    </w:p>
    <w:p w14:paraId="71E3AB62" w14:textId="77777777" w:rsidR="009431D3" w:rsidRDefault="009431D3" w:rsidP="00DD542E">
      <w:pPr>
        <w:jc w:val="both"/>
        <w:rPr>
          <w:u w:val="single"/>
        </w:rPr>
      </w:pPr>
    </w:p>
    <w:p w14:paraId="227D1151" w14:textId="77777777" w:rsidR="009431D3" w:rsidRDefault="009431D3" w:rsidP="00DD542E">
      <w:pPr>
        <w:jc w:val="both"/>
        <w:rPr>
          <w:u w:val="single"/>
        </w:rPr>
      </w:pPr>
    </w:p>
    <w:p w14:paraId="3EDA8282" w14:textId="77777777" w:rsidR="009431D3" w:rsidRDefault="009431D3" w:rsidP="00DD542E">
      <w:pPr>
        <w:jc w:val="both"/>
        <w:rPr>
          <w:u w:val="single"/>
        </w:rPr>
      </w:pPr>
    </w:p>
    <w:p w14:paraId="6C102FAE" w14:textId="77777777" w:rsidR="009431D3" w:rsidRDefault="009431D3" w:rsidP="00DD542E">
      <w:pPr>
        <w:jc w:val="both"/>
        <w:rPr>
          <w:u w:val="single"/>
        </w:rPr>
      </w:pPr>
    </w:p>
    <w:p w14:paraId="21A820E9" w14:textId="77777777" w:rsidR="009431D3" w:rsidRDefault="009431D3" w:rsidP="00DD542E">
      <w:pPr>
        <w:jc w:val="both"/>
        <w:rPr>
          <w:u w:val="single"/>
        </w:rPr>
      </w:pPr>
    </w:p>
    <w:p w14:paraId="7A6D11AE" w14:textId="77777777" w:rsidR="009431D3" w:rsidRDefault="009431D3" w:rsidP="00DD542E">
      <w:pPr>
        <w:jc w:val="both"/>
        <w:rPr>
          <w:u w:val="single"/>
        </w:rPr>
      </w:pPr>
    </w:p>
    <w:p w14:paraId="1741EBD9" w14:textId="77777777" w:rsidR="009431D3" w:rsidRDefault="009431D3" w:rsidP="00DD542E">
      <w:pPr>
        <w:jc w:val="both"/>
        <w:rPr>
          <w:u w:val="single"/>
        </w:rPr>
      </w:pPr>
    </w:p>
    <w:p w14:paraId="76CDF890" w14:textId="77777777" w:rsidR="009431D3" w:rsidRDefault="009431D3" w:rsidP="00DD542E">
      <w:pPr>
        <w:jc w:val="both"/>
        <w:rPr>
          <w:u w:val="single"/>
        </w:rPr>
      </w:pPr>
    </w:p>
    <w:p w14:paraId="75339B42" w14:textId="77777777" w:rsidR="009431D3" w:rsidRDefault="009431D3" w:rsidP="00DD542E">
      <w:pPr>
        <w:jc w:val="both"/>
        <w:rPr>
          <w:u w:val="single"/>
        </w:rPr>
      </w:pPr>
    </w:p>
    <w:p w14:paraId="17DD8F53" w14:textId="77777777" w:rsidR="009431D3" w:rsidRDefault="009431D3" w:rsidP="00DD542E">
      <w:pPr>
        <w:jc w:val="both"/>
        <w:rPr>
          <w:u w:val="single"/>
        </w:rPr>
      </w:pPr>
    </w:p>
    <w:p w14:paraId="33146137" w14:textId="77777777" w:rsidR="009431D3" w:rsidRDefault="009431D3" w:rsidP="00DD542E">
      <w:pPr>
        <w:jc w:val="both"/>
        <w:rPr>
          <w:u w:val="single"/>
        </w:rPr>
      </w:pPr>
    </w:p>
    <w:p w14:paraId="18D42E5A" w14:textId="77777777" w:rsidR="009431D3" w:rsidRDefault="009431D3" w:rsidP="00DD542E">
      <w:pPr>
        <w:jc w:val="both"/>
        <w:rPr>
          <w:u w:val="single"/>
        </w:rPr>
      </w:pPr>
    </w:p>
    <w:p w14:paraId="38B95621" w14:textId="26AE69B9" w:rsidR="004F0F2E" w:rsidRDefault="004F0F2E" w:rsidP="00DD542E">
      <w:pPr>
        <w:jc w:val="both"/>
        <w:rPr>
          <w:u w:val="single"/>
        </w:rPr>
      </w:pPr>
    </w:p>
    <w:p w14:paraId="1B879563" w14:textId="13182712" w:rsidR="005914B8" w:rsidRDefault="005914B8" w:rsidP="005914B8">
      <w:pPr>
        <w:pStyle w:val="Heading1"/>
        <w:jc w:val="center"/>
      </w:pPr>
      <w:r>
        <w:lastRenderedPageBreak/>
        <w:t>Compare and critically contrast Mircea Eliade and Emile Durkheim’s views of sacred space</w:t>
      </w:r>
    </w:p>
    <w:p w14:paraId="25710DC8" w14:textId="77777777" w:rsidR="005914B8" w:rsidRDefault="005914B8" w:rsidP="005914B8"/>
    <w:p w14:paraId="3107A8A3" w14:textId="77777777" w:rsidR="00EF04F7" w:rsidRDefault="0091380B" w:rsidP="00336B48">
      <w:pPr>
        <w:jc w:val="both"/>
      </w:pPr>
      <w:r>
        <w:t>The theories of Durkheim and Eliade will be compared through the lens of sacred space. A thematic approach will be taken</w:t>
      </w:r>
      <w:r w:rsidR="00EF04F7">
        <w:t>,</w:t>
      </w:r>
      <w:r>
        <w:t xml:space="preserve"> characterising their theories</w:t>
      </w:r>
      <w:r w:rsidR="00EF04F7">
        <w:t>’</w:t>
      </w:r>
      <w:r>
        <w:t xml:space="preserve"> similarities and differences. This will include their views on the source of sacredness within space, its permanence or how it is maintained, the value of sacred spaces and its relationship with humanity. </w:t>
      </w:r>
    </w:p>
    <w:p w14:paraId="35E5056F" w14:textId="10654AA6" w:rsidR="002273BA" w:rsidRDefault="0091380B" w:rsidP="00336B48">
      <w:pPr>
        <w:jc w:val="both"/>
        <w:rPr>
          <w:highlight w:val="yellow"/>
        </w:rPr>
      </w:pPr>
      <w:r>
        <w:t>Durkheim was a French sociologist and is largely considered one of the founders of sociology</w:t>
      </w:r>
      <w:r w:rsidR="008F0031">
        <w:rPr>
          <w:rStyle w:val="FootnoteReference"/>
        </w:rPr>
        <w:footnoteReference w:id="1"/>
      </w:r>
      <w:r>
        <w:t>. He undertook large amounts of ethnographic research in Australia, with a particular interest in totemism and the soul, tending to view religion from a functionalistic perspective within society.</w:t>
      </w:r>
      <w:r w:rsidRPr="0090217F">
        <w:rPr>
          <w:rStyle w:val="FootnoteReference"/>
        </w:rPr>
        <w:t xml:space="preserve"> </w:t>
      </w:r>
      <w:r w:rsidRPr="0090217F">
        <w:rPr>
          <w:rStyle w:val="FootnoteReference"/>
        </w:rPr>
        <w:footnoteReference w:id="2"/>
      </w:r>
      <w:r w:rsidRPr="0090217F">
        <w:t xml:space="preserve"> </w:t>
      </w:r>
      <w:r>
        <w:t>Eliade was a Romanian theologian and writer of both fiction and philosophy</w:t>
      </w:r>
      <w:r w:rsidR="00D825A3">
        <w:rPr>
          <w:rStyle w:val="FootnoteReference"/>
        </w:rPr>
        <w:footnoteReference w:id="3"/>
      </w:r>
      <w:r>
        <w:t xml:space="preserve">. His work largely focused on the nature of religion and the dichotomy of the sacred and the profane. Durkheim and Eliade’s vast works of research influenced their different outlooks on sacred space. </w:t>
      </w:r>
      <w:r w:rsidR="00745FFA">
        <w:t>However, it is importan</w:t>
      </w:r>
      <w:r w:rsidR="0026722C">
        <w:t xml:space="preserve">t not to </w:t>
      </w:r>
      <w:r w:rsidR="00FB2903">
        <w:t>strictly separate</w:t>
      </w:r>
      <w:r w:rsidR="0026722C">
        <w:t xml:space="preserve"> Durkheim or </w:t>
      </w:r>
      <w:r w:rsidR="00FB2903">
        <w:t>Eliade</w:t>
      </w:r>
      <w:r w:rsidR="0026722C">
        <w:t xml:space="preserve"> </w:t>
      </w:r>
      <w:r w:rsidR="00C616AB" w:rsidRPr="001951D3">
        <w:t>“into radically different metaphysical camps...</w:t>
      </w:r>
      <w:r w:rsidR="002273BA" w:rsidRPr="001951D3">
        <w:t>”</w:t>
      </w:r>
      <w:r w:rsidR="002273BA" w:rsidRPr="001951D3">
        <w:rPr>
          <w:rStyle w:val="FootnoteReference"/>
        </w:rPr>
        <w:t xml:space="preserve"> </w:t>
      </w:r>
      <w:r w:rsidR="002273BA" w:rsidRPr="001951D3">
        <w:rPr>
          <w:rStyle w:val="FootnoteReference"/>
        </w:rPr>
        <w:footnoteReference w:id="4"/>
      </w:r>
      <w:r w:rsidR="002273BA" w:rsidRPr="001951D3">
        <w:t xml:space="preserve"> </w:t>
      </w:r>
      <w:r w:rsidR="001951D3">
        <w:t>as both share</w:t>
      </w:r>
      <w:r w:rsidR="006C2F86">
        <w:t xml:space="preserve"> many commonalities </w:t>
      </w:r>
      <w:r w:rsidR="00D20279">
        <w:t xml:space="preserve">within their approaches to sacred space. </w:t>
      </w:r>
    </w:p>
    <w:p w14:paraId="7CBA1C77" w14:textId="2D4734E9" w:rsidR="00AD7D03" w:rsidRPr="00AD7D03" w:rsidRDefault="00AD7D03" w:rsidP="00336B48">
      <w:pPr>
        <w:jc w:val="both"/>
      </w:pPr>
      <w:r>
        <w:t>Durkheim’s view of sacred space was heavily influenced by his research into social cohesiveness and the maintenance of society</w:t>
      </w:r>
      <w:r w:rsidR="003C398A">
        <w:t xml:space="preserve">. </w:t>
      </w:r>
      <w:r w:rsidR="00D935BE">
        <w:t xml:space="preserve">Durkheim strongly expresses that </w:t>
      </w:r>
      <w:r w:rsidR="00194D42">
        <w:t>“…</w:t>
      </w:r>
      <w:r w:rsidR="00194D42">
        <w:t>sociology addresses the origin of religious phenomena</w:t>
      </w:r>
      <w:r w:rsidR="00D935BE">
        <w:t>.”</w:t>
      </w:r>
      <w:r w:rsidR="001F5EDA">
        <w:rPr>
          <w:rStyle w:val="FootnoteReference"/>
        </w:rPr>
        <w:footnoteReference w:id="5"/>
      </w:r>
      <w:r w:rsidR="00D935BE">
        <w:t xml:space="preserve"> His</w:t>
      </w:r>
      <w:r>
        <w:t xml:space="preserve"> </w:t>
      </w:r>
      <w:r w:rsidR="00541786">
        <w:t xml:space="preserve">emphasis on human </w:t>
      </w:r>
      <w:r w:rsidR="00BB0460">
        <w:t>agency is a common factor with</w:t>
      </w:r>
      <w:r w:rsidR="00BE5B1B">
        <w:t xml:space="preserve">in his exploration of both </w:t>
      </w:r>
      <w:r>
        <w:t xml:space="preserve">sacred space </w:t>
      </w:r>
      <w:r w:rsidR="00BB0460">
        <w:t xml:space="preserve">and </w:t>
      </w:r>
      <w:r>
        <w:t xml:space="preserve">society. Durkheim argues that </w:t>
      </w:r>
      <w:r w:rsidR="00732A71">
        <w:t xml:space="preserve">humans impose sacredness upon the landscape </w:t>
      </w:r>
      <w:r w:rsidR="00F304C0">
        <w:t>due to a</w:t>
      </w:r>
      <w:r>
        <w:t xml:space="preserve"> shared need for soul</w:t>
      </w:r>
      <w:r w:rsidR="009320C8">
        <w:t>ful connection</w:t>
      </w:r>
      <w:r>
        <w:t>.</w:t>
      </w:r>
      <w:r w:rsidR="003F7016">
        <w:t xml:space="preserve"> This “collective life”</w:t>
      </w:r>
      <w:r w:rsidR="00E64443">
        <w:rPr>
          <w:rStyle w:val="FootnoteReference"/>
        </w:rPr>
        <w:footnoteReference w:id="6"/>
      </w:r>
      <w:r w:rsidR="003F7016">
        <w:t xml:space="preserve"> tackles the difficulty of the death of individuals</w:t>
      </w:r>
      <w:r w:rsidR="00662DC8">
        <w:t>, so that the social part of the human may live on.</w:t>
      </w:r>
      <w:r>
        <w:t xml:space="preserve"> </w:t>
      </w:r>
      <w:r w:rsidR="00EF04F7">
        <w:t>S</w:t>
      </w:r>
      <w:r>
        <w:t>acred space is intrinsically social</w:t>
      </w:r>
      <w:r w:rsidR="00EF04F7">
        <w:t>,</w:t>
      </w:r>
      <w:r>
        <w:t xml:space="preserve"> and therefore “…sacredness is a property of society itself.”</w:t>
      </w:r>
      <w:r>
        <w:rPr>
          <w:rStyle w:val="FootnoteReference"/>
        </w:rPr>
        <w:footnoteReference w:id="7"/>
      </w:r>
      <w:r>
        <w:t xml:space="preserve"> </w:t>
      </w:r>
      <w:r w:rsidR="00E26DBE">
        <w:t>Humans are therefore Durkheim’s</w:t>
      </w:r>
      <w:r w:rsidR="00863534">
        <w:t xml:space="preserve"> source of sacredness</w:t>
      </w:r>
      <w:r w:rsidR="00E26DBE">
        <w:t xml:space="preserve">, as he </w:t>
      </w:r>
      <w:r>
        <w:t>reject</w:t>
      </w:r>
      <w:r w:rsidR="00662208">
        <w:t>s</w:t>
      </w:r>
      <w:r w:rsidR="00AF3016">
        <w:t xml:space="preserve"> other</w:t>
      </w:r>
      <w:r w:rsidR="00662208">
        <w:t xml:space="preserve"> external</w:t>
      </w:r>
      <w:r>
        <w:t xml:space="preserve"> source</w:t>
      </w:r>
      <w:r w:rsidR="00662208">
        <w:t>s</w:t>
      </w:r>
      <w:r w:rsidR="00662208" w:rsidRPr="003A7896">
        <w:t>.</w:t>
      </w:r>
      <w:r w:rsidR="003A7896" w:rsidRPr="003A7896">
        <w:rPr>
          <w:rStyle w:val="FootnoteReference"/>
        </w:rPr>
        <w:footnoteReference w:id="8"/>
      </w:r>
      <w:r w:rsidR="00AF3016">
        <w:t xml:space="preserve"> </w:t>
      </w:r>
      <w:r>
        <w:t xml:space="preserve">Durkheim </w:t>
      </w:r>
      <w:r w:rsidR="005A1718">
        <w:t>could be</w:t>
      </w:r>
      <w:r>
        <w:t xml:space="preserve"> accused of </w:t>
      </w:r>
      <w:r w:rsidR="00FD10FD">
        <w:t xml:space="preserve">being </w:t>
      </w:r>
      <w:r>
        <w:t xml:space="preserve">reductive </w:t>
      </w:r>
      <w:r w:rsidR="00FD10FD">
        <w:t xml:space="preserve">by </w:t>
      </w:r>
      <w:r>
        <w:t>“…boiling down the uniqueness…</w:t>
      </w:r>
      <w:r w:rsidR="00EF04F7">
        <w:t xml:space="preserve">[of] </w:t>
      </w:r>
      <w:r>
        <w:t xml:space="preserve">religion into a false, </w:t>
      </w:r>
      <w:proofErr w:type="spellStart"/>
      <w:r>
        <w:t>meager</w:t>
      </w:r>
      <w:proofErr w:type="spellEnd"/>
      <w:r>
        <w:t>, and non-representative residue, called society”</w:t>
      </w:r>
      <w:r w:rsidR="00EF04F7">
        <w:t>.</w:t>
      </w:r>
      <w:r>
        <w:rPr>
          <w:rStyle w:val="FootnoteReference"/>
        </w:rPr>
        <w:footnoteReference w:id="9"/>
      </w:r>
      <w:r w:rsidR="00BD585E">
        <w:t xml:space="preserve"> </w:t>
      </w:r>
      <w:r w:rsidR="00BD585E" w:rsidRPr="00FD283F">
        <w:t xml:space="preserve">Fields </w:t>
      </w:r>
      <w:r w:rsidR="00BD585E" w:rsidRPr="00FD283F">
        <w:t xml:space="preserve">however </w:t>
      </w:r>
      <w:r w:rsidR="00BD585E" w:rsidRPr="00FD283F">
        <w:t xml:space="preserve">describes Durkheim’s explanation of the soul as “hauntingly </w:t>
      </w:r>
      <w:r w:rsidR="00BD585E" w:rsidRPr="00FD283F">
        <w:lastRenderedPageBreak/>
        <w:t>beautiful,”</w:t>
      </w:r>
      <w:r w:rsidR="00BD585E" w:rsidRPr="00FD283F">
        <w:rPr>
          <w:rStyle w:val="FootnoteReference"/>
        </w:rPr>
        <w:footnoteReference w:id="10"/>
      </w:r>
      <w:r w:rsidR="00BD585E" w:rsidRPr="00FD283F">
        <w:t xml:space="preserve"> </w:t>
      </w:r>
      <w:r w:rsidR="00BD585E" w:rsidRPr="00FD283F">
        <w:t xml:space="preserve">suggesting that Durkheim </w:t>
      </w:r>
      <w:r w:rsidR="00BD585E" w:rsidRPr="00FD283F">
        <w:t>skilfully bring</w:t>
      </w:r>
      <w:r w:rsidR="00BD585E" w:rsidRPr="00FD283F">
        <w:t>s</w:t>
      </w:r>
      <w:r w:rsidR="00BD585E" w:rsidRPr="00FD283F">
        <w:t xml:space="preserve"> together a ‘science positive’ approach</w:t>
      </w:r>
      <w:r w:rsidR="00BD585E" w:rsidRPr="00FD283F">
        <w:t>, wh</w:t>
      </w:r>
      <w:r w:rsidR="0086543F" w:rsidRPr="00FD283F">
        <w:t>ilst</w:t>
      </w:r>
      <w:r w:rsidR="00BD585E" w:rsidRPr="00FD283F">
        <w:t xml:space="preserve"> a</w:t>
      </w:r>
      <w:r w:rsidR="0086543F" w:rsidRPr="00FD283F">
        <w:t>lso</w:t>
      </w:r>
      <w:r w:rsidR="00BD585E" w:rsidRPr="00FD283F">
        <w:t xml:space="preserve"> </w:t>
      </w:r>
      <w:r w:rsidR="00BD585E" w:rsidRPr="00FD283F">
        <w:t>respec</w:t>
      </w:r>
      <w:r w:rsidR="0086543F" w:rsidRPr="00FD283F">
        <w:t>ting that</w:t>
      </w:r>
      <w:r w:rsidR="00BD585E" w:rsidRPr="00FD283F">
        <w:t xml:space="preserve"> “…no religions are false.”</w:t>
      </w:r>
      <w:r w:rsidR="00BD585E" w:rsidRPr="00FD283F">
        <w:rPr>
          <w:rStyle w:val="FootnoteReference"/>
        </w:rPr>
        <w:footnoteReference w:id="11"/>
      </w:r>
      <w:r w:rsidR="00BD585E" w:rsidRPr="00FD283F">
        <w:t xml:space="preserve"> In doing so, Durkheim enhances the discussion of sacred spac</w:t>
      </w:r>
      <w:r w:rsidR="00BD585E">
        <w:t>e</w:t>
      </w:r>
      <w:r w:rsidR="00CE684F">
        <w:t>, through the understanding of soul</w:t>
      </w:r>
      <w:r w:rsidR="00BD585E">
        <w:t xml:space="preserve">. </w:t>
      </w:r>
      <w:r w:rsidR="00B4640D">
        <w:t xml:space="preserve">It is Durkheim’s outline of the role of the collective group which characterises his theory of sacred space. </w:t>
      </w:r>
    </w:p>
    <w:p w14:paraId="0B5EACD5" w14:textId="7F88A643" w:rsidR="00B23D31" w:rsidRDefault="005C18E4" w:rsidP="00336B48">
      <w:pPr>
        <w:jc w:val="both"/>
      </w:pPr>
      <w:r>
        <w:t>Durkheim’s outline of the world’s sacred and profane dichotomy is critical to exploring his discussion of sacred spaces</w:t>
      </w:r>
      <w:r w:rsidR="005A1718">
        <w:t>.</w:t>
      </w:r>
      <w:r>
        <w:rPr>
          <w:rStyle w:val="FootnoteReference"/>
        </w:rPr>
        <w:footnoteReference w:id="12"/>
      </w:r>
      <w:r>
        <w:t xml:space="preserve"> </w:t>
      </w:r>
      <w:r w:rsidR="005A1718">
        <w:t xml:space="preserve">He </w:t>
      </w:r>
      <w:r>
        <w:t>defin</w:t>
      </w:r>
      <w:r w:rsidR="005A1718">
        <w:t>es</w:t>
      </w:r>
      <w:r>
        <w:t xml:space="preserve"> them as ‘…set apart…’</w:t>
      </w:r>
      <w:r>
        <w:rPr>
          <w:rStyle w:val="FootnoteReference"/>
        </w:rPr>
        <w:footnoteReference w:id="13"/>
      </w:r>
      <w:r>
        <w:t xml:space="preserve"> </w:t>
      </w:r>
      <w:r w:rsidR="00B16AE1">
        <w:t xml:space="preserve">from the ordinary, profane world. </w:t>
      </w:r>
      <w:r w:rsidR="00562A9C">
        <w:t>Durkheim and Eliade compellingly establish that sacred space can be marked out as being distinctively different to profane space by how it is experienced and by its strict parameters</w:t>
      </w:r>
      <w:r w:rsidR="00562A9C" w:rsidRPr="00426CAA">
        <w:rPr>
          <w:rStyle w:val="FootnoteReference"/>
        </w:rPr>
        <w:footnoteReference w:id="14"/>
      </w:r>
      <w:r w:rsidR="00562A9C">
        <w:t>. The innate value and boundaries of sacred spaces are key features for both theorists, in contrast to profane space which lacks meaning, “structure or consistency.”</w:t>
      </w:r>
      <w:r w:rsidR="00562A9C" w:rsidRPr="003030CB">
        <w:rPr>
          <w:rStyle w:val="FootnoteReference"/>
        </w:rPr>
        <w:t xml:space="preserve"> </w:t>
      </w:r>
      <w:r w:rsidR="00562A9C">
        <w:rPr>
          <w:rStyle w:val="FootnoteReference"/>
        </w:rPr>
        <w:footnoteReference w:id="15"/>
      </w:r>
      <w:r w:rsidR="00562A9C">
        <w:t xml:space="preserve"> Despite this similarity in Durkheim and Eliade’s theories, they are opposed in their underlying reasoning. </w:t>
      </w:r>
      <w:r>
        <w:t xml:space="preserve">Though Eliade did not acknowledge Durkheim directly, it is clear he was heavily influenced by his work. </w:t>
      </w:r>
      <w:r w:rsidR="00F44308">
        <w:t>Eliade considers that all value or reality is contained within sacred spaces or through interactions with them.</w:t>
      </w:r>
      <w:r w:rsidR="00B74D94">
        <w:t xml:space="preserve"> </w:t>
      </w:r>
    </w:p>
    <w:p w14:paraId="6E2A201C" w14:textId="3859C5E0" w:rsidR="00B23D31" w:rsidRDefault="00397E89" w:rsidP="00336B48">
      <w:pPr>
        <w:jc w:val="both"/>
      </w:pPr>
      <w:r>
        <w:t xml:space="preserve">Durkheim emphasises humans as the central creators and maintainers of sacred space. </w:t>
      </w:r>
      <w:r w:rsidR="00F42C50">
        <w:t xml:space="preserve">Sacred space </w:t>
      </w:r>
      <w:r w:rsidR="005C18E4">
        <w:t>is intertwined with societal dynamics, through a social need for sacredness</w:t>
      </w:r>
      <w:r w:rsidR="00636696">
        <w:t>.</w:t>
      </w:r>
      <w:r w:rsidR="002F1E5A">
        <w:rPr>
          <w:rStyle w:val="FootnoteReference"/>
        </w:rPr>
        <w:footnoteReference w:id="16"/>
      </w:r>
      <w:r w:rsidR="005C18E4">
        <w:t xml:space="preserve"> Humans will inherently </w:t>
      </w:r>
      <w:r>
        <w:t>isolate</w:t>
      </w:r>
      <w:r w:rsidR="005C18E4">
        <w:t xml:space="preserve"> space </w:t>
      </w:r>
      <w:r>
        <w:t xml:space="preserve">to </w:t>
      </w:r>
      <w:r w:rsidR="005C18E4">
        <w:t>creat</w:t>
      </w:r>
      <w:r>
        <w:t>e</w:t>
      </w:r>
      <w:r w:rsidR="005C18E4">
        <w:t xml:space="preserve"> “forbidden”</w:t>
      </w:r>
      <w:r w:rsidR="005C18E4" w:rsidRPr="00385E16">
        <w:rPr>
          <w:rStyle w:val="FootnoteReference"/>
        </w:rPr>
        <w:t xml:space="preserve"> </w:t>
      </w:r>
      <w:r w:rsidR="005C18E4" w:rsidRPr="00385E16">
        <w:rPr>
          <w:rStyle w:val="FootnoteReference"/>
        </w:rPr>
        <w:footnoteReference w:id="17"/>
      </w:r>
      <w:r w:rsidR="005C18E4">
        <w:rPr>
          <w:rStyle w:val="FootnoteReference"/>
        </w:rPr>
        <w:t xml:space="preserve">  </w:t>
      </w:r>
      <w:r w:rsidR="005C18E4">
        <w:t xml:space="preserve">sacred spaces. </w:t>
      </w:r>
      <w:r w:rsidR="00B23D31">
        <w:t>Ritual</w:t>
      </w:r>
      <w:r w:rsidR="00636696">
        <w:t>s are</w:t>
      </w:r>
      <w:r w:rsidR="00B23D31">
        <w:t xml:space="preserve"> then essential for the</w:t>
      </w:r>
      <w:r w:rsidR="005C18E4">
        <w:t xml:space="preserve"> maintenance</w:t>
      </w:r>
      <w:r w:rsidR="00B23D31">
        <w:t xml:space="preserve"> of sacred space</w:t>
      </w:r>
      <w:r w:rsidR="00636696">
        <w:t>s</w:t>
      </w:r>
      <w:r w:rsidR="00B23D31">
        <w:t>,</w:t>
      </w:r>
      <w:r w:rsidR="00B23D31">
        <w:rPr>
          <w:rStyle w:val="FootnoteReference"/>
        </w:rPr>
        <w:footnoteReference w:id="18"/>
      </w:r>
      <w:r w:rsidR="00B23D31">
        <w:t xml:space="preserve"> as they can only </w:t>
      </w:r>
      <w:r w:rsidR="005C18E4">
        <w:t xml:space="preserve">“…remain sacred only so long as groups continue to do this.” </w:t>
      </w:r>
      <w:r w:rsidR="005C18E4">
        <w:rPr>
          <w:rStyle w:val="FootnoteReference"/>
        </w:rPr>
        <w:footnoteReference w:id="19"/>
      </w:r>
      <w:r w:rsidR="005034DB">
        <w:t xml:space="preserve"> </w:t>
      </w:r>
      <w:r w:rsidR="00F42C50">
        <w:t>T</w:t>
      </w:r>
      <w:r w:rsidR="005C18E4">
        <w:t>he value of these spaces</w:t>
      </w:r>
      <w:r w:rsidR="00395F16">
        <w:t xml:space="preserve"> is </w:t>
      </w:r>
      <w:r w:rsidR="005C18E4">
        <w:t>found in their ability</w:t>
      </w:r>
      <w:r w:rsidR="00F44308">
        <w:t xml:space="preserve"> to</w:t>
      </w:r>
      <w:r w:rsidR="005C18E4">
        <w:t xml:space="preserve"> lend additional </w:t>
      </w:r>
      <w:r w:rsidR="00C92618">
        <w:t>meaning</w:t>
      </w:r>
      <w:r w:rsidR="005C18E4">
        <w:t xml:space="preserve"> to human life</w:t>
      </w:r>
      <w:r w:rsidR="0016373B">
        <w:rPr>
          <w:rStyle w:val="FootnoteReference"/>
        </w:rPr>
        <w:footnoteReference w:id="20"/>
      </w:r>
      <w:r w:rsidR="005A68F3">
        <w:t xml:space="preserve"> </w:t>
      </w:r>
      <w:r w:rsidR="005C18E4">
        <w:t>and prevent societal disruption</w:t>
      </w:r>
      <w:r w:rsidR="00C92618">
        <w:t>.</w:t>
      </w:r>
      <w:r w:rsidR="005C18E4">
        <w:rPr>
          <w:rStyle w:val="FootnoteReference"/>
        </w:rPr>
        <w:footnoteReference w:id="21"/>
      </w:r>
      <w:r w:rsidR="005C18E4">
        <w:t xml:space="preserve"> </w:t>
      </w:r>
      <w:r w:rsidR="00B23D31">
        <w:t>Durkheim’s interpretation of the s</w:t>
      </w:r>
      <w:r w:rsidR="00636696">
        <w:t>ac</w:t>
      </w:r>
      <w:r w:rsidR="00B23D31">
        <w:t>red value of different spaces is based solely upon the amount of engagement from people and the continuation of this engagement. With increased ritualistic engagement, the sacredness increases and with a decrease of ritualistic engagement, so too does the sacred nature of the space</w:t>
      </w:r>
      <w:r w:rsidR="00F42C50">
        <w:t>.</w:t>
      </w:r>
      <w:r w:rsidR="00B23D31">
        <w:rPr>
          <w:rStyle w:val="FootnoteReference"/>
        </w:rPr>
        <w:footnoteReference w:id="22"/>
      </w:r>
      <w:r w:rsidR="00B23D31">
        <w:t xml:space="preserve"> </w:t>
      </w:r>
      <w:r w:rsidR="009525B4">
        <w:t>Human’s are dr</w:t>
      </w:r>
      <w:r w:rsidR="001A22FB">
        <w:t xml:space="preserve">awn to sacred spaces by </w:t>
      </w:r>
      <w:r w:rsidR="000329A8">
        <w:t>a desire</w:t>
      </w:r>
      <w:r w:rsidR="005957E6">
        <w:t xml:space="preserve"> </w:t>
      </w:r>
      <w:r w:rsidR="00317AB7">
        <w:t>to become intertwined with</w:t>
      </w:r>
      <w:r w:rsidR="009525B4">
        <w:t xml:space="preserve"> reality</w:t>
      </w:r>
      <w:r w:rsidR="00317AB7">
        <w:t xml:space="preserve"> </w:t>
      </w:r>
      <w:r w:rsidR="001A22FB">
        <w:t>and to “</w:t>
      </w:r>
      <w:r w:rsidR="005957E6">
        <w:t xml:space="preserve">feel saturated with </w:t>
      </w:r>
      <w:r w:rsidR="000329A8">
        <w:t xml:space="preserve">[its] </w:t>
      </w:r>
      <w:r w:rsidR="005957E6">
        <w:t>power</w:t>
      </w:r>
      <w:proofErr w:type="gramStart"/>
      <w:r w:rsidR="000329A8">
        <w:t>”.</w:t>
      </w:r>
      <w:proofErr w:type="gramEnd"/>
      <w:r w:rsidR="005957E6">
        <w:rPr>
          <w:rStyle w:val="FootnoteReference"/>
        </w:rPr>
        <w:footnoteReference w:id="23"/>
      </w:r>
      <w:r w:rsidR="000329A8">
        <w:t xml:space="preserve"> </w:t>
      </w:r>
      <w:r w:rsidR="005C18E4">
        <w:t xml:space="preserve">Durkheim’s functionalistic view is </w:t>
      </w:r>
      <w:r w:rsidR="00B23D31">
        <w:t xml:space="preserve">however </w:t>
      </w:r>
      <w:r w:rsidR="005C18E4">
        <w:t>in sharp contrast to Eliade, who</w:t>
      </w:r>
      <w:r w:rsidR="005C18E4" w:rsidRPr="00612B9D">
        <w:t xml:space="preserve"> </w:t>
      </w:r>
      <w:r w:rsidR="005C18E4">
        <w:t>does not give humanity the same level of agency over spaced space</w:t>
      </w:r>
      <w:r w:rsidR="00A834E7">
        <w:t>.</w:t>
      </w:r>
      <w:r w:rsidR="005C18E4">
        <w:t xml:space="preserve"> </w:t>
      </w:r>
      <w:r w:rsidR="00A834E7">
        <w:t>I</w:t>
      </w:r>
      <w:r w:rsidR="005C18E4">
        <w:t>nstead</w:t>
      </w:r>
      <w:r w:rsidR="00E60E59">
        <w:t>,</w:t>
      </w:r>
      <w:r w:rsidR="005C18E4">
        <w:t xml:space="preserve"> </w:t>
      </w:r>
      <w:r w:rsidR="00636696">
        <w:t>Eliade</w:t>
      </w:r>
      <w:r w:rsidR="00A834E7">
        <w:t xml:space="preserve"> </w:t>
      </w:r>
      <w:r w:rsidR="005C18E4">
        <w:t xml:space="preserve">considers humans as visitors within sacred spaces, as they </w:t>
      </w:r>
      <w:r w:rsidR="005C18E4">
        <w:lastRenderedPageBreak/>
        <w:t>cross over</w:t>
      </w:r>
      <w:r w:rsidR="002067BA">
        <w:t xml:space="preserve"> the</w:t>
      </w:r>
      <w:r w:rsidR="005C18E4">
        <w:t xml:space="preserve"> “…threshold…the boundary, the frontier that distinguishes and opposes two worlds.” </w:t>
      </w:r>
      <w:r w:rsidR="005C18E4">
        <w:rPr>
          <w:rStyle w:val="FootnoteReference"/>
        </w:rPr>
        <w:footnoteReference w:id="24"/>
      </w:r>
      <w:r w:rsidR="005C18E4">
        <w:t xml:space="preserve"> The separation then is not imposed upon space by humans</w:t>
      </w:r>
      <w:r w:rsidR="00A834E7">
        <w:t xml:space="preserve">, it </w:t>
      </w:r>
      <w:r w:rsidR="005C18E4">
        <w:t xml:space="preserve">is </w:t>
      </w:r>
      <w:r w:rsidR="00A834E7">
        <w:t xml:space="preserve">separate </w:t>
      </w:r>
      <w:r w:rsidR="005C18E4">
        <w:t xml:space="preserve">because the very </w:t>
      </w:r>
      <w:r w:rsidR="00A834E7">
        <w:t>fabric of the</w:t>
      </w:r>
      <w:r w:rsidR="005C18E4">
        <w:t xml:space="preserve"> </w:t>
      </w:r>
      <w:r w:rsidR="00A834E7">
        <w:t xml:space="preserve">sacred </w:t>
      </w:r>
      <w:r w:rsidR="005C18E4">
        <w:t xml:space="preserve">spaces </w:t>
      </w:r>
      <w:proofErr w:type="gramStart"/>
      <w:r w:rsidR="00A834E7">
        <w:t>are</w:t>
      </w:r>
      <w:proofErr w:type="gramEnd"/>
      <w:r w:rsidR="009F60C2">
        <w:t xml:space="preserve"> fundamentally different and </w:t>
      </w:r>
      <w:r w:rsidR="00636696">
        <w:t>apart</w:t>
      </w:r>
      <w:r w:rsidR="009F60C2">
        <w:t xml:space="preserve">, </w:t>
      </w:r>
      <w:r w:rsidR="005F6BEE">
        <w:t xml:space="preserve">like oil and water. Sacredness </w:t>
      </w:r>
      <w:r w:rsidR="005C18E4">
        <w:t>bursts through the seams of the profane from another sacred world</w:t>
      </w:r>
      <w:r w:rsidR="005F6BEE">
        <w:t>,</w:t>
      </w:r>
      <w:r w:rsidR="005C18E4">
        <w:t xml:space="preserve"> holding all value and meaning, which Eliade outlines as a </w:t>
      </w:r>
      <w:proofErr w:type="spellStart"/>
      <w:r w:rsidR="005C18E4">
        <w:t>H</w:t>
      </w:r>
      <w:r w:rsidR="000C6961">
        <w:t>ie</w:t>
      </w:r>
      <w:r w:rsidR="005C18E4">
        <w:t>rophany</w:t>
      </w:r>
      <w:proofErr w:type="spellEnd"/>
      <w:r w:rsidR="005C18E4">
        <w:t>.</w:t>
      </w:r>
      <w:r w:rsidR="002272A8">
        <w:rPr>
          <w:rStyle w:val="FootnoteReference"/>
        </w:rPr>
        <w:footnoteReference w:id="25"/>
      </w:r>
      <w:r w:rsidR="002272A8">
        <w:t xml:space="preserve"> </w:t>
      </w:r>
      <w:r w:rsidR="005C18E4">
        <w:t xml:space="preserve"> </w:t>
      </w:r>
    </w:p>
    <w:p w14:paraId="4E33656E" w14:textId="1328D085" w:rsidR="00B23D31" w:rsidRDefault="00820784" w:rsidP="00336B48">
      <w:pPr>
        <w:jc w:val="both"/>
      </w:pPr>
      <w:r>
        <w:t xml:space="preserve">Eliade states that </w:t>
      </w:r>
      <w:r w:rsidR="00946239">
        <w:t>“</w:t>
      </w:r>
      <w:r>
        <w:t>…e</w:t>
      </w:r>
      <w:r w:rsidR="00946239">
        <w:t xml:space="preserve">very sacred space implies a </w:t>
      </w:r>
      <w:proofErr w:type="spellStart"/>
      <w:r w:rsidR="00946239">
        <w:t>hierophany</w:t>
      </w:r>
      <w:proofErr w:type="spellEnd"/>
      <w:r w:rsidR="00946239">
        <w:t>.</w:t>
      </w:r>
      <w:r w:rsidR="00340345">
        <w:t>..</w:t>
      </w:r>
      <w:r w:rsidR="00946239">
        <w:t xml:space="preserve">” </w:t>
      </w:r>
      <w:r w:rsidR="00946239">
        <w:rPr>
          <w:rStyle w:val="FootnoteReference"/>
        </w:rPr>
        <w:footnoteReference w:id="26"/>
      </w:r>
      <w:r w:rsidR="000B1BFB">
        <w:t xml:space="preserve"> </w:t>
      </w:r>
      <w:r w:rsidR="00C63FD4">
        <w:t>T</w:t>
      </w:r>
      <w:r w:rsidR="000B1BFB">
        <w:t>hus</w:t>
      </w:r>
      <w:r w:rsidR="00C63FD4">
        <w:t xml:space="preserve"> ritual </w:t>
      </w:r>
      <w:r w:rsidR="000B1BFB">
        <w:t>activity within sacred spaces</w:t>
      </w:r>
      <w:r w:rsidR="00647F7A">
        <w:t>,</w:t>
      </w:r>
      <w:r w:rsidR="000B1BFB">
        <w:t xml:space="preserve"> rather than increasing sacredness as Durkheim would suggest, acts as evidence for the presence of </w:t>
      </w:r>
      <w:proofErr w:type="spellStart"/>
      <w:r w:rsidR="000B1BFB">
        <w:t>hierophanies</w:t>
      </w:r>
      <w:proofErr w:type="spellEnd"/>
      <w:r w:rsidR="000B1BFB">
        <w:t xml:space="preserve">. </w:t>
      </w:r>
      <w:r w:rsidR="00946239">
        <w:t>Sacred spaces</w:t>
      </w:r>
      <w:r w:rsidR="00E436A7">
        <w:t xml:space="preserve"> </w:t>
      </w:r>
      <w:r w:rsidR="00946239">
        <w:t xml:space="preserve">by their nature stand out, take </w:t>
      </w:r>
      <w:r w:rsidR="00647F7A">
        <w:t>one’s</w:t>
      </w:r>
      <w:r w:rsidR="00946239">
        <w:t xml:space="preserve"> attention and are memorable</w:t>
      </w:r>
      <w:r w:rsidR="00BE2039">
        <w:t>. E</w:t>
      </w:r>
      <w:r w:rsidR="00946239">
        <w:t>verything profane</w:t>
      </w:r>
      <w:r w:rsidR="00BE2039">
        <w:t xml:space="preserve"> by comparison</w:t>
      </w:r>
      <w:r w:rsidR="00946239">
        <w:t xml:space="preserve"> is dull, “…homogenous and neutral…”</w:t>
      </w:r>
      <w:r w:rsidR="00946239">
        <w:rPr>
          <w:rStyle w:val="FootnoteReference"/>
        </w:rPr>
        <w:footnoteReference w:id="27"/>
      </w:r>
      <w:r w:rsidR="00946239">
        <w:t xml:space="preserve"> </w:t>
      </w:r>
      <w:r w:rsidR="00134E9A">
        <w:t>Heirophanies result in r</w:t>
      </w:r>
      <w:r w:rsidR="00946239">
        <w:t>evelation</w:t>
      </w:r>
      <w:r w:rsidR="00134E9A">
        <w:t>s</w:t>
      </w:r>
      <w:r w:rsidR="00946239">
        <w:t xml:space="preserve"> of reality</w:t>
      </w:r>
      <w:r w:rsidR="00647F7A">
        <w:t>;</w:t>
      </w:r>
      <w:r w:rsidR="00134E9A">
        <w:t xml:space="preserve"> these</w:t>
      </w:r>
      <w:r w:rsidR="00946239">
        <w:t xml:space="preserve"> may then act as an indicator of sacred spaces </w:t>
      </w:r>
      <w:r w:rsidR="00B03BE3">
        <w:t xml:space="preserve">through the </w:t>
      </w:r>
      <w:r w:rsidR="00946239">
        <w:t>“…paradoxical coming-together of sacred and profane.”</w:t>
      </w:r>
      <w:r w:rsidR="00946239">
        <w:rPr>
          <w:rStyle w:val="FootnoteReference"/>
        </w:rPr>
        <w:footnoteReference w:id="28"/>
      </w:r>
      <w:r w:rsidR="0009333A">
        <w:t xml:space="preserve"> Eliade argues that these thresholds </w:t>
      </w:r>
      <w:r w:rsidR="00F37324">
        <w:t xml:space="preserve">are </w:t>
      </w:r>
      <w:r w:rsidR="0009333A">
        <w:t>where “…two worlds communicate, where passage from the profane to the sacred world becomes possible.”</w:t>
      </w:r>
      <w:r w:rsidR="0009333A">
        <w:rPr>
          <w:rStyle w:val="FootnoteReference"/>
        </w:rPr>
        <w:footnoteReference w:id="29"/>
      </w:r>
      <w:r w:rsidR="0009333A">
        <w:t xml:space="preserve"> Sacred space on Earth then becomes </w:t>
      </w:r>
      <w:r w:rsidR="00F37324">
        <w:t xml:space="preserve">an </w:t>
      </w:r>
      <w:r w:rsidR="0009333A">
        <w:t>access</w:t>
      </w:r>
      <w:r w:rsidR="00F37324">
        <w:t xml:space="preserve"> point</w:t>
      </w:r>
      <w:r w:rsidR="0009333A">
        <w:t xml:space="preserve"> to the unknown</w:t>
      </w:r>
      <w:r w:rsidR="002306B5">
        <w:t>, through communication between the sacred and profane</w:t>
      </w:r>
      <w:r w:rsidR="00A5305D">
        <w:t>.</w:t>
      </w:r>
      <w:r w:rsidR="0009333A">
        <w:t xml:space="preserve"> </w:t>
      </w:r>
    </w:p>
    <w:p w14:paraId="6770D616" w14:textId="5085A6EE" w:rsidR="001D6456" w:rsidRPr="00C05267" w:rsidRDefault="00647F7A" w:rsidP="00336B48">
      <w:pPr>
        <w:jc w:val="both"/>
        <w:rPr>
          <w:u w:val="single"/>
        </w:rPr>
      </w:pPr>
      <w:r>
        <w:t>However</w:t>
      </w:r>
      <w:r w:rsidR="001710EF">
        <w:t>,</w:t>
      </w:r>
      <w:r>
        <w:t xml:space="preserve"> t</w:t>
      </w:r>
      <w:r w:rsidR="0095279E">
        <w:t>he existence of</w:t>
      </w:r>
      <w:r w:rsidR="00603C70">
        <w:t xml:space="preserve"> new or abandoned sacred spaces could bring into question </w:t>
      </w:r>
      <w:r w:rsidR="00F832D1">
        <w:t xml:space="preserve">Eliade’s theory of </w:t>
      </w:r>
      <w:proofErr w:type="spellStart"/>
      <w:r w:rsidR="0095279E">
        <w:t>h</w:t>
      </w:r>
      <w:r w:rsidR="00424099">
        <w:t>ie</w:t>
      </w:r>
      <w:r w:rsidR="0095279E">
        <w:t>rophanies</w:t>
      </w:r>
      <w:proofErr w:type="spellEnd"/>
      <w:r w:rsidR="0095279E">
        <w:t xml:space="preserve">. It is worth acknowledging the </w:t>
      </w:r>
      <w:r w:rsidR="00C05267">
        <w:t>gap</w:t>
      </w:r>
      <w:r w:rsidR="0095279E" w:rsidRPr="001E0DDF">
        <w:t xml:space="preserve"> within Eliade’s work</w:t>
      </w:r>
      <w:r w:rsidR="0095279E">
        <w:t xml:space="preserve"> which fail</w:t>
      </w:r>
      <w:r w:rsidR="00D22EB1">
        <w:t>s</w:t>
      </w:r>
      <w:r w:rsidR="0095279E">
        <w:t xml:space="preserve"> to fully outline why humans may engage with </w:t>
      </w:r>
      <w:r w:rsidR="00F832D1">
        <w:t xml:space="preserve">‘discovered’ </w:t>
      </w:r>
      <w:r w:rsidR="0095279E">
        <w:t xml:space="preserve">new spaces or disengage with established </w:t>
      </w:r>
      <w:r w:rsidR="00F832D1">
        <w:t>ones</w:t>
      </w:r>
      <w:r w:rsidR="0095279E">
        <w:t xml:space="preserve">. </w:t>
      </w:r>
      <w:r w:rsidR="00F832D1">
        <w:t>The discovery of</w:t>
      </w:r>
      <w:r w:rsidR="00F832D1" w:rsidRPr="001E0DDF">
        <w:t xml:space="preserve"> new sacred spaces </w:t>
      </w:r>
      <w:r w:rsidR="00F832D1">
        <w:t>through</w:t>
      </w:r>
      <w:r w:rsidR="00F832D1" w:rsidRPr="001E0DDF">
        <w:t xml:space="preserve"> religious </w:t>
      </w:r>
      <w:r w:rsidR="00F832D1">
        <w:t xml:space="preserve">experiences and conversions, leads </w:t>
      </w:r>
      <w:r w:rsidR="0095279E" w:rsidRPr="001E0DDF">
        <w:t xml:space="preserve">Pfister </w:t>
      </w:r>
      <w:r w:rsidR="00F832D1">
        <w:t xml:space="preserve">to </w:t>
      </w:r>
      <w:r w:rsidR="0095279E" w:rsidRPr="001E0DDF">
        <w:t xml:space="preserve">argue that Eliade’s theories of sacred space </w:t>
      </w:r>
      <w:r w:rsidR="0095279E">
        <w:t>are</w:t>
      </w:r>
      <w:r w:rsidR="0095279E" w:rsidRPr="001E0DDF">
        <w:t xml:space="preserve"> too reductive</w:t>
      </w:r>
      <w:r w:rsidR="001D5B72">
        <w:t>.</w:t>
      </w:r>
      <w:r w:rsidR="00F832D1">
        <w:rPr>
          <w:rStyle w:val="FootnoteReference"/>
        </w:rPr>
        <w:t>.</w:t>
      </w:r>
      <w:r w:rsidR="0095279E">
        <w:rPr>
          <w:rStyle w:val="FootnoteReference"/>
        </w:rPr>
        <w:footnoteReference w:id="30"/>
      </w:r>
      <w:r w:rsidR="0095279E" w:rsidRPr="001E0DDF">
        <w:t xml:space="preserve"> </w:t>
      </w:r>
      <w:r w:rsidR="007A1B24">
        <w:t>Eliade’s theories are heavily critiqued, due to his often-unclear style of writing.</w:t>
      </w:r>
      <w:r w:rsidR="007A1B24">
        <w:rPr>
          <w:rStyle w:val="FootnoteReference"/>
        </w:rPr>
        <w:footnoteReference w:id="31"/>
      </w:r>
      <w:r w:rsidR="007A1B24">
        <w:t xml:space="preserve"> It is however </w:t>
      </w:r>
      <w:r w:rsidR="00275198">
        <w:t xml:space="preserve">important to be aware of the </w:t>
      </w:r>
      <w:r w:rsidR="00C05267">
        <w:t>“’Eliade Bashing’ becoming something of a fashionable sport</w:t>
      </w:r>
      <w:r w:rsidR="00826EF6">
        <w:t>…</w:t>
      </w:r>
      <w:r w:rsidR="00C05267">
        <w:t>”</w:t>
      </w:r>
      <w:r w:rsidR="00C05267">
        <w:rPr>
          <w:rStyle w:val="FootnoteReference"/>
        </w:rPr>
        <w:footnoteReference w:id="32"/>
      </w:r>
      <w:r w:rsidR="00275198">
        <w:t>which has at time</w:t>
      </w:r>
      <w:r>
        <w:t>s</w:t>
      </w:r>
      <w:r w:rsidR="00275198">
        <w:t xml:space="preserve"> led to his theories being</w:t>
      </w:r>
      <w:r w:rsidR="008F6D23">
        <w:t xml:space="preserve"> unnecessarily</w:t>
      </w:r>
      <w:r w:rsidR="00275198">
        <w:t xml:space="preserve"> overlooked.</w:t>
      </w:r>
      <w:r w:rsidR="00826EF6">
        <w:t xml:space="preserve"> </w:t>
      </w:r>
      <w:r w:rsidR="0095279E">
        <w:t>Eliade does successfully outline</w:t>
      </w:r>
      <w:r w:rsidR="002021DE">
        <w:t xml:space="preserve"> that cultural and religious background inform</w:t>
      </w:r>
      <w:r>
        <w:t>s</w:t>
      </w:r>
      <w:r w:rsidR="002021DE">
        <w:t xml:space="preserve"> an individual’s “awareness of a miracle”</w:t>
      </w:r>
      <w:r w:rsidR="002021DE">
        <w:rPr>
          <w:rStyle w:val="FootnoteReference"/>
        </w:rPr>
        <w:footnoteReference w:id="33"/>
      </w:r>
      <w:r w:rsidR="002021DE">
        <w:t xml:space="preserve"> or lack thereof</w:t>
      </w:r>
      <w:r w:rsidR="002A5FDE">
        <w:t>. This goes some way to explain how</w:t>
      </w:r>
      <w:r w:rsidR="0095279E">
        <w:t xml:space="preserve"> </w:t>
      </w:r>
      <w:proofErr w:type="spellStart"/>
      <w:r w:rsidR="0095279E">
        <w:t>heirophanies</w:t>
      </w:r>
      <w:proofErr w:type="spellEnd"/>
      <w:r w:rsidR="0095279E">
        <w:t xml:space="preserve"> may be missed or misinterpreted as profane</w:t>
      </w:r>
      <w:r w:rsidR="00211FA6">
        <w:t xml:space="preserve"> by different groups of people</w:t>
      </w:r>
      <w:r w:rsidR="0095279E">
        <w:t>.</w:t>
      </w:r>
      <w:r w:rsidR="002A5FDE">
        <w:t xml:space="preserve"> </w:t>
      </w:r>
      <w:r>
        <w:t xml:space="preserve">In contrast, </w:t>
      </w:r>
      <w:r w:rsidR="0095279E" w:rsidRPr="001E0DDF">
        <w:t xml:space="preserve">Durkheim’s </w:t>
      </w:r>
      <w:r w:rsidR="0095279E">
        <w:t xml:space="preserve">focus on </w:t>
      </w:r>
      <w:r w:rsidR="002A5FDE">
        <w:t xml:space="preserve">understanding the behaviours of </w:t>
      </w:r>
      <w:r w:rsidR="0095279E">
        <w:t>society may</w:t>
      </w:r>
      <w:r w:rsidR="002A5FDE">
        <w:t xml:space="preserve"> then be</w:t>
      </w:r>
      <w:r w:rsidR="0095279E">
        <w:t xml:space="preserve"> </w:t>
      </w:r>
      <w:r w:rsidR="002A5FDE">
        <w:t xml:space="preserve">useful in </w:t>
      </w:r>
      <w:r w:rsidR="0095279E">
        <w:t xml:space="preserve">gaining a full understanding of </w:t>
      </w:r>
      <w:r w:rsidR="0095279E" w:rsidRPr="001E0DDF">
        <w:t>sacred space</w:t>
      </w:r>
      <w:r>
        <w:t>.</w:t>
      </w:r>
      <w:r w:rsidR="0095279E">
        <w:rPr>
          <w:rStyle w:val="FootnoteReference"/>
        </w:rPr>
        <w:footnoteReference w:id="34"/>
      </w:r>
      <w:r w:rsidR="002A5FDE">
        <w:t xml:space="preserve"> </w:t>
      </w:r>
      <w:r w:rsidR="002A0B96">
        <w:t>Durkheim emphasises human agency within sacred spaces, meaning sacred spaces are a “force…entirely human and social and earthly.”</w:t>
      </w:r>
      <w:r w:rsidR="002A0B96">
        <w:rPr>
          <w:rStyle w:val="FootnoteReference"/>
        </w:rPr>
        <w:footnoteReference w:id="35"/>
      </w:r>
      <w:r w:rsidR="002A0B96">
        <w:t xml:space="preserve"> In centring sacred spaces on humanity, the creating of new sacred spaces or the abandonment of old spaces can be explained within the constructs of social development. </w:t>
      </w:r>
    </w:p>
    <w:p w14:paraId="6C1BA830" w14:textId="110344AF" w:rsidR="00C011D9" w:rsidRPr="007313E2" w:rsidRDefault="00FE6431" w:rsidP="00336B48">
      <w:pPr>
        <w:jc w:val="both"/>
      </w:pPr>
      <w:r>
        <w:lastRenderedPageBreak/>
        <w:t xml:space="preserve">Eliade’s theory of </w:t>
      </w:r>
      <w:proofErr w:type="spellStart"/>
      <w:r>
        <w:t>hierophanies</w:t>
      </w:r>
      <w:proofErr w:type="spellEnd"/>
      <w:r>
        <w:t xml:space="preserve"> becomes stronger through his expl</w:t>
      </w:r>
      <w:r w:rsidR="003E2EE8">
        <w:t>or</w:t>
      </w:r>
      <w:r>
        <w:t>ation</w:t>
      </w:r>
      <w:r w:rsidR="003E2EE8">
        <w:t xml:space="preserve"> </w:t>
      </w:r>
      <w:r w:rsidR="00026C8C">
        <w:t xml:space="preserve">of </w:t>
      </w:r>
      <w:r w:rsidR="00B66E20">
        <w:t xml:space="preserve">sacred space through </w:t>
      </w:r>
      <w:r w:rsidR="003E2EE8">
        <w:t>the concept of an individual’s “private universe</w:t>
      </w:r>
      <w:r>
        <w:t>.</w:t>
      </w:r>
      <w:r w:rsidR="003E2EE8">
        <w:t>”</w:t>
      </w:r>
      <w:r w:rsidR="00321EEB">
        <w:rPr>
          <w:rStyle w:val="FootnoteReference"/>
        </w:rPr>
        <w:footnoteReference w:id="36"/>
      </w:r>
      <w:r w:rsidR="00B66E20">
        <w:t xml:space="preserve"> </w:t>
      </w:r>
      <w:proofErr w:type="spellStart"/>
      <w:r w:rsidR="00A85477">
        <w:t>H</w:t>
      </w:r>
      <w:r w:rsidR="00040FD7">
        <w:t>ierophanies</w:t>
      </w:r>
      <w:proofErr w:type="spellEnd"/>
      <w:r w:rsidR="00040FD7">
        <w:t xml:space="preserve"> </w:t>
      </w:r>
      <w:r w:rsidR="00A85477">
        <w:t>“retain an exceptional…unique quality</w:t>
      </w:r>
      <w:r w:rsidR="00D8180A">
        <w:t>…</w:t>
      </w:r>
      <w:r w:rsidR="00A85477">
        <w:t>”</w:t>
      </w:r>
      <w:r w:rsidR="00DB6F6E">
        <w:t xml:space="preserve"> impact</w:t>
      </w:r>
      <w:r w:rsidR="00647F7A">
        <w:t>ful</w:t>
      </w:r>
      <w:r w:rsidR="00DB6F6E">
        <w:t xml:space="preserve"> even for “…the most frankly nonreligious.”</w:t>
      </w:r>
      <w:r w:rsidR="00321EEB">
        <w:rPr>
          <w:rStyle w:val="FootnoteReference"/>
        </w:rPr>
        <w:footnoteReference w:id="37"/>
      </w:r>
      <w:r w:rsidR="00DB6F6E">
        <w:t xml:space="preserve"> </w:t>
      </w:r>
      <w:r>
        <w:t xml:space="preserve">In removing </w:t>
      </w:r>
      <w:r w:rsidR="001F66D0">
        <w:t>religious belief as a necessary component to experiencing sacred space, Eliade goes</w:t>
      </w:r>
      <w:r w:rsidR="003E2EE8">
        <w:t xml:space="preserve"> beyond cultural and religious background into one of sacred power outside of human control</w:t>
      </w:r>
      <w:r w:rsidR="00C40053">
        <w:t xml:space="preserve"> and societal creation</w:t>
      </w:r>
      <w:r w:rsidR="003E2EE8">
        <w:t xml:space="preserve">. Interestingly Eliade uses examples of life experiences such as birth, love and visiting a new city as personalised sacred phenomena. Though these are usually not linked to overtly sacred geographical locations, his theory </w:t>
      </w:r>
      <w:r w:rsidR="001F66D0">
        <w:t>opens</w:t>
      </w:r>
      <w:r w:rsidR="003E2EE8">
        <w:t xml:space="preserve"> the potential links to astrological/cosmological </w:t>
      </w:r>
      <w:proofErr w:type="spellStart"/>
      <w:r w:rsidR="003E2EE8">
        <w:t>hierophanies</w:t>
      </w:r>
      <w:proofErr w:type="spellEnd"/>
      <w:r w:rsidR="003E2EE8">
        <w:t xml:space="preserve"> forming in skyscapes, based upon our planet’s changing position, which may account for seemingly moving/fleeting </w:t>
      </w:r>
      <w:proofErr w:type="spellStart"/>
      <w:r w:rsidR="003E2EE8">
        <w:t>hierophanies</w:t>
      </w:r>
      <w:proofErr w:type="spellEnd"/>
      <w:r w:rsidR="003E2EE8">
        <w:t xml:space="preserve">. </w:t>
      </w:r>
      <w:r w:rsidR="000D1FE5">
        <w:t xml:space="preserve">Durkheim however places little to no value on the role of the individual within sacred space. </w:t>
      </w:r>
      <w:r w:rsidR="00F94D38" w:rsidRPr="00F94D38">
        <w:t xml:space="preserve">Drawing on his ethnographical research and inspiration from Karl Marx, Durkheim established that individuals </w:t>
      </w:r>
      <w:r w:rsidR="00647F7A">
        <w:t>a</w:t>
      </w:r>
      <w:r w:rsidR="00F94D38" w:rsidRPr="00F94D38">
        <w:t>re merely a part of society, with their actions predictable and inevitable</w:t>
      </w:r>
      <w:r w:rsidR="00E12D26">
        <w:t>.</w:t>
      </w:r>
      <w:r w:rsidR="00F94D38" w:rsidRPr="00F94D38">
        <w:rPr>
          <w:rStyle w:val="FootnoteReference"/>
        </w:rPr>
        <w:t xml:space="preserve"> </w:t>
      </w:r>
      <w:bookmarkStart w:id="6" w:name="_Hlk151968601"/>
      <w:r w:rsidR="00F94D38" w:rsidRPr="00F94D38">
        <w:rPr>
          <w:rStyle w:val="FootnoteReference"/>
        </w:rPr>
        <w:footnoteReference w:id="38"/>
      </w:r>
      <w:r w:rsidR="00F94D38" w:rsidRPr="00F94D38">
        <w:t xml:space="preserve"> </w:t>
      </w:r>
      <w:bookmarkEnd w:id="6"/>
      <w:r w:rsidR="002067BA">
        <w:t xml:space="preserve">It could be considered that </w:t>
      </w:r>
      <w:r w:rsidR="001F66D0">
        <w:t>Durkheim</w:t>
      </w:r>
      <w:r w:rsidR="00961882">
        <w:t xml:space="preserve">’s approach is too rigid, </w:t>
      </w:r>
      <w:r w:rsidR="000D1FE5">
        <w:t>only acknowledging experiences within the strict confines of human</w:t>
      </w:r>
      <w:r w:rsidR="007744B3">
        <w:t>-</w:t>
      </w:r>
      <w:r w:rsidR="000D1FE5">
        <w:t xml:space="preserve">built sacred spaces maintained by </w:t>
      </w:r>
      <w:r w:rsidR="00961882">
        <w:t>active communities</w:t>
      </w:r>
      <w:r w:rsidR="000D1FE5">
        <w:t xml:space="preserve"> </w:t>
      </w:r>
      <w:r w:rsidR="00961882">
        <w:t xml:space="preserve">through </w:t>
      </w:r>
      <w:r w:rsidR="000D1FE5">
        <w:t>repeated ritual action</w:t>
      </w:r>
      <w:r w:rsidR="00961882">
        <w:t xml:space="preserve">. </w:t>
      </w:r>
      <w:r w:rsidR="00E12D26">
        <w:t xml:space="preserve">He </w:t>
      </w:r>
      <w:r w:rsidR="000D1FE5">
        <w:t xml:space="preserve">ignores the experiences of humanity which may be considered sacred on an individual level and </w:t>
      </w:r>
      <w:r w:rsidR="00727CC9">
        <w:t xml:space="preserve">which </w:t>
      </w:r>
      <w:r w:rsidR="000D1FE5">
        <w:t>blur the line of sacred and profane.</w:t>
      </w:r>
      <w:r w:rsidR="000D1FE5" w:rsidRPr="002734BC">
        <w:rPr>
          <w:rStyle w:val="FootnoteReference"/>
        </w:rPr>
        <w:t xml:space="preserve"> </w:t>
      </w:r>
      <w:r w:rsidR="000D1FE5">
        <w:rPr>
          <w:rStyle w:val="FootnoteReference"/>
        </w:rPr>
        <w:footnoteReference w:id="39"/>
      </w:r>
      <w:r w:rsidR="000D1FE5">
        <w:t xml:space="preserve"> </w:t>
      </w:r>
      <w:r w:rsidR="003D1AE6">
        <w:t xml:space="preserve">Durkheim’s focus on human experience and agency in sacred space can lead to </w:t>
      </w:r>
      <w:r w:rsidR="007744B3">
        <w:t xml:space="preserve">a </w:t>
      </w:r>
      <w:r w:rsidR="003D1AE6">
        <w:t>lack of balance within his work.</w:t>
      </w:r>
      <w:r w:rsidR="00524A9B">
        <w:t xml:space="preserve"> </w:t>
      </w:r>
    </w:p>
    <w:p w14:paraId="3207861B" w14:textId="3FFF2898" w:rsidR="00687AA5" w:rsidRDefault="004535BE" w:rsidP="00336B48">
      <w:pPr>
        <w:jc w:val="both"/>
      </w:pPr>
      <w:r>
        <w:t xml:space="preserve">A significant contrast with Durkheim and Eliade’s </w:t>
      </w:r>
      <w:r w:rsidR="00727CC9">
        <w:t>views</w:t>
      </w:r>
      <w:r>
        <w:t xml:space="preserve"> of sacred spaces is in their </w:t>
      </w:r>
      <w:r w:rsidR="007744B3">
        <w:t xml:space="preserve">ideas of </w:t>
      </w:r>
      <w:r>
        <w:t xml:space="preserve">permanence or impermanence. </w:t>
      </w:r>
      <w:r w:rsidR="00DE7001">
        <w:t>Durkheim and Eliade both acknowledge that t</w:t>
      </w:r>
      <w:r w:rsidR="00DE7001" w:rsidRPr="00E25CFC">
        <w:t>he physical attributes of space and landscape far outlast those of the human experience held within the mind</w:t>
      </w:r>
      <w:r w:rsidR="00DE7001">
        <w:t>.</w:t>
      </w:r>
      <w:r w:rsidR="00DE7001" w:rsidRPr="00E25CFC">
        <w:t xml:space="preserve"> </w:t>
      </w:r>
      <w:r w:rsidR="00DE7001">
        <w:t>T</w:t>
      </w:r>
      <w:r w:rsidR="00DE7001" w:rsidRPr="00E25CFC">
        <w:t>he significance of this</w:t>
      </w:r>
      <w:r w:rsidR="00DE7001">
        <w:t xml:space="preserve"> however</w:t>
      </w:r>
      <w:r w:rsidR="00DE7001" w:rsidRPr="00E25CFC">
        <w:t xml:space="preserve"> is framed differently by both. For Durkheim, </w:t>
      </w:r>
      <w:r w:rsidR="009E0254">
        <w:t xml:space="preserve">as sacredness comes directly </w:t>
      </w:r>
      <w:r w:rsidR="00AC7CBE">
        <w:t xml:space="preserve">from </w:t>
      </w:r>
      <w:r w:rsidR="009E0254">
        <w:t>within humans</w:t>
      </w:r>
      <w:r w:rsidR="00890284">
        <w:t>,</w:t>
      </w:r>
      <w:r w:rsidR="007C19BB">
        <w:rPr>
          <w:rStyle w:val="FootnoteReference"/>
        </w:rPr>
        <w:footnoteReference w:id="40"/>
      </w:r>
      <w:r w:rsidR="007C19BB">
        <w:t xml:space="preserve"> </w:t>
      </w:r>
      <w:r w:rsidR="00890284">
        <w:t>t</w:t>
      </w:r>
      <w:r w:rsidR="00DE7001" w:rsidRPr="00E25CFC">
        <w:t xml:space="preserve">he more permanent nature of landscape compared to </w:t>
      </w:r>
      <w:r w:rsidR="00A2731E">
        <w:t>a</w:t>
      </w:r>
      <w:r w:rsidR="00DE7001" w:rsidRPr="00E25CFC">
        <w:t xml:space="preserve"> fleeting </w:t>
      </w:r>
      <w:r w:rsidR="00DE7001">
        <w:t>human</w:t>
      </w:r>
      <w:r w:rsidR="00DE7001" w:rsidRPr="00E25CFC">
        <w:t xml:space="preserve"> experience, means that the landscape cannot retain the </w:t>
      </w:r>
      <w:r w:rsidR="00B4335B">
        <w:t xml:space="preserve">human </w:t>
      </w:r>
      <w:r w:rsidR="00DE7001" w:rsidRPr="00E25CFC">
        <w:t xml:space="preserve">sacredness created </w:t>
      </w:r>
      <w:r w:rsidR="00B4335B">
        <w:t xml:space="preserve">there </w:t>
      </w:r>
      <w:r w:rsidR="00DE7001">
        <w:t>without repetition of ritual action</w:t>
      </w:r>
      <w:r w:rsidR="007744B3">
        <w:t>.</w:t>
      </w:r>
      <w:r w:rsidR="00DE7001">
        <w:rPr>
          <w:rStyle w:val="FootnoteReference"/>
        </w:rPr>
        <w:footnoteReference w:id="41"/>
      </w:r>
      <w:r w:rsidR="00DE7001" w:rsidRPr="00E25CFC">
        <w:t xml:space="preserve">For Eliade however, as the sacredness bursts out of the space itself, the sacredness is </w:t>
      </w:r>
      <w:r w:rsidR="00454198">
        <w:t xml:space="preserve">permanent and holds reality, </w:t>
      </w:r>
      <w:r w:rsidR="00DE7001" w:rsidRPr="00E25CFC">
        <w:t>outside of the profane time, whether humans are there to experience it or not.</w:t>
      </w:r>
      <w:r w:rsidR="00DE7001">
        <w:rPr>
          <w:rStyle w:val="FootnoteReference"/>
        </w:rPr>
        <w:footnoteReference w:id="42"/>
      </w:r>
      <w:r w:rsidR="00DE7001" w:rsidRPr="00E25CFC">
        <w:t xml:space="preserve"> </w:t>
      </w:r>
      <w:proofErr w:type="spellStart"/>
      <w:r>
        <w:t>Oyelade</w:t>
      </w:r>
      <w:proofErr w:type="spellEnd"/>
      <w:r w:rsidR="00862867">
        <w:rPr>
          <w:rStyle w:val="FootnoteReference"/>
        </w:rPr>
        <w:footnoteReference w:id="43"/>
      </w:r>
      <w:r>
        <w:t xml:space="preserve"> uses the example of wine in </w:t>
      </w:r>
      <w:r w:rsidR="00F13466">
        <w:t>C</w:t>
      </w:r>
      <w:r>
        <w:t>atholic Holy Communion</w:t>
      </w:r>
      <w:r w:rsidR="007744B3">
        <w:t>;</w:t>
      </w:r>
      <w:r>
        <w:t xml:space="preserve"> the wine of itself is not sacred, it is only when the ritualised actions of humans are performed that it is then transformed in this way. </w:t>
      </w:r>
      <w:r w:rsidR="007744B3">
        <w:t>F</w:t>
      </w:r>
      <w:r>
        <w:t>or Durkheim</w:t>
      </w:r>
      <w:r w:rsidR="007744B3">
        <w:t>, this</w:t>
      </w:r>
      <w:r>
        <w:t xml:space="preserve"> is also true of space</w:t>
      </w:r>
      <w:r w:rsidR="007744B3">
        <w:t>;</w:t>
      </w:r>
      <w:r>
        <w:t xml:space="preserve"> each element making up a space must be ritualistically imbued with sacredness </w:t>
      </w:r>
      <w:proofErr w:type="gramStart"/>
      <w:r>
        <w:t>in order for</w:t>
      </w:r>
      <w:proofErr w:type="gramEnd"/>
      <w:r>
        <w:t xml:space="preserve"> the space to become and maintain its sacredness.</w:t>
      </w:r>
      <w:r>
        <w:rPr>
          <w:rStyle w:val="FootnoteReference"/>
        </w:rPr>
        <w:footnoteReference w:id="44"/>
      </w:r>
      <w:r w:rsidR="00021FE7">
        <w:t xml:space="preserve"> The significance of understanding scared spaces to be permanent or impermanent </w:t>
      </w:r>
      <w:r w:rsidR="00E560E3">
        <w:t>cannot be understated</w:t>
      </w:r>
      <w:r w:rsidR="007744B3">
        <w:t>,</w:t>
      </w:r>
      <w:r w:rsidR="00E560E3">
        <w:t xml:space="preserve"> as it speaks to the source of sacredness</w:t>
      </w:r>
      <w:r w:rsidR="00F41DF5">
        <w:t xml:space="preserve"> and</w:t>
      </w:r>
      <w:r w:rsidR="00E560E3">
        <w:t xml:space="preserve"> </w:t>
      </w:r>
      <w:r w:rsidR="00524872">
        <w:t xml:space="preserve">its power. </w:t>
      </w:r>
      <w:r w:rsidR="00687AA5" w:rsidRPr="00524872">
        <w:t>Durkheim expresses that “…religious worlds…are neither wonderful nor wrong but simply reflect any of the sacred values humans choose to express...”</w:t>
      </w:r>
      <w:r w:rsidR="00687AA5" w:rsidRPr="00862867">
        <w:rPr>
          <w:rStyle w:val="FootnoteReference"/>
        </w:rPr>
        <w:footnoteReference w:id="45"/>
      </w:r>
      <w:r w:rsidR="00524872">
        <w:t xml:space="preserve"> </w:t>
      </w:r>
      <w:r w:rsidR="007744B3">
        <w:t>p</w:t>
      </w:r>
      <w:r w:rsidR="00525E41">
        <w:t xml:space="preserve">roviding humans with far too much power and the rest of the world </w:t>
      </w:r>
      <w:r w:rsidR="00F41DF5">
        <w:lastRenderedPageBreak/>
        <w:t xml:space="preserve">with </w:t>
      </w:r>
      <w:r w:rsidR="00525E41">
        <w:t>none</w:t>
      </w:r>
      <w:r w:rsidR="00F41DF5">
        <w:t xml:space="preserve">. </w:t>
      </w:r>
      <w:r w:rsidR="00B82E5C">
        <w:t xml:space="preserve">Eliade provides </w:t>
      </w:r>
      <w:r w:rsidR="00F41DF5">
        <w:t xml:space="preserve">more </w:t>
      </w:r>
      <w:r w:rsidR="00B82E5C">
        <w:t xml:space="preserve">balance, not undermining how scared spaces </w:t>
      </w:r>
      <w:r w:rsidR="00F5434F">
        <w:t xml:space="preserve">themselves </w:t>
      </w:r>
      <w:r w:rsidR="00B82E5C">
        <w:t xml:space="preserve">may </w:t>
      </w:r>
      <w:r w:rsidR="00F5434F">
        <w:t>influence</w:t>
      </w:r>
      <w:r w:rsidR="00B82E5C">
        <w:t xml:space="preserve"> or communicate with people</w:t>
      </w:r>
      <w:r w:rsidR="00F5434F">
        <w:t xml:space="preserve"> and </w:t>
      </w:r>
      <w:r w:rsidR="00902100">
        <w:t xml:space="preserve">placing power firmly outside of human control. </w:t>
      </w:r>
    </w:p>
    <w:p w14:paraId="77F39D55" w14:textId="69316269" w:rsidR="00972B02" w:rsidRPr="00A35A7C" w:rsidRDefault="00C94D3B" w:rsidP="00336B48">
      <w:pPr>
        <w:jc w:val="both"/>
        <w:rPr>
          <w:highlight w:val="yellow"/>
        </w:rPr>
      </w:pPr>
      <w:r>
        <w:t>To conclude</w:t>
      </w:r>
      <w:r w:rsidR="007744B3">
        <w:t>,</w:t>
      </w:r>
      <w:r>
        <w:t xml:space="preserve"> Durkheim and Eliade in many ways represent two sides of the same argument</w:t>
      </w:r>
      <w:r w:rsidR="00F5434F">
        <w:t>.</w:t>
      </w:r>
      <w:r>
        <w:t xml:space="preserve"> </w:t>
      </w:r>
      <w:r w:rsidR="00F5434F">
        <w:t>T</w:t>
      </w:r>
      <w:r>
        <w:t xml:space="preserve">hey share similarities in language and have a </w:t>
      </w:r>
      <w:r w:rsidR="007744B3">
        <w:t>comparable</w:t>
      </w:r>
      <w:r>
        <w:t xml:space="preserve"> understanding of the features of a sacred space.</w:t>
      </w:r>
      <w:r w:rsidR="00F5434F">
        <w:t xml:space="preserve"> I</w:t>
      </w:r>
      <w:r>
        <w:t xml:space="preserve">t is </w:t>
      </w:r>
      <w:r w:rsidR="00F5434F">
        <w:t xml:space="preserve">however </w:t>
      </w:r>
      <w:r>
        <w:t xml:space="preserve">in the underlying creation of these spaces and the connection with humanity that their theories </w:t>
      </w:r>
      <w:r w:rsidR="000F7EF8">
        <w:t>diverge</w:t>
      </w:r>
      <w:r>
        <w:t>. In trying to define and outline sacred space both Durkheim and Eliade are at times accused of being reductive.</w:t>
      </w:r>
      <w:r w:rsidR="00460561" w:rsidRPr="001951D3">
        <w:rPr>
          <w:rStyle w:val="FootnoteReference"/>
        </w:rPr>
        <w:footnoteReference w:id="46"/>
      </w:r>
      <w:r w:rsidR="00460561">
        <w:t xml:space="preserve"> </w:t>
      </w:r>
      <w:r>
        <w:t>This</w:t>
      </w:r>
      <w:r w:rsidR="00BF6B2C">
        <w:t>,</w:t>
      </w:r>
      <w:r>
        <w:t xml:space="preserve"> to some extent</w:t>
      </w:r>
      <w:r w:rsidR="00BF6B2C">
        <w:t>,</w:t>
      </w:r>
      <w:r>
        <w:t xml:space="preserve"> is a necessity within both of their theories </w:t>
      </w:r>
      <w:proofErr w:type="gramStart"/>
      <w:r>
        <w:t>in order to</w:t>
      </w:r>
      <w:proofErr w:type="gramEnd"/>
      <w:r>
        <w:t xml:space="preserve"> examine the complexities of sacred spaces, their origins and the wide variety of collective and individual human experiences which take place there. Without this</w:t>
      </w:r>
      <w:r w:rsidR="00BF6B2C">
        <w:t xml:space="preserve"> </w:t>
      </w:r>
      <w:proofErr w:type="spellStart"/>
      <w:r w:rsidR="00BF6B2C">
        <w:t>reductiveness</w:t>
      </w:r>
      <w:proofErr w:type="spellEnd"/>
      <w:r>
        <w:t xml:space="preserve">, both Durkheim and Eliade’s theories would lose their clarity. Though Eliade and Durkheim’s theories contrast in many ways, considering them together offers an opportunity to fill the gaps for each other, allowing them to complement each other’s theories for a more complete view of the possibilities of sacred </w:t>
      </w:r>
      <w:r w:rsidRPr="00862867">
        <w:t xml:space="preserve">space. </w:t>
      </w:r>
    </w:p>
    <w:p w14:paraId="6453E532" w14:textId="77777777" w:rsidR="0091380B" w:rsidRDefault="0091380B">
      <w:pPr>
        <w:rPr>
          <w:u w:val="single"/>
        </w:rPr>
      </w:pPr>
    </w:p>
    <w:p w14:paraId="7EACEAB9" w14:textId="6549140B" w:rsidR="009707F5" w:rsidRDefault="005F0642">
      <w:pPr>
        <w:rPr>
          <w:u w:val="single"/>
        </w:rPr>
      </w:pPr>
      <w:r>
        <w:rPr>
          <w:u w:val="single"/>
        </w:rPr>
        <w:t xml:space="preserve">Word Count: </w:t>
      </w:r>
      <w:r w:rsidR="00450EFD">
        <w:rPr>
          <w:u w:val="single"/>
        </w:rPr>
        <w:t>2301</w:t>
      </w:r>
    </w:p>
    <w:p w14:paraId="20E495D4" w14:textId="77777777" w:rsidR="005F0642" w:rsidRDefault="005F0642">
      <w:pPr>
        <w:rPr>
          <w:u w:val="single"/>
        </w:rPr>
      </w:pPr>
    </w:p>
    <w:p w14:paraId="570C8BDD" w14:textId="77777777" w:rsidR="005F0642" w:rsidRDefault="005F0642">
      <w:pPr>
        <w:rPr>
          <w:u w:val="single"/>
        </w:rPr>
      </w:pPr>
    </w:p>
    <w:p w14:paraId="1F7CC7BF" w14:textId="77777777" w:rsidR="005F0642" w:rsidRDefault="005F0642">
      <w:pPr>
        <w:rPr>
          <w:u w:val="single"/>
        </w:rPr>
      </w:pPr>
    </w:p>
    <w:p w14:paraId="6D9EA92D" w14:textId="77777777" w:rsidR="005F0642" w:rsidRDefault="005F0642">
      <w:pPr>
        <w:rPr>
          <w:u w:val="single"/>
        </w:rPr>
      </w:pPr>
    </w:p>
    <w:p w14:paraId="2A2D31BB" w14:textId="77777777" w:rsidR="005F0642" w:rsidRDefault="005F0642">
      <w:pPr>
        <w:rPr>
          <w:u w:val="single"/>
        </w:rPr>
      </w:pPr>
    </w:p>
    <w:p w14:paraId="119292F4" w14:textId="77777777" w:rsidR="005F0642" w:rsidRDefault="005F0642">
      <w:pPr>
        <w:rPr>
          <w:u w:val="single"/>
        </w:rPr>
      </w:pPr>
    </w:p>
    <w:p w14:paraId="3C2CE3BA" w14:textId="77777777" w:rsidR="005F0642" w:rsidRDefault="005F0642">
      <w:pPr>
        <w:rPr>
          <w:u w:val="single"/>
        </w:rPr>
      </w:pPr>
    </w:p>
    <w:p w14:paraId="420B16A6" w14:textId="77777777" w:rsidR="005F0642" w:rsidRDefault="005F0642">
      <w:pPr>
        <w:rPr>
          <w:u w:val="single"/>
        </w:rPr>
      </w:pPr>
    </w:p>
    <w:p w14:paraId="031C0EB9" w14:textId="77777777" w:rsidR="005F0642" w:rsidRDefault="005F0642">
      <w:pPr>
        <w:rPr>
          <w:u w:val="single"/>
        </w:rPr>
      </w:pPr>
    </w:p>
    <w:p w14:paraId="13B6B42E" w14:textId="77777777" w:rsidR="005F0642" w:rsidRDefault="005F0642">
      <w:pPr>
        <w:rPr>
          <w:u w:val="single"/>
        </w:rPr>
      </w:pPr>
    </w:p>
    <w:p w14:paraId="05725416" w14:textId="77777777" w:rsidR="005F0642" w:rsidRDefault="005F0642">
      <w:pPr>
        <w:rPr>
          <w:u w:val="single"/>
        </w:rPr>
      </w:pPr>
    </w:p>
    <w:p w14:paraId="27E722EB" w14:textId="77777777" w:rsidR="005F0642" w:rsidRDefault="005F0642">
      <w:pPr>
        <w:rPr>
          <w:u w:val="single"/>
        </w:rPr>
      </w:pPr>
    </w:p>
    <w:p w14:paraId="71774CE3" w14:textId="77777777" w:rsidR="005F0642" w:rsidRDefault="005F0642">
      <w:pPr>
        <w:rPr>
          <w:u w:val="single"/>
        </w:rPr>
      </w:pPr>
    </w:p>
    <w:p w14:paraId="36B0163D" w14:textId="77777777" w:rsidR="009707F5" w:rsidRDefault="009707F5">
      <w:pPr>
        <w:rPr>
          <w:u w:val="single"/>
        </w:rPr>
      </w:pPr>
    </w:p>
    <w:p w14:paraId="1187EECD" w14:textId="77777777" w:rsidR="009707F5" w:rsidRDefault="009707F5">
      <w:pPr>
        <w:rPr>
          <w:u w:val="single"/>
        </w:rPr>
      </w:pPr>
    </w:p>
    <w:p w14:paraId="1FEF2EEC" w14:textId="77777777" w:rsidR="009707F5" w:rsidRDefault="009707F5">
      <w:pPr>
        <w:rPr>
          <w:u w:val="single"/>
        </w:rPr>
      </w:pPr>
    </w:p>
    <w:p w14:paraId="1ACCADA8" w14:textId="77777777" w:rsidR="000F0E7B" w:rsidRDefault="000F0E7B" w:rsidP="009431D3">
      <w:pPr>
        <w:rPr>
          <w:u w:val="single"/>
        </w:rPr>
      </w:pPr>
    </w:p>
    <w:p w14:paraId="5041E564" w14:textId="77777777" w:rsidR="000F0E7B" w:rsidRDefault="000F0E7B" w:rsidP="009431D3">
      <w:pPr>
        <w:rPr>
          <w:u w:val="single"/>
        </w:rPr>
      </w:pPr>
    </w:p>
    <w:p w14:paraId="0FEE2E78" w14:textId="357681C6" w:rsidR="009431D3" w:rsidRDefault="009431D3" w:rsidP="009431D3">
      <w:pPr>
        <w:rPr>
          <w:u w:val="single"/>
        </w:rPr>
      </w:pPr>
      <w:r w:rsidRPr="00507621">
        <w:rPr>
          <w:u w:val="single"/>
        </w:rPr>
        <w:lastRenderedPageBreak/>
        <w:t xml:space="preserve">Bibliography </w:t>
      </w:r>
    </w:p>
    <w:p w14:paraId="3F797DDF" w14:textId="77777777" w:rsidR="009431D3" w:rsidRPr="00CC70C0" w:rsidRDefault="009431D3" w:rsidP="009431D3">
      <w:pPr>
        <w:pStyle w:val="FootnoteText"/>
      </w:pPr>
      <w:r>
        <w:t>Abrudan, Elena, ‘The Odyssey of M. Eliade’s Heroes: A Mediation on Time</w:t>
      </w:r>
      <w:proofErr w:type="gramStart"/>
      <w:r>
        <w:t>’,</w:t>
      </w:r>
      <w:proofErr w:type="gramEnd"/>
      <w:r>
        <w:t xml:space="preserve"> </w:t>
      </w:r>
      <w:r>
        <w:rPr>
          <w:i/>
          <w:iCs/>
        </w:rPr>
        <w:t xml:space="preserve">Journal for the Study of Religions and Ideologies, </w:t>
      </w:r>
      <w:r>
        <w:t>20.60 (2021), pp.62-77</w:t>
      </w:r>
    </w:p>
    <w:p w14:paraId="32DEAA68" w14:textId="77777777" w:rsidR="009431D3" w:rsidRDefault="009431D3" w:rsidP="009431D3">
      <w:pPr>
        <w:pStyle w:val="FootnoteText"/>
      </w:pPr>
    </w:p>
    <w:p w14:paraId="5403F811" w14:textId="3B810180" w:rsidR="009431D3" w:rsidRDefault="009431D3" w:rsidP="002A704D">
      <w:pPr>
        <w:pStyle w:val="FootnoteText"/>
      </w:pPr>
      <w:r>
        <w:t xml:space="preserve">Allen, </w:t>
      </w:r>
      <w:r w:rsidRPr="00D504F1">
        <w:rPr>
          <w:i/>
          <w:iCs/>
        </w:rPr>
        <w:t xml:space="preserve">Explorations in Classical Sociological Theory: Seeing the Social World </w:t>
      </w:r>
      <w:r>
        <w:t>(California: Pine Forge Press, 2005) pp.101-138</w:t>
      </w:r>
    </w:p>
    <w:p w14:paraId="4CFA92CF" w14:textId="77777777" w:rsidR="00CA0829" w:rsidRDefault="00CA0829" w:rsidP="002A704D">
      <w:pPr>
        <w:pStyle w:val="FootnoteText"/>
      </w:pPr>
    </w:p>
    <w:p w14:paraId="051720B8" w14:textId="7B58E2A3" w:rsidR="00CA0829" w:rsidRDefault="00CA0829" w:rsidP="00CA0829">
      <w:pPr>
        <w:pStyle w:val="FootnoteText"/>
      </w:pPr>
      <w:r>
        <w:t>Calvert, A, J, ‘Durham Cathedral can be whatever you want it to be: Examining the negotiation of space and time</w:t>
      </w:r>
      <w:proofErr w:type="gramStart"/>
      <w:r>
        <w:t>’,</w:t>
      </w:r>
      <w:proofErr w:type="gramEnd"/>
      <w:r>
        <w:t xml:space="preserve"> </w:t>
      </w:r>
      <w:r w:rsidRPr="00CA0829">
        <w:rPr>
          <w:i/>
          <w:iCs/>
        </w:rPr>
        <w:t>Ethnography</w:t>
      </w:r>
      <w:r>
        <w:t>, 20.4 (2019) pp.523-540</w:t>
      </w:r>
    </w:p>
    <w:p w14:paraId="5AF506EA" w14:textId="77777777" w:rsidR="00CA0829" w:rsidRPr="002A704D" w:rsidRDefault="00CA0829" w:rsidP="002A704D">
      <w:pPr>
        <w:pStyle w:val="FootnoteText"/>
      </w:pPr>
    </w:p>
    <w:p w14:paraId="37508788" w14:textId="2D5E464C" w:rsidR="009431D3" w:rsidRPr="00EF04F7" w:rsidRDefault="009431D3" w:rsidP="009431D3">
      <w:pPr>
        <w:rPr>
          <w:lang w:val="fr-FR"/>
        </w:rPr>
      </w:pPr>
      <w:r w:rsidRPr="00AA5BE1">
        <w:t xml:space="preserve">Durkheim, Emile, </w:t>
      </w:r>
      <w:r w:rsidRPr="00AA5BE1">
        <w:rPr>
          <w:i/>
          <w:iCs/>
        </w:rPr>
        <w:t>The Elementary Forms of Religious Life</w:t>
      </w:r>
      <w:r w:rsidRPr="00AA5BE1">
        <w:t xml:space="preserve">, trans. </w:t>
      </w:r>
      <w:r w:rsidRPr="00EF04F7">
        <w:rPr>
          <w:lang w:val="fr-FR"/>
        </w:rPr>
        <w:t xml:space="preserve">Karen E. Fields, (New York: Free </w:t>
      </w:r>
      <w:proofErr w:type="spellStart"/>
      <w:r w:rsidRPr="00EF04F7">
        <w:rPr>
          <w:lang w:val="fr-FR"/>
        </w:rPr>
        <w:t>Press</w:t>
      </w:r>
      <w:proofErr w:type="spellEnd"/>
      <w:r w:rsidRPr="00EF04F7">
        <w:rPr>
          <w:lang w:val="fr-FR"/>
        </w:rPr>
        <w:t xml:space="preserve">, 1995) [1st </w:t>
      </w:r>
      <w:proofErr w:type="spellStart"/>
      <w:proofErr w:type="gramStart"/>
      <w:r w:rsidRPr="00EF04F7">
        <w:rPr>
          <w:lang w:val="fr-FR"/>
        </w:rPr>
        <w:t>edn</w:t>
      </w:r>
      <w:proofErr w:type="spellEnd"/>
      <w:r w:rsidRPr="00EF04F7">
        <w:rPr>
          <w:lang w:val="fr-FR"/>
        </w:rPr>
        <w:t>..</w:t>
      </w:r>
      <w:proofErr w:type="gramEnd"/>
      <w:r w:rsidRPr="00EF04F7">
        <w:rPr>
          <w:lang w:val="fr-FR"/>
        </w:rPr>
        <w:t xml:space="preserve">, Les Formes élémentaires de la vie religieuse, Paris; F. Alcan 1912], pp. xliii-li, 8-13, 70-83, </w:t>
      </w:r>
      <w:r w:rsidRPr="002461B9">
        <w:rPr>
          <w:lang w:val="fr-FR"/>
        </w:rPr>
        <w:t>303,</w:t>
      </w:r>
      <w:r w:rsidR="002461B9">
        <w:rPr>
          <w:lang w:val="fr-FR"/>
        </w:rPr>
        <w:t xml:space="preserve"> 423,</w:t>
      </w:r>
      <w:r w:rsidRPr="00EF04F7">
        <w:rPr>
          <w:lang w:val="fr-FR"/>
        </w:rPr>
        <w:t xml:space="preserve"> 440-7.</w:t>
      </w:r>
    </w:p>
    <w:p w14:paraId="68EB6F31" w14:textId="62F1D3E8" w:rsidR="002A704D" w:rsidRPr="00AA5BE1" w:rsidRDefault="002A704D" w:rsidP="009431D3">
      <w:r w:rsidRPr="00ED48D3">
        <w:t>Ebersole, Gary L</w:t>
      </w:r>
      <w:r>
        <w:t>, ‘</w:t>
      </w:r>
      <w:r w:rsidRPr="00ED48D3">
        <w:t>Reconstructing Eliade: Making Sense of Religion. Bryan S. Rennie</w:t>
      </w:r>
      <w:proofErr w:type="gramStart"/>
      <w:r>
        <w:t>’,</w:t>
      </w:r>
      <w:proofErr w:type="gramEnd"/>
      <w:r>
        <w:t xml:space="preserve"> </w:t>
      </w:r>
      <w:r w:rsidRPr="006E46F2">
        <w:rPr>
          <w:i/>
          <w:iCs/>
        </w:rPr>
        <w:t xml:space="preserve">The Journal of </w:t>
      </w:r>
      <w:r>
        <w:rPr>
          <w:i/>
          <w:iCs/>
        </w:rPr>
        <w:t>R</w:t>
      </w:r>
      <w:r w:rsidRPr="006E46F2">
        <w:rPr>
          <w:i/>
          <w:iCs/>
        </w:rPr>
        <w:t>eligion</w:t>
      </w:r>
      <w:r w:rsidRPr="00ED48D3">
        <w:t>, 78</w:t>
      </w:r>
      <w:r>
        <w:t>.</w:t>
      </w:r>
      <w:r w:rsidRPr="00ED48D3">
        <w:t>1</w:t>
      </w:r>
      <w:r>
        <w:t xml:space="preserve"> (1998)</w:t>
      </w:r>
      <w:r w:rsidRPr="00ED48D3">
        <w:t xml:space="preserve"> p.168-170</w:t>
      </w:r>
    </w:p>
    <w:p w14:paraId="276C40B4" w14:textId="77777777" w:rsidR="009431D3" w:rsidRPr="00AA5BE1" w:rsidRDefault="009431D3" w:rsidP="009431D3">
      <w:r w:rsidRPr="00AA5BE1">
        <w:t xml:space="preserve">Eliade, Mircea, </w:t>
      </w:r>
      <w:r w:rsidRPr="00AA5BE1">
        <w:rPr>
          <w:i/>
          <w:iCs/>
        </w:rPr>
        <w:t>The Sacred and the Profane</w:t>
      </w:r>
      <w:r w:rsidRPr="00AA5BE1">
        <w:t xml:space="preserve"> (New York: Harcourt Brace, 1959), pp. 20-65 (‘Sacred Place and Making the World Sacred’)</w:t>
      </w:r>
    </w:p>
    <w:p w14:paraId="7D5A9B6D" w14:textId="77777777" w:rsidR="009431D3" w:rsidRPr="00D504F1" w:rsidRDefault="009431D3" w:rsidP="009431D3">
      <w:pPr>
        <w:pStyle w:val="FootnoteText"/>
        <w:rPr>
          <w:highlight w:val="yellow"/>
        </w:rPr>
      </w:pPr>
    </w:p>
    <w:p w14:paraId="0EC74311" w14:textId="7AFB34DB" w:rsidR="009431D3" w:rsidRPr="00D654E7" w:rsidRDefault="009431D3" w:rsidP="009431D3">
      <w:pPr>
        <w:rPr>
          <w:lang w:val="fr-FR"/>
        </w:rPr>
      </w:pPr>
      <w:r w:rsidRPr="00AA5BE1">
        <w:t xml:space="preserve">Fields, Karen, 'Translator's Introduction: Religion as an Eminently Social Thing' in Durkheim, Emile, </w:t>
      </w:r>
      <w:r w:rsidRPr="00AA5BE1">
        <w:rPr>
          <w:i/>
          <w:iCs/>
        </w:rPr>
        <w:t>The Elementary Forms of Religious Life</w:t>
      </w:r>
      <w:r w:rsidRPr="00AA5BE1">
        <w:t xml:space="preserve">, trans. </w:t>
      </w:r>
      <w:r w:rsidRPr="00EF04F7">
        <w:rPr>
          <w:lang w:val="fr-FR"/>
        </w:rPr>
        <w:t xml:space="preserve">Karen E. Fields, (New York: Free </w:t>
      </w:r>
      <w:proofErr w:type="spellStart"/>
      <w:r w:rsidRPr="00EF04F7">
        <w:rPr>
          <w:lang w:val="fr-FR"/>
        </w:rPr>
        <w:t>Press</w:t>
      </w:r>
      <w:proofErr w:type="spellEnd"/>
      <w:r w:rsidRPr="00EF04F7">
        <w:rPr>
          <w:lang w:val="fr-FR"/>
        </w:rPr>
        <w:t xml:space="preserve">, 1995) [1st </w:t>
      </w:r>
      <w:proofErr w:type="spellStart"/>
      <w:proofErr w:type="gramStart"/>
      <w:r w:rsidRPr="00EF04F7">
        <w:rPr>
          <w:lang w:val="fr-FR"/>
        </w:rPr>
        <w:t>edn</w:t>
      </w:r>
      <w:proofErr w:type="spellEnd"/>
      <w:r w:rsidRPr="00EF04F7">
        <w:rPr>
          <w:lang w:val="fr-FR"/>
        </w:rPr>
        <w:t>..</w:t>
      </w:r>
      <w:proofErr w:type="gramEnd"/>
      <w:r w:rsidRPr="00EF04F7">
        <w:rPr>
          <w:lang w:val="fr-FR"/>
        </w:rPr>
        <w:t>, Les Formes élémentaires de la vie religieuse, Paris; F. Alcan 1912], pp. xvii-xxxiii</w:t>
      </w:r>
    </w:p>
    <w:p w14:paraId="0D648CD7" w14:textId="77777777" w:rsidR="009431D3" w:rsidRPr="00CC70C0" w:rsidRDefault="009431D3" w:rsidP="009431D3">
      <w:pPr>
        <w:rPr>
          <w:rFonts w:cstheme="minorHAnsi"/>
        </w:rPr>
      </w:pPr>
      <w:proofErr w:type="spellStart"/>
      <w:r w:rsidRPr="00CC70C0">
        <w:rPr>
          <w:rFonts w:cstheme="minorHAnsi"/>
        </w:rPr>
        <w:t>Idinopulos</w:t>
      </w:r>
      <w:proofErr w:type="spellEnd"/>
      <w:r w:rsidRPr="00CC70C0">
        <w:rPr>
          <w:rFonts w:cstheme="minorHAnsi"/>
        </w:rPr>
        <w:t xml:space="preserve"> &amp; Wilson, ‘Preface’ in </w:t>
      </w:r>
      <w:r w:rsidRPr="00CC70C0">
        <w:rPr>
          <w:rFonts w:cstheme="minorHAnsi"/>
          <w:i/>
          <w:iCs/>
        </w:rPr>
        <w:t xml:space="preserve">Reappraising </w:t>
      </w:r>
      <w:proofErr w:type="spellStart"/>
      <w:r w:rsidRPr="00CC70C0">
        <w:rPr>
          <w:rFonts w:cstheme="minorHAnsi"/>
          <w:i/>
          <w:iCs/>
        </w:rPr>
        <w:t>Dukheim</w:t>
      </w:r>
      <w:proofErr w:type="spellEnd"/>
      <w:r w:rsidRPr="00CC70C0">
        <w:rPr>
          <w:rFonts w:cstheme="minorHAnsi"/>
          <w:i/>
          <w:iCs/>
        </w:rPr>
        <w:t xml:space="preserve"> for the Study and Teaching of Religion Today</w:t>
      </w:r>
      <w:r w:rsidRPr="00CC70C0">
        <w:rPr>
          <w:rFonts w:cstheme="minorHAnsi"/>
        </w:rPr>
        <w:t xml:space="preserve">, ed.by </w:t>
      </w:r>
      <w:proofErr w:type="spellStart"/>
      <w:r w:rsidRPr="00CC70C0">
        <w:rPr>
          <w:rFonts w:cstheme="minorHAnsi"/>
        </w:rPr>
        <w:t>Idinopulos</w:t>
      </w:r>
      <w:proofErr w:type="spellEnd"/>
      <w:r w:rsidRPr="00CC70C0">
        <w:rPr>
          <w:rFonts w:cstheme="minorHAnsi"/>
        </w:rPr>
        <w:t xml:space="preserve"> &amp; Wilson (Boston: Brill, 2001) pp: x-xix</w:t>
      </w:r>
    </w:p>
    <w:p w14:paraId="657BC748" w14:textId="77777777" w:rsidR="009431D3" w:rsidRDefault="009431D3" w:rsidP="009431D3">
      <w:pPr>
        <w:rPr>
          <w:rFonts w:cstheme="minorHAnsi"/>
        </w:rPr>
      </w:pPr>
      <w:proofErr w:type="spellStart"/>
      <w:r w:rsidRPr="00CC70C0">
        <w:rPr>
          <w:rFonts w:cstheme="minorHAnsi"/>
        </w:rPr>
        <w:t>Idinopulos</w:t>
      </w:r>
      <w:proofErr w:type="spellEnd"/>
      <w:r w:rsidRPr="00CC70C0">
        <w:rPr>
          <w:rFonts w:cstheme="minorHAnsi"/>
        </w:rPr>
        <w:t>, ‘Strengths and Weaknesses of Durkheim’s Methodology for the Study of Religion</w:t>
      </w:r>
      <w:proofErr w:type="gramStart"/>
      <w:r w:rsidRPr="00CC70C0">
        <w:rPr>
          <w:rFonts w:cstheme="minorHAnsi"/>
        </w:rPr>
        <w:t>’,</w:t>
      </w:r>
      <w:proofErr w:type="gramEnd"/>
      <w:r w:rsidRPr="00CC70C0">
        <w:rPr>
          <w:rFonts w:cstheme="minorHAnsi"/>
        </w:rPr>
        <w:t xml:space="preserve"> in </w:t>
      </w:r>
      <w:r w:rsidRPr="00CC70C0">
        <w:rPr>
          <w:rFonts w:cstheme="minorHAnsi"/>
          <w:i/>
          <w:iCs/>
        </w:rPr>
        <w:t xml:space="preserve">Reappraising </w:t>
      </w:r>
      <w:proofErr w:type="spellStart"/>
      <w:r w:rsidRPr="00CC70C0">
        <w:rPr>
          <w:rFonts w:cstheme="minorHAnsi"/>
          <w:i/>
          <w:iCs/>
        </w:rPr>
        <w:t>Dukheim</w:t>
      </w:r>
      <w:proofErr w:type="spellEnd"/>
      <w:r w:rsidRPr="00CC70C0">
        <w:rPr>
          <w:rFonts w:cstheme="minorHAnsi"/>
          <w:i/>
          <w:iCs/>
        </w:rPr>
        <w:t xml:space="preserve"> for the Study and Teaching of Religion Today</w:t>
      </w:r>
      <w:r w:rsidRPr="00CC70C0">
        <w:rPr>
          <w:rFonts w:cstheme="minorHAnsi"/>
        </w:rPr>
        <w:t xml:space="preserve">, ed.by </w:t>
      </w:r>
      <w:proofErr w:type="spellStart"/>
      <w:r w:rsidRPr="00CC70C0">
        <w:rPr>
          <w:rFonts w:cstheme="minorHAnsi"/>
        </w:rPr>
        <w:t>Idinopulos</w:t>
      </w:r>
      <w:proofErr w:type="spellEnd"/>
      <w:r w:rsidRPr="00CC70C0">
        <w:rPr>
          <w:rFonts w:cstheme="minorHAnsi"/>
        </w:rPr>
        <w:t xml:space="preserve"> &amp; Wilson (Boston: Brill, 2001) pp:1-14 </w:t>
      </w:r>
    </w:p>
    <w:p w14:paraId="36675C63" w14:textId="303D6BF4" w:rsidR="00EF40A9" w:rsidRDefault="00EF40A9" w:rsidP="00EF40A9">
      <w:pPr>
        <w:pStyle w:val="FootnoteText"/>
        <w:rPr>
          <w:sz w:val="22"/>
          <w:szCs w:val="22"/>
        </w:rPr>
      </w:pPr>
      <w:r>
        <w:t>Marcucci, N, ‘Reason as a Social Faculty</w:t>
      </w:r>
      <w:r>
        <w:t>:</w:t>
      </w:r>
      <w:r>
        <w:t xml:space="preserve"> The Elementary Forms of Religious Life and the Sociological Critique of Philosophical Enlightenment’ in </w:t>
      </w:r>
      <w:r w:rsidRPr="00A13A43">
        <w:rPr>
          <w:i/>
          <w:iCs/>
          <w:sz w:val="22"/>
          <w:szCs w:val="22"/>
        </w:rPr>
        <w:t>Émile Durkheim</w:t>
      </w:r>
      <w:r>
        <w:rPr>
          <w:sz w:val="22"/>
          <w:szCs w:val="22"/>
        </w:rPr>
        <w:t xml:space="preserve">, eds by Paoletti, G &amp; </w:t>
      </w:r>
      <w:proofErr w:type="spellStart"/>
      <w:r>
        <w:rPr>
          <w:sz w:val="22"/>
          <w:szCs w:val="22"/>
        </w:rPr>
        <w:t>Pendenza</w:t>
      </w:r>
      <w:proofErr w:type="spellEnd"/>
      <w:r>
        <w:rPr>
          <w:sz w:val="22"/>
          <w:szCs w:val="22"/>
        </w:rPr>
        <w:t xml:space="preserve">, M, </w:t>
      </w:r>
      <w:r w:rsidRPr="00A13A43">
        <w:rPr>
          <w:sz w:val="22"/>
          <w:szCs w:val="22"/>
        </w:rPr>
        <w:t xml:space="preserve">1 </w:t>
      </w:r>
      <w:proofErr w:type="spellStart"/>
      <w:r w:rsidRPr="00A13A43">
        <w:rPr>
          <w:sz w:val="22"/>
          <w:szCs w:val="22"/>
        </w:rPr>
        <w:t>edn</w:t>
      </w:r>
      <w:proofErr w:type="spellEnd"/>
      <w:r w:rsidRPr="00A13A43">
        <w:rPr>
          <w:sz w:val="22"/>
          <w:szCs w:val="22"/>
        </w:rPr>
        <w:t xml:space="preserve">. </w:t>
      </w:r>
      <w:r>
        <w:rPr>
          <w:sz w:val="22"/>
          <w:szCs w:val="22"/>
        </w:rPr>
        <w:t>(</w:t>
      </w:r>
      <w:r w:rsidRPr="00A13A43">
        <w:rPr>
          <w:sz w:val="22"/>
          <w:szCs w:val="22"/>
        </w:rPr>
        <w:t>Boston: BRILL</w:t>
      </w:r>
      <w:r>
        <w:rPr>
          <w:sz w:val="22"/>
          <w:szCs w:val="22"/>
        </w:rPr>
        <w:t>, 2022), pp.19-37</w:t>
      </w:r>
    </w:p>
    <w:p w14:paraId="2AB12F6E" w14:textId="77777777" w:rsidR="00EF40A9" w:rsidRPr="00EF40A9" w:rsidRDefault="00EF40A9" w:rsidP="00EF40A9">
      <w:pPr>
        <w:pStyle w:val="FootnoteText"/>
      </w:pPr>
    </w:p>
    <w:p w14:paraId="5898F151" w14:textId="77777777" w:rsidR="009431D3" w:rsidRPr="00CC70C0" w:rsidRDefault="009431D3" w:rsidP="009431D3">
      <w:pPr>
        <w:rPr>
          <w:rFonts w:cstheme="minorHAnsi"/>
          <w:u w:val="single"/>
        </w:rPr>
      </w:pPr>
      <w:r w:rsidRPr="00CC70C0">
        <w:rPr>
          <w:rFonts w:cstheme="minorHAnsi"/>
        </w:rPr>
        <w:t xml:space="preserve">Momen, </w:t>
      </w:r>
      <w:proofErr w:type="spellStart"/>
      <w:r w:rsidRPr="00CC70C0">
        <w:rPr>
          <w:rFonts w:cstheme="minorHAnsi"/>
        </w:rPr>
        <w:t>Moojan</w:t>
      </w:r>
      <w:proofErr w:type="spellEnd"/>
      <w:r w:rsidRPr="00CC70C0">
        <w:rPr>
          <w:rFonts w:cstheme="minorHAnsi"/>
        </w:rPr>
        <w:t xml:space="preserve">, ‘The Merging of the Sacred and the Profane: What Substitutes for Ritual in the </w:t>
      </w:r>
      <w:proofErr w:type="spellStart"/>
      <w:r w:rsidRPr="00CC70C0">
        <w:rPr>
          <w:rFonts w:cstheme="minorHAnsi"/>
        </w:rPr>
        <w:t>Baha’I</w:t>
      </w:r>
      <w:proofErr w:type="spellEnd"/>
      <w:r w:rsidRPr="00CC70C0">
        <w:rPr>
          <w:rFonts w:cstheme="minorHAnsi"/>
        </w:rPr>
        <w:t xml:space="preserve"> Faith?</w:t>
      </w:r>
      <w:proofErr w:type="gramStart"/>
      <w:r w:rsidRPr="00CC70C0">
        <w:rPr>
          <w:rFonts w:cstheme="minorHAnsi"/>
        </w:rPr>
        <w:t>’,</w:t>
      </w:r>
      <w:proofErr w:type="gramEnd"/>
      <w:r w:rsidRPr="00CC70C0">
        <w:rPr>
          <w:rFonts w:cstheme="minorHAnsi"/>
        </w:rPr>
        <w:t xml:space="preserve"> </w:t>
      </w:r>
      <w:r w:rsidRPr="00CC70C0">
        <w:rPr>
          <w:rFonts w:cstheme="minorHAnsi"/>
          <w:i/>
          <w:iCs/>
        </w:rPr>
        <w:t xml:space="preserve">Implicit Religion, </w:t>
      </w:r>
      <w:r w:rsidRPr="00CC70C0">
        <w:rPr>
          <w:rFonts w:cstheme="minorHAnsi"/>
        </w:rPr>
        <w:t>16.3 (2013), pp. 157-168</w:t>
      </w:r>
    </w:p>
    <w:p w14:paraId="7E6E9A4C" w14:textId="77777777" w:rsidR="009431D3" w:rsidRDefault="009431D3" w:rsidP="009431D3">
      <w:pPr>
        <w:rPr>
          <w:rFonts w:cstheme="minorHAnsi"/>
        </w:rPr>
      </w:pPr>
      <w:r w:rsidRPr="00CC70C0">
        <w:rPr>
          <w:rFonts w:cstheme="minorHAnsi"/>
        </w:rPr>
        <w:t>Paden, William, ‘The Creation of Human Behaviour: Reconciling Durkheim and the Study of Religion</w:t>
      </w:r>
      <w:proofErr w:type="gramStart"/>
      <w:r w:rsidRPr="00CC70C0">
        <w:rPr>
          <w:rFonts w:cstheme="minorHAnsi"/>
        </w:rPr>
        <w:t>’,</w:t>
      </w:r>
      <w:proofErr w:type="gramEnd"/>
      <w:r w:rsidRPr="00CC70C0">
        <w:rPr>
          <w:rFonts w:cstheme="minorHAnsi"/>
        </w:rPr>
        <w:t xml:space="preserve"> in </w:t>
      </w:r>
      <w:r w:rsidRPr="00CC70C0">
        <w:rPr>
          <w:rFonts w:cstheme="minorHAnsi"/>
          <w:i/>
          <w:iCs/>
        </w:rPr>
        <w:t xml:space="preserve">Reappraising </w:t>
      </w:r>
      <w:proofErr w:type="spellStart"/>
      <w:r w:rsidRPr="00CC70C0">
        <w:rPr>
          <w:rFonts w:cstheme="minorHAnsi"/>
          <w:i/>
          <w:iCs/>
        </w:rPr>
        <w:t>Dukheim</w:t>
      </w:r>
      <w:proofErr w:type="spellEnd"/>
      <w:r w:rsidRPr="00CC70C0">
        <w:rPr>
          <w:rFonts w:cstheme="minorHAnsi"/>
          <w:i/>
          <w:iCs/>
        </w:rPr>
        <w:t xml:space="preserve"> for the Study and Teaching of Religion Today</w:t>
      </w:r>
      <w:r w:rsidRPr="00CC70C0">
        <w:rPr>
          <w:rFonts w:cstheme="minorHAnsi"/>
        </w:rPr>
        <w:t xml:space="preserve">, ed.by </w:t>
      </w:r>
      <w:proofErr w:type="spellStart"/>
      <w:r w:rsidRPr="00CC70C0">
        <w:rPr>
          <w:rFonts w:cstheme="minorHAnsi"/>
        </w:rPr>
        <w:t>Idinopulos</w:t>
      </w:r>
      <w:proofErr w:type="spellEnd"/>
      <w:r w:rsidRPr="00CC70C0">
        <w:rPr>
          <w:rFonts w:cstheme="minorHAnsi"/>
        </w:rPr>
        <w:t xml:space="preserve"> &amp; Wilson (Boston: Brill, 2001) pp: 15-26</w:t>
      </w:r>
    </w:p>
    <w:p w14:paraId="332BEB77" w14:textId="77777777" w:rsidR="008F0031" w:rsidRPr="00CC70C0" w:rsidRDefault="008F0031" w:rsidP="008F0031">
      <w:pPr>
        <w:pStyle w:val="FootnoteText"/>
        <w:rPr>
          <w:sz w:val="22"/>
          <w:szCs w:val="22"/>
        </w:rPr>
      </w:pPr>
      <w:r>
        <w:rPr>
          <w:sz w:val="22"/>
          <w:szCs w:val="22"/>
        </w:rPr>
        <w:t xml:space="preserve">Paoletti, G &amp; </w:t>
      </w:r>
      <w:proofErr w:type="spellStart"/>
      <w:r>
        <w:rPr>
          <w:sz w:val="22"/>
          <w:szCs w:val="22"/>
        </w:rPr>
        <w:t>Pendenza</w:t>
      </w:r>
      <w:proofErr w:type="spellEnd"/>
      <w:r>
        <w:rPr>
          <w:sz w:val="22"/>
          <w:szCs w:val="22"/>
        </w:rPr>
        <w:t xml:space="preserve">, M, </w:t>
      </w:r>
      <w:r w:rsidRPr="00A13A43">
        <w:rPr>
          <w:i/>
          <w:iCs/>
          <w:sz w:val="22"/>
          <w:szCs w:val="22"/>
        </w:rPr>
        <w:t>Émile Durkheim</w:t>
      </w:r>
      <w:r w:rsidRPr="00A13A43">
        <w:rPr>
          <w:sz w:val="22"/>
          <w:szCs w:val="22"/>
        </w:rPr>
        <w:t>.</w:t>
      </w:r>
      <w:r>
        <w:rPr>
          <w:sz w:val="22"/>
          <w:szCs w:val="22"/>
        </w:rPr>
        <w:t xml:space="preserve">, </w:t>
      </w:r>
      <w:r w:rsidRPr="00A13A43">
        <w:rPr>
          <w:sz w:val="22"/>
          <w:szCs w:val="22"/>
        </w:rPr>
        <w:t xml:space="preserve">1 </w:t>
      </w:r>
      <w:proofErr w:type="spellStart"/>
      <w:r w:rsidRPr="00A13A43">
        <w:rPr>
          <w:sz w:val="22"/>
          <w:szCs w:val="22"/>
        </w:rPr>
        <w:t>edn</w:t>
      </w:r>
      <w:proofErr w:type="spellEnd"/>
      <w:r w:rsidRPr="00A13A43">
        <w:rPr>
          <w:sz w:val="22"/>
          <w:szCs w:val="22"/>
        </w:rPr>
        <w:t xml:space="preserve">. </w:t>
      </w:r>
      <w:r>
        <w:rPr>
          <w:sz w:val="22"/>
          <w:szCs w:val="22"/>
        </w:rPr>
        <w:t>(</w:t>
      </w:r>
      <w:r w:rsidRPr="00A13A43">
        <w:rPr>
          <w:sz w:val="22"/>
          <w:szCs w:val="22"/>
        </w:rPr>
        <w:t>Boston: BRILL</w:t>
      </w:r>
      <w:r>
        <w:rPr>
          <w:sz w:val="22"/>
          <w:szCs w:val="22"/>
        </w:rPr>
        <w:t>, 2022), pp.1-13</w:t>
      </w:r>
    </w:p>
    <w:p w14:paraId="412A781F" w14:textId="77777777" w:rsidR="008F0031" w:rsidRDefault="008F0031" w:rsidP="00862867">
      <w:pPr>
        <w:shd w:val="clear" w:color="auto" w:fill="FFFFFF"/>
        <w:spacing w:after="0" w:line="336" w:lineRule="atLeast"/>
        <w:rPr>
          <w:rFonts w:cstheme="minorHAnsi"/>
        </w:rPr>
      </w:pPr>
    </w:p>
    <w:p w14:paraId="624BD4DD" w14:textId="232AEF49" w:rsidR="009431D3" w:rsidRDefault="009431D3" w:rsidP="00862867">
      <w:pPr>
        <w:shd w:val="clear" w:color="auto" w:fill="FFFFFF"/>
        <w:spacing w:after="0" w:line="336" w:lineRule="atLeast"/>
        <w:rPr>
          <w:rFonts w:eastAsia="Times New Roman" w:cstheme="minorHAnsi"/>
          <w:kern w:val="0"/>
          <w:lang w:eastAsia="en-GB"/>
          <w14:ligatures w14:val="none"/>
        </w:rPr>
      </w:pPr>
      <w:proofErr w:type="spellStart"/>
      <w:r w:rsidRPr="00862867">
        <w:rPr>
          <w:rFonts w:eastAsia="Times New Roman" w:cstheme="minorHAnsi"/>
          <w:kern w:val="0"/>
          <w:lang w:eastAsia="en-GB"/>
          <w14:ligatures w14:val="none"/>
        </w:rPr>
        <w:t>Oyelade</w:t>
      </w:r>
      <w:proofErr w:type="spellEnd"/>
      <w:r w:rsidRPr="00862867">
        <w:rPr>
          <w:rFonts w:eastAsia="Times New Roman" w:cstheme="minorHAnsi"/>
          <w:kern w:val="0"/>
          <w:lang w:eastAsia="en-GB"/>
          <w14:ligatures w14:val="none"/>
        </w:rPr>
        <w:t xml:space="preserve"> and others, ‘The Intersection of the Sacred and the Profane in Urban Markets in Ibadan, Nigeria</w:t>
      </w:r>
      <w:proofErr w:type="gramStart"/>
      <w:r w:rsidRPr="00862867">
        <w:rPr>
          <w:rFonts w:eastAsia="Times New Roman" w:cstheme="minorHAnsi"/>
          <w:kern w:val="0"/>
          <w:lang w:eastAsia="en-GB"/>
          <w14:ligatures w14:val="none"/>
        </w:rPr>
        <w:t>’,</w:t>
      </w:r>
      <w:proofErr w:type="gramEnd"/>
      <w:r w:rsidRPr="00862867">
        <w:rPr>
          <w:rFonts w:eastAsia="Times New Roman" w:cstheme="minorHAnsi"/>
          <w:kern w:val="0"/>
          <w:lang w:eastAsia="en-GB"/>
          <w14:ligatures w14:val="none"/>
        </w:rPr>
        <w:t xml:space="preserve"> </w:t>
      </w:r>
      <w:r w:rsidRPr="00862867">
        <w:rPr>
          <w:rFonts w:eastAsia="Times New Roman" w:cstheme="minorHAnsi"/>
          <w:i/>
          <w:iCs/>
          <w:kern w:val="0"/>
          <w:lang w:eastAsia="en-GB"/>
          <w14:ligatures w14:val="none"/>
        </w:rPr>
        <w:t xml:space="preserve">Comparative Sociology, </w:t>
      </w:r>
      <w:r w:rsidRPr="00862867">
        <w:rPr>
          <w:rFonts w:eastAsia="Times New Roman" w:cstheme="minorHAnsi"/>
          <w:kern w:val="0"/>
          <w:lang w:eastAsia="en-GB"/>
          <w14:ligatures w14:val="none"/>
        </w:rPr>
        <w:t>20.5 (2021), pp.571-575</w:t>
      </w:r>
    </w:p>
    <w:p w14:paraId="23BB711E" w14:textId="77777777" w:rsidR="00862867" w:rsidRPr="00862867" w:rsidRDefault="00862867" w:rsidP="00862867">
      <w:pPr>
        <w:shd w:val="clear" w:color="auto" w:fill="FFFFFF"/>
        <w:spacing w:after="0" w:line="336" w:lineRule="atLeast"/>
        <w:rPr>
          <w:rFonts w:eastAsia="Times New Roman" w:cstheme="minorHAnsi"/>
          <w:kern w:val="0"/>
          <w:lang w:eastAsia="en-GB"/>
          <w14:ligatures w14:val="none"/>
        </w:rPr>
      </w:pPr>
    </w:p>
    <w:p w14:paraId="12321A66" w14:textId="77777777" w:rsidR="009431D3" w:rsidRPr="00CC70C0" w:rsidRDefault="009431D3" w:rsidP="009431D3">
      <w:pPr>
        <w:rPr>
          <w:rFonts w:cstheme="minorHAnsi"/>
        </w:rPr>
      </w:pPr>
      <w:r w:rsidRPr="00CC70C0">
        <w:rPr>
          <w:rFonts w:cstheme="minorHAnsi"/>
        </w:rPr>
        <w:t>Pfister, Lauren, ‘Ubication: a phenomenological study about making spaces sacred</w:t>
      </w:r>
      <w:proofErr w:type="gramStart"/>
      <w:r w:rsidRPr="00CC70C0">
        <w:rPr>
          <w:rFonts w:cstheme="minorHAnsi"/>
        </w:rPr>
        <w:t>’</w:t>
      </w:r>
      <w:r w:rsidRPr="00CC70C0">
        <w:rPr>
          <w:rFonts w:cstheme="minorHAnsi"/>
          <w:i/>
          <w:iCs/>
        </w:rPr>
        <w:t>,</w:t>
      </w:r>
      <w:proofErr w:type="gramEnd"/>
      <w:r w:rsidRPr="00CC70C0">
        <w:rPr>
          <w:rFonts w:cstheme="minorHAnsi"/>
          <w:i/>
          <w:iCs/>
        </w:rPr>
        <w:t xml:space="preserve"> International communication of Chinese culture, </w:t>
      </w:r>
      <w:r w:rsidRPr="00CC70C0">
        <w:rPr>
          <w:rFonts w:cstheme="minorHAnsi"/>
        </w:rPr>
        <w:t>4.3 (2017), pp.393-411</w:t>
      </w:r>
    </w:p>
    <w:p w14:paraId="272B750D" w14:textId="77777777" w:rsidR="009431D3" w:rsidRPr="00CC70C0" w:rsidRDefault="009431D3" w:rsidP="009431D3">
      <w:pPr>
        <w:pStyle w:val="FootnoteText"/>
        <w:rPr>
          <w:rFonts w:cstheme="minorHAnsi"/>
          <w:sz w:val="22"/>
          <w:szCs w:val="22"/>
        </w:rPr>
      </w:pPr>
      <w:r w:rsidRPr="00CC70C0">
        <w:rPr>
          <w:rFonts w:cstheme="minorHAnsi"/>
          <w:sz w:val="22"/>
          <w:szCs w:val="22"/>
        </w:rPr>
        <w:t>Rennie, Bryan, ‘Mircea Eliade and the Perception of the Sacred in the Profane: Intention, Reduction, and Cognitive Theory</w:t>
      </w:r>
      <w:proofErr w:type="gramStart"/>
      <w:r w:rsidRPr="00CC70C0">
        <w:rPr>
          <w:rFonts w:cstheme="minorHAnsi"/>
          <w:sz w:val="22"/>
          <w:szCs w:val="22"/>
        </w:rPr>
        <w:t>’,</w:t>
      </w:r>
      <w:proofErr w:type="gramEnd"/>
      <w:r w:rsidRPr="00CC70C0">
        <w:rPr>
          <w:rFonts w:cstheme="minorHAnsi"/>
          <w:sz w:val="22"/>
          <w:szCs w:val="22"/>
        </w:rPr>
        <w:t xml:space="preserve"> </w:t>
      </w:r>
      <w:r w:rsidRPr="00CC70C0">
        <w:rPr>
          <w:rFonts w:cstheme="minorHAnsi"/>
          <w:i/>
          <w:iCs/>
          <w:sz w:val="22"/>
          <w:szCs w:val="22"/>
        </w:rPr>
        <w:t xml:space="preserve">Temenos, </w:t>
      </w:r>
      <w:r w:rsidRPr="00CC70C0">
        <w:rPr>
          <w:rFonts w:cstheme="minorHAnsi"/>
          <w:sz w:val="22"/>
          <w:szCs w:val="22"/>
        </w:rPr>
        <w:t>43.1 (2007), pp.73-98</w:t>
      </w:r>
    </w:p>
    <w:p w14:paraId="49363DD4" w14:textId="77777777" w:rsidR="009431D3" w:rsidRPr="00CC70C0" w:rsidRDefault="009431D3" w:rsidP="009431D3">
      <w:pPr>
        <w:pStyle w:val="FootnoteText"/>
        <w:rPr>
          <w:sz w:val="22"/>
          <w:szCs w:val="22"/>
        </w:rPr>
      </w:pPr>
    </w:p>
    <w:p w14:paraId="40EEBA25" w14:textId="77777777" w:rsidR="009431D3" w:rsidRPr="00CC70C0" w:rsidRDefault="009431D3" w:rsidP="009431D3">
      <w:r w:rsidRPr="00CC70C0">
        <w:t xml:space="preserve">Reno, S.J, ‘Eliade’s Progressional View of </w:t>
      </w:r>
      <w:proofErr w:type="spellStart"/>
      <w:r w:rsidRPr="00CC70C0">
        <w:t>Hierophanies</w:t>
      </w:r>
      <w:proofErr w:type="spellEnd"/>
      <w:proofErr w:type="gramStart"/>
      <w:r w:rsidRPr="00CC70C0">
        <w:t>’,</w:t>
      </w:r>
      <w:proofErr w:type="gramEnd"/>
      <w:r w:rsidRPr="00CC70C0">
        <w:t xml:space="preserve"> </w:t>
      </w:r>
      <w:r w:rsidRPr="00CC70C0">
        <w:rPr>
          <w:i/>
          <w:iCs/>
        </w:rPr>
        <w:t xml:space="preserve">Religious Studies, </w:t>
      </w:r>
      <w:r w:rsidRPr="00CC70C0">
        <w:t>8.2 (1972), pp.153-160</w:t>
      </w:r>
    </w:p>
    <w:p w14:paraId="2167E5E6" w14:textId="77777777" w:rsidR="009431D3" w:rsidRDefault="009431D3" w:rsidP="009431D3">
      <w:pPr>
        <w:pStyle w:val="FootnoteText"/>
        <w:rPr>
          <w:sz w:val="22"/>
          <w:szCs w:val="22"/>
        </w:rPr>
      </w:pPr>
    </w:p>
    <w:p w14:paraId="29EB74D5" w14:textId="77777777" w:rsidR="009431D3" w:rsidRDefault="009431D3" w:rsidP="009431D3">
      <w:pPr>
        <w:pStyle w:val="FootnoteText"/>
      </w:pPr>
    </w:p>
    <w:p w14:paraId="4AB9BDE6" w14:textId="77777777" w:rsidR="007F580C" w:rsidRDefault="007F580C" w:rsidP="009431D3">
      <w:pPr>
        <w:pStyle w:val="FootnoteText"/>
      </w:pPr>
    </w:p>
    <w:sectPr w:rsidR="007F580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DF2C0" w14:textId="77777777" w:rsidR="007762F2" w:rsidRDefault="007762F2" w:rsidP="005C18E4">
      <w:pPr>
        <w:spacing w:after="0" w:line="240" w:lineRule="auto"/>
      </w:pPr>
      <w:r>
        <w:separator/>
      </w:r>
    </w:p>
  </w:endnote>
  <w:endnote w:type="continuationSeparator" w:id="0">
    <w:p w14:paraId="691320C4" w14:textId="77777777" w:rsidR="007762F2" w:rsidRDefault="007762F2" w:rsidP="005C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339410"/>
      <w:docPartObj>
        <w:docPartGallery w:val="Page Numbers (Bottom of Page)"/>
        <w:docPartUnique/>
      </w:docPartObj>
    </w:sdtPr>
    <w:sdtEndPr>
      <w:rPr>
        <w:noProof/>
      </w:rPr>
    </w:sdtEndPr>
    <w:sdtContent>
      <w:p w14:paraId="4A6E2694" w14:textId="44944273" w:rsidR="00DB2ABF" w:rsidRDefault="00DB2A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D7E48B" w14:textId="77777777" w:rsidR="00123482" w:rsidRDefault="00123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E5A3C" w14:textId="77777777" w:rsidR="007762F2" w:rsidRDefault="007762F2" w:rsidP="005C18E4">
      <w:pPr>
        <w:spacing w:after="0" w:line="240" w:lineRule="auto"/>
      </w:pPr>
      <w:r>
        <w:separator/>
      </w:r>
    </w:p>
  </w:footnote>
  <w:footnote w:type="continuationSeparator" w:id="0">
    <w:p w14:paraId="0A238EC1" w14:textId="77777777" w:rsidR="007762F2" w:rsidRDefault="007762F2" w:rsidP="005C18E4">
      <w:pPr>
        <w:spacing w:after="0" w:line="240" w:lineRule="auto"/>
      </w:pPr>
      <w:r>
        <w:continuationSeparator/>
      </w:r>
    </w:p>
  </w:footnote>
  <w:footnote w:id="1">
    <w:p w14:paraId="681C0091" w14:textId="7B6EBE6E" w:rsidR="008F0031" w:rsidRPr="008F0031" w:rsidRDefault="008F0031">
      <w:pPr>
        <w:pStyle w:val="FootnoteText"/>
        <w:rPr>
          <w:sz w:val="22"/>
          <w:szCs w:val="22"/>
        </w:rPr>
      </w:pPr>
      <w:r>
        <w:rPr>
          <w:rStyle w:val="FootnoteReference"/>
        </w:rPr>
        <w:footnoteRef/>
      </w:r>
      <w:r>
        <w:t xml:space="preserve"> </w:t>
      </w:r>
      <w:r>
        <w:rPr>
          <w:sz w:val="22"/>
          <w:szCs w:val="22"/>
        </w:rPr>
        <w:t xml:space="preserve">Paoletti, G &amp; </w:t>
      </w:r>
      <w:proofErr w:type="spellStart"/>
      <w:r>
        <w:rPr>
          <w:sz w:val="22"/>
          <w:szCs w:val="22"/>
        </w:rPr>
        <w:t>Pendenza</w:t>
      </w:r>
      <w:proofErr w:type="spellEnd"/>
      <w:r>
        <w:rPr>
          <w:sz w:val="22"/>
          <w:szCs w:val="22"/>
        </w:rPr>
        <w:t xml:space="preserve">, M, </w:t>
      </w:r>
      <w:r w:rsidRPr="00A13A43">
        <w:rPr>
          <w:i/>
          <w:iCs/>
          <w:sz w:val="22"/>
          <w:szCs w:val="22"/>
        </w:rPr>
        <w:t>Émile Durkheim</w:t>
      </w:r>
      <w:r w:rsidRPr="00A13A43">
        <w:rPr>
          <w:sz w:val="22"/>
          <w:szCs w:val="22"/>
        </w:rPr>
        <w:t>.</w:t>
      </w:r>
      <w:r>
        <w:rPr>
          <w:sz w:val="22"/>
          <w:szCs w:val="22"/>
        </w:rPr>
        <w:t xml:space="preserve">, </w:t>
      </w:r>
      <w:r w:rsidRPr="00A13A43">
        <w:rPr>
          <w:sz w:val="22"/>
          <w:szCs w:val="22"/>
        </w:rPr>
        <w:t xml:space="preserve">1 </w:t>
      </w:r>
      <w:proofErr w:type="spellStart"/>
      <w:r w:rsidRPr="00A13A43">
        <w:rPr>
          <w:sz w:val="22"/>
          <w:szCs w:val="22"/>
        </w:rPr>
        <w:t>edn</w:t>
      </w:r>
      <w:proofErr w:type="spellEnd"/>
      <w:r w:rsidRPr="00A13A43">
        <w:rPr>
          <w:sz w:val="22"/>
          <w:szCs w:val="22"/>
        </w:rPr>
        <w:t xml:space="preserve">. </w:t>
      </w:r>
      <w:r>
        <w:rPr>
          <w:sz w:val="22"/>
          <w:szCs w:val="22"/>
        </w:rPr>
        <w:t>(</w:t>
      </w:r>
      <w:r w:rsidRPr="00A13A43">
        <w:rPr>
          <w:sz w:val="22"/>
          <w:szCs w:val="22"/>
        </w:rPr>
        <w:t>Boston: BRILL</w:t>
      </w:r>
      <w:r>
        <w:rPr>
          <w:sz w:val="22"/>
          <w:szCs w:val="22"/>
        </w:rPr>
        <w:t>, 2022), pp.1-</w:t>
      </w:r>
      <w:r>
        <w:rPr>
          <w:sz w:val="22"/>
          <w:szCs w:val="22"/>
        </w:rPr>
        <w:t>2</w:t>
      </w:r>
    </w:p>
  </w:footnote>
  <w:footnote w:id="2">
    <w:p w14:paraId="3690492E" w14:textId="4A06E7DE" w:rsidR="0091380B" w:rsidRPr="00EF04F7" w:rsidRDefault="0091380B" w:rsidP="0091380B">
      <w:pPr>
        <w:pStyle w:val="FootnoteText"/>
        <w:rPr>
          <w:lang w:val="fr-FR"/>
        </w:rPr>
      </w:pPr>
      <w:r>
        <w:rPr>
          <w:rStyle w:val="FootnoteReference"/>
        </w:rPr>
        <w:footnoteRef/>
      </w:r>
      <w:r>
        <w:t xml:space="preserve"> </w:t>
      </w:r>
      <w:r w:rsidR="00692DA7" w:rsidRPr="00AA5BE1">
        <w:t xml:space="preserve">Fields, Karen, 'Translator's Introduction: Religion as an Eminently Social Thing' in Durkheim, Emile, </w:t>
      </w:r>
      <w:r w:rsidR="00692DA7" w:rsidRPr="00AA5BE1">
        <w:rPr>
          <w:i/>
          <w:iCs/>
        </w:rPr>
        <w:t>The Elementary Forms of Religious Life</w:t>
      </w:r>
      <w:r w:rsidR="00692DA7" w:rsidRPr="00AA5BE1">
        <w:t xml:space="preserve">, trans. </w:t>
      </w:r>
      <w:r w:rsidR="00692DA7" w:rsidRPr="00EF04F7">
        <w:rPr>
          <w:lang w:val="fr-FR"/>
        </w:rPr>
        <w:t xml:space="preserve">Karen E. Fields, (New York: Free </w:t>
      </w:r>
      <w:proofErr w:type="spellStart"/>
      <w:r w:rsidR="00692DA7" w:rsidRPr="00EF04F7">
        <w:rPr>
          <w:lang w:val="fr-FR"/>
        </w:rPr>
        <w:t>Press</w:t>
      </w:r>
      <w:proofErr w:type="spellEnd"/>
      <w:r w:rsidR="00692DA7" w:rsidRPr="00EF04F7">
        <w:rPr>
          <w:lang w:val="fr-FR"/>
        </w:rPr>
        <w:t xml:space="preserve">, 1995) [1st </w:t>
      </w:r>
      <w:proofErr w:type="spellStart"/>
      <w:proofErr w:type="gramStart"/>
      <w:r w:rsidR="00692DA7" w:rsidRPr="00EF04F7">
        <w:rPr>
          <w:lang w:val="fr-FR"/>
        </w:rPr>
        <w:t>edn</w:t>
      </w:r>
      <w:proofErr w:type="spellEnd"/>
      <w:r w:rsidR="00692DA7" w:rsidRPr="00EF04F7">
        <w:rPr>
          <w:lang w:val="fr-FR"/>
        </w:rPr>
        <w:t>..</w:t>
      </w:r>
      <w:proofErr w:type="gramEnd"/>
      <w:r w:rsidR="00692DA7" w:rsidRPr="00EF04F7">
        <w:rPr>
          <w:lang w:val="fr-FR"/>
        </w:rPr>
        <w:t>, Les Formes élémentaires de la vie religieuse, Paris; F. Alcan 1912]</w:t>
      </w:r>
      <w:r w:rsidRPr="00EF04F7">
        <w:rPr>
          <w:lang w:val="fr-FR"/>
        </w:rPr>
        <w:t xml:space="preserve">, </w:t>
      </w:r>
      <w:r w:rsidR="00692DA7" w:rsidRPr="00EF04F7">
        <w:rPr>
          <w:lang w:val="fr-FR"/>
        </w:rPr>
        <w:t>p</w:t>
      </w:r>
      <w:r w:rsidRPr="00EF04F7">
        <w:rPr>
          <w:lang w:val="fr-FR"/>
        </w:rPr>
        <w:t>p. xix</w:t>
      </w:r>
    </w:p>
  </w:footnote>
  <w:footnote w:id="3">
    <w:p w14:paraId="18ED71BD" w14:textId="6AD05627" w:rsidR="00D825A3" w:rsidRDefault="00D825A3">
      <w:pPr>
        <w:pStyle w:val="FootnoteText"/>
      </w:pPr>
      <w:r>
        <w:rPr>
          <w:rStyle w:val="FootnoteReference"/>
        </w:rPr>
        <w:footnoteRef/>
      </w:r>
      <w:r>
        <w:t xml:space="preserve"> </w:t>
      </w:r>
      <w:r>
        <w:t>Abrudan, Elena, ‘The Odyssey of M. Eliade’s Heroes: A Mediation on Time</w:t>
      </w:r>
      <w:proofErr w:type="gramStart"/>
      <w:r>
        <w:t>’,</w:t>
      </w:r>
      <w:proofErr w:type="gramEnd"/>
      <w:r>
        <w:t xml:space="preserve"> </w:t>
      </w:r>
      <w:r>
        <w:rPr>
          <w:i/>
          <w:iCs/>
        </w:rPr>
        <w:t xml:space="preserve">Journal for the Study of Religions and Ideologies, </w:t>
      </w:r>
      <w:r>
        <w:t>20.60 (2021), pp.62-</w:t>
      </w:r>
      <w:r w:rsidR="007C5827">
        <w:t>3</w:t>
      </w:r>
    </w:p>
  </w:footnote>
  <w:footnote w:id="4">
    <w:p w14:paraId="13227AC8" w14:textId="77777777" w:rsidR="002273BA" w:rsidRDefault="002273BA" w:rsidP="002273BA">
      <w:r>
        <w:rPr>
          <w:rStyle w:val="FootnoteReference"/>
        </w:rPr>
        <w:footnoteRef/>
      </w:r>
      <w:r>
        <w:t xml:space="preserve"> </w:t>
      </w:r>
      <w:r w:rsidRPr="00CC70C0">
        <w:rPr>
          <w:rFonts w:cstheme="minorHAnsi"/>
        </w:rPr>
        <w:t>Paden, William, ‘The Creation of Human Behaviour: Reconciling Durkheim and the Study of Religion</w:t>
      </w:r>
      <w:proofErr w:type="gramStart"/>
      <w:r w:rsidRPr="00CC70C0">
        <w:rPr>
          <w:rFonts w:cstheme="minorHAnsi"/>
        </w:rPr>
        <w:t>’,</w:t>
      </w:r>
      <w:proofErr w:type="gramEnd"/>
      <w:r w:rsidRPr="00CC70C0">
        <w:rPr>
          <w:rFonts w:cstheme="minorHAnsi"/>
        </w:rPr>
        <w:t xml:space="preserve"> in </w:t>
      </w:r>
      <w:r w:rsidRPr="00CC70C0">
        <w:rPr>
          <w:rFonts w:cstheme="minorHAnsi"/>
          <w:i/>
          <w:iCs/>
        </w:rPr>
        <w:t xml:space="preserve">Reappraising </w:t>
      </w:r>
      <w:proofErr w:type="spellStart"/>
      <w:r w:rsidRPr="00CC70C0">
        <w:rPr>
          <w:rFonts w:cstheme="minorHAnsi"/>
          <w:i/>
          <w:iCs/>
        </w:rPr>
        <w:t>Dukheim</w:t>
      </w:r>
      <w:proofErr w:type="spellEnd"/>
      <w:r w:rsidRPr="00CC70C0">
        <w:rPr>
          <w:rFonts w:cstheme="minorHAnsi"/>
          <w:i/>
          <w:iCs/>
        </w:rPr>
        <w:t xml:space="preserve"> for the Study and Teaching of Religion Today</w:t>
      </w:r>
      <w:r w:rsidRPr="00CC70C0">
        <w:rPr>
          <w:rFonts w:cstheme="minorHAnsi"/>
        </w:rPr>
        <w:t xml:space="preserve">, ed.by </w:t>
      </w:r>
      <w:proofErr w:type="spellStart"/>
      <w:r w:rsidRPr="00CC70C0">
        <w:rPr>
          <w:rFonts w:cstheme="minorHAnsi"/>
        </w:rPr>
        <w:t>Idinopulos</w:t>
      </w:r>
      <w:proofErr w:type="spellEnd"/>
      <w:r w:rsidRPr="00CC70C0">
        <w:rPr>
          <w:rFonts w:cstheme="minorHAnsi"/>
        </w:rPr>
        <w:t xml:space="preserve"> &amp; Wilson (Boston: Brill, 2001) </w:t>
      </w:r>
      <w:r>
        <w:t xml:space="preserve">pp.23 </w:t>
      </w:r>
    </w:p>
  </w:footnote>
  <w:footnote w:id="5">
    <w:p w14:paraId="1FC5A2DE" w14:textId="62837C9C" w:rsidR="001F5EDA" w:rsidRPr="00EF40A9" w:rsidRDefault="001F5EDA">
      <w:pPr>
        <w:pStyle w:val="FootnoteText"/>
        <w:rPr>
          <w:sz w:val="22"/>
          <w:szCs w:val="22"/>
        </w:rPr>
      </w:pPr>
      <w:r>
        <w:rPr>
          <w:rStyle w:val="FootnoteReference"/>
        </w:rPr>
        <w:footnoteRef/>
      </w:r>
      <w:r w:rsidR="00EF40A9">
        <w:t xml:space="preserve">Marcucci, N, ‘Reason as a Social Faculty: The Elementary Forms of Religious Life and the Sociological Critique of Philosophical Enlightenment’ in </w:t>
      </w:r>
      <w:r w:rsidR="00EF40A9" w:rsidRPr="00A13A43">
        <w:rPr>
          <w:i/>
          <w:iCs/>
          <w:sz w:val="22"/>
          <w:szCs w:val="22"/>
        </w:rPr>
        <w:t>Émile Durkheim</w:t>
      </w:r>
      <w:r w:rsidR="00EF40A9">
        <w:rPr>
          <w:sz w:val="22"/>
          <w:szCs w:val="22"/>
        </w:rPr>
        <w:t xml:space="preserve">, eds by Paoletti, G &amp; </w:t>
      </w:r>
      <w:proofErr w:type="spellStart"/>
      <w:r w:rsidR="00EF40A9">
        <w:rPr>
          <w:sz w:val="22"/>
          <w:szCs w:val="22"/>
        </w:rPr>
        <w:t>Pendenza</w:t>
      </w:r>
      <w:proofErr w:type="spellEnd"/>
      <w:r w:rsidR="00EF40A9">
        <w:rPr>
          <w:sz w:val="22"/>
          <w:szCs w:val="22"/>
        </w:rPr>
        <w:t xml:space="preserve">, M, </w:t>
      </w:r>
      <w:r w:rsidR="00EF40A9" w:rsidRPr="00A13A43">
        <w:rPr>
          <w:sz w:val="22"/>
          <w:szCs w:val="22"/>
        </w:rPr>
        <w:t xml:space="preserve">1 </w:t>
      </w:r>
      <w:proofErr w:type="spellStart"/>
      <w:r w:rsidR="00EF40A9" w:rsidRPr="00A13A43">
        <w:rPr>
          <w:sz w:val="22"/>
          <w:szCs w:val="22"/>
        </w:rPr>
        <w:t>edn</w:t>
      </w:r>
      <w:proofErr w:type="spellEnd"/>
      <w:r w:rsidR="00EF40A9" w:rsidRPr="00A13A43">
        <w:rPr>
          <w:sz w:val="22"/>
          <w:szCs w:val="22"/>
        </w:rPr>
        <w:t xml:space="preserve">. </w:t>
      </w:r>
      <w:r w:rsidR="00EF40A9">
        <w:rPr>
          <w:sz w:val="22"/>
          <w:szCs w:val="22"/>
        </w:rPr>
        <w:t>(</w:t>
      </w:r>
      <w:r w:rsidR="00EF40A9" w:rsidRPr="00A13A43">
        <w:rPr>
          <w:sz w:val="22"/>
          <w:szCs w:val="22"/>
        </w:rPr>
        <w:t>Boston: BRILL</w:t>
      </w:r>
      <w:r w:rsidR="00EF40A9">
        <w:rPr>
          <w:sz w:val="22"/>
          <w:szCs w:val="22"/>
        </w:rPr>
        <w:t xml:space="preserve">, 2022), </w:t>
      </w:r>
      <w:r>
        <w:t>pp.23</w:t>
      </w:r>
    </w:p>
  </w:footnote>
  <w:footnote w:id="6">
    <w:p w14:paraId="39D4FD38" w14:textId="1015787B" w:rsidR="000B0518" w:rsidRDefault="00E64443">
      <w:pPr>
        <w:pStyle w:val="FootnoteText"/>
      </w:pPr>
      <w:r>
        <w:rPr>
          <w:rStyle w:val="FootnoteReference"/>
        </w:rPr>
        <w:footnoteRef/>
      </w:r>
      <w:r>
        <w:t xml:space="preserve"> </w:t>
      </w:r>
      <w:r w:rsidR="00692DA7" w:rsidRPr="00140C99">
        <w:t xml:space="preserve">Fields, </w:t>
      </w:r>
      <w:r w:rsidR="00692DA7" w:rsidRPr="00140C99">
        <w:rPr>
          <w:i/>
          <w:iCs/>
        </w:rPr>
        <w:t>Translator’s Introductions</w:t>
      </w:r>
      <w:r w:rsidR="00692DA7" w:rsidRPr="00140C99">
        <w:t xml:space="preserve">, </w:t>
      </w:r>
      <w:r w:rsidR="00651E02" w:rsidRPr="00140C99">
        <w:t>p</w:t>
      </w:r>
      <w:r w:rsidRPr="00140C99">
        <w:t>p. xxviii-</w:t>
      </w:r>
      <w:r w:rsidR="00CE711F" w:rsidRPr="00140C99">
        <w:t>xxix</w:t>
      </w:r>
    </w:p>
  </w:footnote>
  <w:footnote w:id="7">
    <w:p w14:paraId="68171FC0" w14:textId="7646CD26" w:rsidR="00AD7D03" w:rsidRPr="00651E02" w:rsidRDefault="00AD7D03" w:rsidP="00AD7D03">
      <w:pPr>
        <w:rPr>
          <w:rFonts w:cstheme="minorHAnsi"/>
        </w:rPr>
      </w:pPr>
      <w:r>
        <w:rPr>
          <w:rStyle w:val="FootnoteReference"/>
        </w:rPr>
        <w:footnoteRef/>
      </w:r>
      <w:r>
        <w:t xml:space="preserve"> </w:t>
      </w:r>
      <w:r w:rsidR="00085C12">
        <w:t xml:space="preserve">Paden, William, </w:t>
      </w:r>
      <w:r w:rsidR="00651E02" w:rsidRPr="00CC70C0">
        <w:rPr>
          <w:rFonts w:cstheme="minorHAnsi"/>
        </w:rPr>
        <w:t>p</w:t>
      </w:r>
      <w:r>
        <w:t>p.18</w:t>
      </w:r>
    </w:p>
  </w:footnote>
  <w:footnote w:id="8">
    <w:p w14:paraId="168F636B" w14:textId="1F4A3634" w:rsidR="003A7896" w:rsidRPr="00510ABC" w:rsidRDefault="003A7896" w:rsidP="00510ABC">
      <w:pPr>
        <w:rPr>
          <w:rFonts w:cstheme="minorHAnsi"/>
        </w:rPr>
      </w:pPr>
      <w:r>
        <w:rPr>
          <w:rStyle w:val="FootnoteReference"/>
        </w:rPr>
        <w:footnoteRef/>
      </w:r>
      <w:r>
        <w:t xml:space="preserve"> </w:t>
      </w:r>
      <w:proofErr w:type="spellStart"/>
      <w:r w:rsidR="004B3988" w:rsidRPr="00CC70C0">
        <w:rPr>
          <w:rFonts w:cstheme="minorHAnsi"/>
        </w:rPr>
        <w:t>Idinopulos</w:t>
      </w:r>
      <w:proofErr w:type="spellEnd"/>
      <w:r w:rsidR="004B3988" w:rsidRPr="00CC70C0">
        <w:rPr>
          <w:rFonts w:cstheme="minorHAnsi"/>
        </w:rPr>
        <w:t>, ‘Strengths and Weaknesses of Durkheim’s Methodology for the Study of Religion</w:t>
      </w:r>
      <w:proofErr w:type="gramStart"/>
      <w:r w:rsidR="004B3988" w:rsidRPr="00CC70C0">
        <w:rPr>
          <w:rFonts w:cstheme="minorHAnsi"/>
        </w:rPr>
        <w:t>’,</w:t>
      </w:r>
      <w:proofErr w:type="gramEnd"/>
      <w:r w:rsidR="004B3988" w:rsidRPr="00CC70C0">
        <w:rPr>
          <w:rFonts w:cstheme="minorHAnsi"/>
        </w:rPr>
        <w:t xml:space="preserve"> in </w:t>
      </w:r>
      <w:r w:rsidR="004B3988" w:rsidRPr="00CC70C0">
        <w:rPr>
          <w:rFonts w:cstheme="minorHAnsi"/>
          <w:i/>
          <w:iCs/>
        </w:rPr>
        <w:t xml:space="preserve">Reappraising </w:t>
      </w:r>
      <w:proofErr w:type="spellStart"/>
      <w:r w:rsidR="004B3988" w:rsidRPr="00CC70C0">
        <w:rPr>
          <w:rFonts w:cstheme="minorHAnsi"/>
          <w:i/>
          <w:iCs/>
        </w:rPr>
        <w:t>Dukheim</w:t>
      </w:r>
      <w:proofErr w:type="spellEnd"/>
      <w:r w:rsidR="004B3988" w:rsidRPr="00CC70C0">
        <w:rPr>
          <w:rFonts w:cstheme="minorHAnsi"/>
          <w:i/>
          <w:iCs/>
        </w:rPr>
        <w:t xml:space="preserve"> for the Study and Teaching of Religion Today</w:t>
      </w:r>
      <w:r w:rsidR="004B3988" w:rsidRPr="00CC70C0">
        <w:rPr>
          <w:rFonts w:cstheme="minorHAnsi"/>
        </w:rPr>
        <w:t xml:space="preserve">, ed.by </w:t>
      </w:r>
      <w:proofErr w:type="spellStart"/>
      <w:r w:rsidR="004B3988" w:rsidRPr="00CC70C0">
        <w:rPr>
          <w:rFonts w:cstheme="minorHAnsi"/>
        </w:rPr>
        <w:t>Idinopulos</w:t>
      </w:r>
      <w:proofErr w:type="spellEnd"/>
      <w:r w:rsidR="004B3988" w:rsidRPr="00CC70C0">
        <w:rPr>
          <w:rFonts w:cstheme="minorHAnsi"/>
        </w:rPr>
        <w:t xml:space="preserve"> &amp; Wilson (Boston: Brill, 2001) pp:</w:t>
      </w:r>
      <w:r w:rsidR="004B3988">
        <w:rPr>
          <w:rFonts w:cstheme="minorHAnsi"/>
        </w:rPr>
        <w:t>2</w:t>
      </w:r>
    </w:p>
  </w:footnote>
  <w:footnote w:id="9">
    <w:p w14:paraId="5A2A09B3" w14:textId="67AF2AE2" w:rsidR="00AD7D03" w:rsidRPr="00050105" w:rsidRDefault="00AD7D03" w:rsidP="00AD7D03">
      <w:pPr>
        <w:rPr>
          <w:u w:val="single"/>
        </w:rPr>
      </w:pPr>
      <w:r>
        <w:rPr>
          <w:rStyle w:val="FootnoteReference"/>
        </w:rPr>
        <w:footnoteRef/>
      </w:r>
      <w:r>
        <w:t xml:space="preserve"> </w:t>
      </w:r>
      <w:proofErr w:type="spellStart"/>
      <w:r>
        <w:t>Idinopulos</w:t>
      </w:r>
      <w:proofErr w:type="spellEnd"/>
      <w:r w:rsidR="004B3988">
        <w:t xml:space="preserve">, </w:t>
      </w:r>
      <w:r>
        <w:t>p</w:t>
      </w:r>
      <w:r w:rsidR="004B3988">
        <w:t>p.</w:t>
      </w:r>
      <w:r>
        <w:t>2</w:t>
      </w:r>
    </w:p>
  </w:footnote>
  <w:footnote w:id="10">
    <w:p w14:paraId="471BE443" w14:textId="77777777" w:rsidR="00BD585E" w:rsidRDefault="00BD585E" w:rsidP="00BD585E">
      <w:pPr>
        <w:pStyle w:val="FootnoteText"/>
      </w:pPr>
      <w:r>
        <w:rPr>
          <w:rStyle w:val="FootnoteReference"/>
        </w:rPr>
        <w:footnoteRef/>
      </w:r>
      <w:r>
        <w:t xml:space="preserve"> </w:t>
      </w:r>
      <w:r w:rsidRPr="00573CEB">
        <w:t xml:space="preserve">Fields, </w:t>
      </w:r>
      <w:r w:rsidRPr="00573CEB">
        <w:rPr>
          <w:i/>
          <w:iCs/>
        </w:rPr>
        <w:t>Translator’s Introductions</w:t>
      </w:r>
      <w:r w:rsidRPr="00573CEB">
        <w:t>,</w:t>
      </w:r>
      <w:r>
        <w:t xml:space="preserve"> </w:t>
      </w:r>
      <w:proofErr w:type="spellStart"/>
      <w:proofErr w:type="gramStart"/>
      <w:r>
        <w:t>pp.xxvii</w:t>
      </w:r>
      <w:proofErr w:type="spellEnd"/>
      <w:proofErr w:type="gramEnd"/>
    </w:p>
  </w:footnote>
  <w:footnote w:id="11">
    <w:p w14:paraId="1410C4B2" w14:textId="77777777" w:rsidR="00BD585E" w:rsidRPr="00C11948" w:rsidRDefault="00BD585E" w:rsidP="00BD585E">
      <w:pPr>
        <w:pStyle w:val="FootnoteText"/>
      </w:pPr>
      <w:r>
        <w:rPr>
          <w:rStyle w:val="FootnoteReference"/>
        </w:rPr>
        <w:footnoteRef/>
      </w:r>
      <w:r>
        <w:t xml:space="preserve"> </w:t>
      </w:r>
      <w:r w:rsidRPr="00573CEB">
        <w:t xml:space="preserve">Fields, </w:t>
      </w:r>
      <w:r w:rsidRPr="00573CEB">
        <w:rPr>
          <w:i/>
          <w:iCs/>
        </w:rPr>
        <w:t>Translator’s Introduction</w:t>
      </w:r>
      <w:r>
        <w:rPr>
          <w:i/>
          <w:iCs/>
        </w:rPr>
        <w:t xml:space="preserve">s, </w:t>
      </w:r>
      <w:proofErr w:type="spellStart"/>
      <w:proofErr w:type="gramStart"/>
      <w:r>
        <w:t>pp.xxvi</w:t>
      </w:r>
      <w:proofErr w:type="spellEnd"/>
      <w:proofErr w:type="gramEnd"/>
    </w:p>
  </w:footnote>
  <w:footnote w:id="12">
    <w:p w14:paraId="38D3D254" w14:textId="16107B8B" w:rsidR="005C18E4" w:rsidRPr="00D66DB2" w:rsidRDefault="005C18E4" w:rsidP="005C18E4">
      <w:pPr>
        <w:rPr>
          <w:u w:val="single"/>
        </w:rPr>
      </w:pPr>
      <w:r>
        <w:rPr>
          <w:rStyle w:val="FootnoteReference"/>
        </w:rPr>
        <w:footnoteRef/>
      </w:r>
      <w:r>
        <w:t xml:space="preserve"> </w:t>
      </w:r>
      <w:proofErr w:type="spellStart"/>
      <w:r w:rsidR="00510ABC">
        <w:t>Idinopulos</w:t>
      </w:r>
      <w:proofErr w:type="spellEnd"/>
      <w:r w:rsidR="00510ABC">
        <w:t>, p</w:t>
      </w:r>
      <w:r>
        <w:t>p.9</w:t>
      </w:r>
    </w:p>
  </w:footnote>
  <w:footnote w:id="13">
    <w:p w14:paraId="683B07C3" w14:textId="3C9D52B4" w:rsidR="005C18E4" w:rsidRPr="00EF04F7" w:rsidRDefault="005C18E4" w:rsidP="005C18E4">
      <w:pPr>
        <w:rPr>
          <w:lang w:val="fr-FR"/>
        </w:rPr>
      </w:pPr>
      <w:r>
        <w:rPr>
          <w:rStyle w:val="FootnoteReference"/>
        </w:rPr>
        <w:footnoteRef/>
      </w:r>
      <w:r>
        <w:t xml:space="preserve"> </w:t>
      </w:r>
      <w:r w:rsidR="00510ABC" w:rsidRPr="00AA5BE1">
        <w:t xml:space="preserve">Durkheim, Emile, </w:t>
      </w:r>
      <w:r w:rsidR="00510ABC" w:rsidRPr="00AA5BE1">
        <w:rPr>
          <w:i/>
          <w:iCs/>
        </w:rPr>
        <w:t>The Elementary Forms of Religious Life</w:t>
      </w:r>
      <w:r w:rsidR="00510ABC" w:rsidRPr="00AA5BE1">
        <w:t xml:space="preserve">, trans. </w:t>
      </w:r>
      <w:r w:rsidR="00510ABC" w:rsidRPr="00EF04F7">
        <w:rPr>
          <w:lang w:val="fr-FR"/>
        </w:rPr>
        <w:t xml:space="preserve">Karen E. Fields, (New York: Free </w:t>
      </w:r>
      <w:proofErr w:type="spellStart"/>
      <w:r w:rsidR="00510ABC" w:rsidRPr="00EF04F7">
        <w:rPr>
          <w:lang w:val="fr-FR"/>
        </w:rPr>
        <w:t>Press</w:t>
      </w:r>
      <w:proofErr w:type="spellEnd"/>
      <w:r w:rsidR="00510ABC" w:rsidRPr="00EF04F7">
        <w:rPr>
          <w:lang w:val="fr-FR"/>
        </w:rPr>
        <w:t xml:space="preserve">, 1995) [1st </w:t>
      </w:r>
      <w:proofErr w:type="spellStart"/>
      <w:proofErr w:type="gramStart"/>
      <w:r w:rsidR="00510ABC" w:rsidRPr="00EF04F7">
        <w:rPr>
          <w:lang w:val="fr-FR"/>
        </w:rPr>
        <w:t>edn</w:t>
      </w:r>
      <w:proofErr w:type="spellEnd"/>
      <w:r w:rsidR="00510ABC" w:rsidRPr="00EF04F7">
        <w:rPr>
          <w:lang w:val="fr-FR"/>
        </w:rPr>
        <w:t>..</w:t>
      </w:r>
      <w:proofErr w:type="gramEnd"/>
      <w:r w:rsidR="00510ABC" w:rsidRPr="00EF04F7">
        <w:rPr>
          <w:lang w:val="fr-FR"/>
        </w:rPr>
        <w:t>, Les Formes élémentaires de la vie religieuse, Paris; F. Alcan 1912]p</w:t>
      </w:r>
      <w:r w:rsidRPr="00EF04F7">
        <w:rPr>
          <w:lang w:val="fr-FR"/>
        </w:rPr>
        <w:t>p. 303</w:t>
      </w:r>
    </w:p>
  </w:footnote>
  <w:footnote w:id="14">
    <w:p w14:paraId="49285F2D" w14:textId="77777777" w:rsidR="00562A9C" w:rsidRDefault="00562A9C" w:rsidP="00562A9C">
      <w:r>
        <w:rPr>
          <w:rStyle w:val="FootnoteReference"/>
        </w:rPr>
        <w:footnoteRef/>
      </w:r>
      <w:r>
        <w:t xml:space="preserve"> </w:t>
      </w:r>
      <w:r w:rsidRPr="00AA5BE1">
        <w:t xml:space="preserve">Eliade, Mircea, </w:t>
      </w:r>
      <w:r w:rsidRPr="00AA5BE1">
        <w:rPr>
          <w:i/>
          <w:iCs/>
        </w:rPr>
        <w:t>The Sacred and the Profane</w:t>
      </w:r>
      <w:r w:rsidRPr="00AA5BE1">
        <w:t xml:space="preserve"> (New York: Harcourt Brace, 1959), pp. 2</w:t>
      </w:r>
      <w:r>
        <w:t xml:space="preserve">2 </w:t>
      </w:r>
    </w:p>
  </w:footnote>
  <w:footnote w:id="15">
    <w:p w14:paraId="2CD814E5" w14:textId="77777777" w:rsidR="00562A9C" w:rsidRDefault="00562A9C" w:rsidP="00562A9C">
      <w:pPr>
        <w:pStyle w:val="FootnoteText"/>
      </w:pPr>
      <w:r>
        <w:rPr>
          <w:rStyle w:val="FootnoteReference"/>
        </w:rPr>
        <w:footnoteRef/>
      </w:r>
      <w:r>
        <w:t xml:space="preserve">  Eliade, Mircea, </w:t>
      </w:r>
      <w:r w:rsidRPr="002200D3">
        <w:rPr>
          <w:i/>
          <w:iCs/>
        </w:rPr>
        <w:t>The Sacred and the Profane</w:t>
      </w:r>
      <w:r>
        <w:t>, pp. 20.</w:t>
      </w:r>
    </w:p>
  </w:footnote>
  <w:footnote w:id="16">
    <w:p w14:paraId="3A1FBC72" w14:textId="30C8D4BA" w:rsidR="002F1E5A" w:rsidRDefault="002F1E5A">
      <w:pPr>
        <w:pStyle w:val="FootnoteText"/>
      </w:pPr>
      <w:r>
        <w:rPr>
          <w:rStyle w:val="FootnoteReference"/>
        </w:rPr>
        <w:footnoteRef/>
      </w:r>
      <w:r>
        <w:t xml:space="preserve"> </w:t>
      </w:r>
      <w:r w:rsidR="007621E2">
        <w:t xml:space="preserve">Fields, </w:t>
      </w:r>
      <w:r w:rsidR="009F5120" w:rsidRPr="009F5120">
        <w:rPr>
          <w:i/>
          <w:iCs/>
        </w:rPr>
        <w:t>Translator’s Introductions</w:t>
      </w:r>
      <w:r w:rsidR="009F5120">
        <w:t xml:space="preserve">, </w:t>
      </w:r>
      <w:proofErr w:type="spellStart"/>
      <w:r w:rsidR="007621E2">
        <w:t>p.xix</w:t>
      </w:r>
      <w:proofErr w:type="spellEnd"/>
    </w:p>
  </w:footnote>
  <w:footnote w:id="17">
    <w:p w14:paraId="6E785509" w14:textId="4F9F3719" w:rsidR="005C18E4" w:rsidRDefault="005C18E4" w:rsidP="005C18E4">
      <w:r>
        <w:rPr>
          <w:rStyle w:val="FootnoteReference"/>
        </w:rPr>
        <w:footnoteRef/>
      </w:r>
      <w:r>
        <w:t xml:space="preserve"> Fields, </w:t>
      </w:r>
      <w:r w:rsidR="005070F8" w:rsidRPr="009F5120">
        <w:rPr>
          <w:i/>
          <w:iCs/>
        </w:rPr>
        <w:t>Translator’s Introductions</w:t>
      </w:r>
      <w:r w:rsidR="005070F8">
        <w:t>, p</w:t>
      </w:r>
      <w:r>
        <w:t>p. xlvi.</w:t>
      </w:r>
    </w:p>
  </w:footnote>
  <w:footnote w:id="18">
    <w:p w14:paraId="74F55346" w14:textId="2840740C" w:rsidR="00B23D31" w:rsidRPr="00DC5420" w:rsidRDefault="00B23D31" w:rsidP="005070F8">
      <w:pPr>
        <w:shd w:val="clear" w:color="auto" w:fill="FFFFFF"/>
        <w:spacing w:after="0" w:line="240" w:lineRule="auto"/>
        <w:outlineLvl w:val="2"/>
        <w:rPr>
          <w:rFonts w:eastAsia="Times New Roman" w:cstheme="minorHAnsi"/>
          <w:color w:val="3A3A3A"/>
          <w:kern w:val="0"/>
          <w:lang w:eastAsia="en-GB"/>
          <w14:ligatures w14:val="none"/>
        </w:rPr>
      </w:pPr>
      <w:r w:rsidRPr="00162796">
        <w:rPr>
          <w:rStyle w:val="FootnoteReference"/>
          <w:rFonts w:cstheme="minorHAnsi"/>
        </w:rPr>
        <w:footnoteRef/>
      </w:r>
      <w:r w:rsidRPr="00162796">
        <w:rPr>
          <w:rFonts w:cstheme="minorHAnsi"/>
        </w:rPr>
        <w:t xml:space="preserve"> </w:t>
      </w:r>
      <w:r w:rsidR="005070F8" w:rsidRPr="00CC70C0">
        <w:rPr>
          <w:rFonts w:cstheme="minorHAnsi"/>
        </w:rPr>
        <w:t xml:space="preserve">Momen, </w:t>
      </w:r>
      <w:proofErr w:type="spellStart"/>
      <w:r w:rsidR="005070F8" w:rsidRPr="00CC70C0">
        <w:rPr>
          <w:rFonts w:cstheme="minorHAnsi"/>
        </w:rPr>
        <w:t>Moojan</w:t>
      </w:r>
      <w:proofErr w:type="spellEnd"/>
      <w:r w:rsidR="005070F8" w:rsidRPr="00CC70C0">
        <w:rPr>
          <w:rFonts w:cstheme="minorHAnsi"/>
        </w:rPr>
        <w:t xml:space="preserve">, ‘The Merging of the Sacred and the Profane: What Substitutes for Ritual in the </w:t>
      </w:r>
      <w:proofErr w:type="spellStart"/>
      <w:r w:rsidR="005070F8" w:rsidRPr="00CC70C0">
        <w:rPr>
          <w:rFonts w:cstheme="minorHAnsi"/>
        </w:rPr>
        <w:t>Baha’I</w:t>
      </w:r>
      <w:proofErr w:type="spellEnd"/>
      <w:r w:rsidR="005070F8" w:rsidRPr="00CC70C0">
        <w:rPr>
          <w:rFonts w:cstheme="minorHAnsi"/>
        </w:rPr>
        <w:t xml:space="preserve"> Faith?</w:t>
      </w:r>
      <w:proofErr w:type="gramStart"/>
      <w:r w:rsidR="005070F8" w:rsidRPr="00CC70C0">
        <w:rPr>
          <w:rFonts w:cstheme="minorHAnsi"/>
        </w:rPr>
        <w:t>’,</w:t>
      </w:r>
      <w:proofErr w:type="gramEnd"/>
      <w:r w:rsidR="005070F8" w:rsidRPr="00CC70C0">
        <w:rPr>
          <w:rFonts w:cstheme="minorHAnsi"/>
        </w:rPr>
        <w:t xml:space="preserve"> </w:t>
      </w:r>
      <w:r w:rsidR="005070F8" w:rsidRPr="00CC70C0">
        <w:rPr>
          <w:rFonts w:cstheme="minorHAnsi"/>
          <w:i/>
          <w:iCs/>
        </w:rPr>
        <w:t xml:space="preserve">Implicit Religion, </w:t>
      </w:r>
      <w:r w:rsidR="005070F8" w:rsidRPr="00CC70C0">
        <w:rPr>
          <w:rFonts w:cstheme="minorHAnsi"/>
        </w:rPr>
        <w:t>16.3 (2013),</w:t>
      </w:r>
      <w:r w:rsidRPr="00162796">
        <w:rPr>
          <w:rFonts w:eastAsia="Times New Roman" w:cstheme="minorHAnsi"/>
          <w:color w:val="3A3A3A"/>
          <w:kern w:val="0"/>
          <w:lang w:eastAsia="en-GB"/>
          <w14:ligatures w14:val="none"/>
        </w:rPr>
        <w:t xml:space="preserve"> </w:t>
      </w:r>
      <w:r w:rsidR="005070F8">
        <w:rPr>
          <w:rFonts w:eastAsia="Times New Roman" w:cstheme="minorHAnsi"/>
          <w:color w:val="3A3A3A"/>
          <w:kern w:val="0"/>
          <w:lang w:eastAsia="en-GB"/>
          <w14:ligatures w14:val="none"/>
        </w:rPr>
        <w:t>p</w:t>
      </w:r>
      <w:r w:rsidRPr="00162796">
        <w:rPr>
          <w:rFonts w:eastAsia="Times New Roman" w:cstheme="minorHAnsi"/>
          <w:color w:val="3A3A3A"/>
          <w:kern w:val="0"/>
          <w:lang w:eastAsia="en-GB"/>
          <w14:ligatures w14:val="none"/>
        </w:rPr>
        <w:t>p.161</w:t>
      </w:r>
    </w:p>
    <w:p w14:paraId="02888E9B" w14:textId="77777777" w:rsidR="00B23D31" w:rsidRDefault="00B23D31" w:rsidP="00B23D31">
      <w:pPr>
        <w:pStyle w:val="FootnoteText"/>
      </w:pPr>
    </w:p>
  </w:footnote>
  <w:footnote w:id="19">
    <w:p w14:paraId="19633800" w14:textId="25B76830" w:rsidR="005C18E4" w:rsidRDefault="005C18E4" w:rsidP="005C18E4">
      <w:pPr>
        <w:pStyle w:val="FootnoteText"/>
      </w:pPr>
      <w:r>
        <w:rPr>
          <w:rStyle w:val="FootnoteReference"/>
        </w:rPr>
        <w:footnoteRef/>
      </w:r>
      <w:r>
        <w:t xml:space="preserve"> Fields, </w:t>
      </w:r>
      <w:r w:rsidR="00A15E81" w:rsidRPr="009F5120">
        <w:rPr>
          <w:i/>
          <w:iCs/>
        </w:rPr>
        <w:t>Translator’s Introductions</w:t>
      </w:r>
      <w:r>
        <w:t xml:space="preserve">, </w:t>
      </w:r>
      <w:proofErr w:type="spellStart"/>
      <w:r>
        <w:t>p.xlvi</w:t>
      </w:r>
      <w:proofErr w:type="spellEnd"/>
      <w:r>
        <w:t>-v</w:t>
      </w:r>
    </w:p>
  </w:footnote>
  <w:footnote w:id="20">
    <w:p w14:paraId="1E854AC9" w14:textId="12DA1C4D" w:rsidR="0016373B" w:rsidRPr="00AA68D0" w:rsidRDefault="0016373B" w:rsidP="0016373B">
      <w:pPr>
        <w:rPr>
          <w:rFonts w:cstheme="minorHAnsi"/>
        </w:rPr>
      </w:pPr>
      <w:r>
        <w:rPr>
          <w:rStyle w:val="FootnoteReference"/>
        </w:rPr>
        <w:footnoteRef/>
      </w:r>
      <w:r>
        <w:t xml:space="preserve"> </w:t>
      </w:r>
      <w:proofErr w:type="spellStart"/>
      <w:r w:rsidR="00AA68D0" w:rsidRPr="00CC70C0">
        <w:rPr>
          <w:rFonts w:cstheme="minorHAnsi"/>
        </w:rPr>
        <w:t>Idinopulos</w:t>
      </w:r>
      <w:proofErr w:type="spellEnd"/>
      <w:r w:rsidR="00AA68D0" w:rsidRPr="00CC70C0">
        <w:rPr>
          <w:rFonts w:cstheme="minorHAnsi"/>
        </w:rPr>
        <w:t xml:space="preserve"> &amp; Wilson, ‘Preface’ in </w:t>
      </w:r>
      <w:r w:rsidR="00AA68D0" w:rsidRPr="00CC70C0">
        <w:rPr>
          <w:rFonts w:cstheme="minorHAnsi"/>
          <w:i/>
          <w:iCs/>
        </w:rPr>
        <w:t xml:space="preserve">Reappraising </w:t>
      </w:r>
      <w:proofErr w:type="spellStart"/>
      <w:r w:rsidR="00AA68D0" w:rsidRPr="00CC70C0">
        <w:rPr>
          <w:rFonts w:cstheme="minorHAnsi"/>
          <w:i/>
          <w:iCs/>
        </w:rPr>
        <w:t>Dukheim</w:t>
      </w:r>
      <w:proofErr w:type="spellEnd"/>
      <w:r w:rsidR="00AA68D0" w:rsidRPr="00CC70C0">
        <w:rPr>
          <w:rFonts w:cstheme="minorHAnsi"/>
          <w:i/>
          <w:iCs/>
        </w:rPr>
        <w:t xml:space="preserve"> for the Study and Teaching of Religion Today</w:t>
      </w:r>
      <w:r w:rsidR="00AA68D0" w:rsidRPr="00CC70C0">
        <w:rPr>
          <w:rFonts w:cstheme="minorHAnsi"/>
        </w:rPr>
        <w:t xml:space="preserve">, ed.by </w:t>
      </w:r>
      <w:proofErr w:type="spellStart"/>
      <w:r w:rsidR="00AA68D0" w:rsidRPr="00CC70C0">
        <w:rPr>
          <w:rFonts w:cstheme="minorHAnsi"/>
        </w:rPr>
        <w:t>Idinopulos</w:t>
      </w:r>
      <w:proofErr w:type="spellEnd"/>
      <w:r w:rsidR="00AA68D0" w:rsidRPr="00CC70C0">
        <w:rPr>
          <w:rFonts w:cstheme="minorHAnsi"/>
        </w:rPr>
        <w:t xml:space="preserve"> &amp; Wilson (Boston: Brill, 2001) </w:t>
      </w:r>
      <w:proofErr w:type="spellStart"/>
      <w:proofErr w:type="gramStart"/>
      <w:r w:rsidR="00AA68D0" w:rsidRPr="00CC70C0">
        <w:rPr>
          <w:rFonts w:cstheme="minorHAnsi"/>
        </w:rPr>
        <w:t>p</w:t>
      </w:r>
      <w:r>
        <w:t>p.ix</w:t>
      </w:r>
      <w:proofErr w:type="spellEnd"/>
      <w:proofErr w:type="gramEnd"/>
      <w:r>
        <w:t xml:space="preserve"> </w:t>
      </w:r>
    </w:p>
  </w:footnote>
  <w:footnote w:id="21">
    <w:p w14:paraId="0E682A0D" w14:textId="7D5FD0DB" w:rsidR="005C18E4" w:rsidRDefault="005C18E4" w:rsidP="005C18E4">
      <w:r w:rsidRPr="009543EA">
        <w:rPr>
          <w:rStyle w:val="FootnoteReference"/>
        </w:rPr>
        <w:footnoteRef/>
      </w:r>
      <w:r w:rsidRPr="009543EA">
        <w:t xml:space="preserve"> </w:t>
      </w:r>
      <w:proofErr w:type="spellStart"/>
      <w:r w:rsidRPr="009543EA">
        <w:t>Idinopulos</w:t>
      </w:r>
      <w:proofErr w:type="spellEnd"/>
      <w:r w:rsidRPr="009543EA">
        <w:t xml:space="preserve"> &amp; Wilson</w:t>
      </w:r>
      <w:r w:rsidR="00AA68D0" w:rsidRPr="009543EA">
        <w:t>,</w:t>
      </w:r>
      <w:r>
        <w:t xml:space="preserve"> </w:t>
      </w:r>
      <w:proofErr w:type="spellStart"/>
      <w:r>
        <w:t>p.x</w:t>
      </w:r>
      <w:proofErr w:type="spellEnd"/>
    </w:p>
  </w:footnote>
  <w:footnote w:id="22">
    <w:p w14:paraId="1D596C89" w14:textId="1EA7B851" w:rsidR="00B23D31" w:rsidRDefault="00B23D31" w:rsidP="00B23D31">
      <w:pPr>
        <w:pStyle w:val="FootnoteText"/>
      </w:pPr>
      <w:r>
        <w:rPr>
          <w:rStyle w:val="FootnoteReference"/>
        </w:rPr>
        <w:footnoteRef/>
      </w:r>
      <w:r>
        <w:t xml:space="preserve"> </w:t>
      </w:r>
      <w:r w:rsidR="007821DF">
        <w:t xml:space="preserve">Allen, </w:t>
      </w:r>
      <w:r w:rsidR="007821DF" w:rsidRPr="00D504F1">
        <w:rPr>
          <w:i/>
          <w:iCs/>
        </w:rPr>
        <w:t xml:space="preserve">Explorations in Classical Sociological Theory: Seeing the Social World </w:t>
      </w:r>
      <w:r w:rsidR="007821DF">
        <w:t>(California: Pine Forge Press, 2005) p</w:t>
      </w:r>
      <w:r>
        <w:t xml:space="preserve">p.108 </w:t>
      </w:r>
    </w:p>
  </w:footnote>
  <w:footnote w:id="23">
    <w:p w14:paraId="74B3582A" w14:textId="34A57438" w:rsidR="005957E6" w:rsidRDefault="005957E6">
      <w:pPr>
        <w:pStyle w:val="FootnoteText"/>
      </w:pPr>
      <w:r>
        <w:rPr>
          <w:rStyle w:val="FootnoteReference"/>
        </w:rPr>
        <w:footnoteRef/>
      </w:r>
      <w:r>
        <w:t xml:space="preserve"> </w:t>
      </w:r>
      <w:r>
        <w:t xml:space="preserve">Abrudan, Elena, </w:t>
      </w:r>
      <w:r w:rsidRPr="008B7DD2">
        <w:rPr>
          <w:i/>
          <w:iCs/>
        </w:rPr>
        <w:t>The Odyssey of M. Eliade’s</w:t>
      </w:r>
      <w:r w:rsidR="008B7DD2">
        <w:t xml:space="preserve">, </w:t>
      </w:r>
      <w:r>
        <w:t>pp.6</w:t>
      </w:r>
      <w:r>
        <w:t>5</w:t>
      </w:r>
    </w:p>
  </w:footnote>
  <w:footnote w:id="24">
    <w:p w14:paraId="4D21E43A" w14:textId="3E612B58" w:rsidR="005C18E4" w:rsidRDefault="005C18E4" w:rsidP="005C18E4">
      <w:pPr>
        <w:pStyle w:val="FootnoteText"/>
      </w:pPr>
      <w:r>
        <w:rPr>
          <w:rStyle w:val="FootnoteReference"/>
        </w:rPr>
        <w:footnoteRef/>
      </w:r>
      <w:r>
        <w:t xml:space="preserve"> </w:t>
      </w:r>
      <w:r w:rsidR="003A186A" w:rsidRPr="00AA5BE1">
        <w:t xml:space="preserve">Eliade, Mircea, </w:t>
      </w:r>
      <w:r w:rsidR="003A186A" w:rsidRPr="00AA5BE1">
        <w:rPr>
          <w:i/>
          <w:iCs/>
        </w:rPr>
        <w:t>The Sacred and the Profane</w:t>
      </w:r>
      <w:r w:rsidR="003A186A">
        <w:t>, p</w:t>
      </w:r>
      <w:r>
        <w:t>p.25</w:t>
      </w:r>
    </w:p>
  </w:footnote>
  <w:footnote w:id="25">
    <w:p w14:paraId="3AA63F84" w14:textId="529D1CF1" w:rsidR="002272A8" w:rsidRPr="00321EEB" w:rsidRDefault="002272A8" w:rsidP="002272A8">
      <w:pPr>
        <w:pStyle w:val="FootnoteText"/>
        <w:rPr>
          <w:i/>
          <w:iCs/>
        </w:rPr>
      </w:pPr>
      <w:r>
        <w:rPr>
          <w:rStyle w:val="FootnoteReference"/>
        </w:rPr>
        <w:footnoteRef/>
      </w:r>
      <w:r>
        <w:t xml:space="preserve"> </w:t>
      </w:r>
      <w:r w:rsidRPr="00AA5BE1">
        <w:t xml:space="preserve">Eliade, Mircea, </w:t>
      </w:r>
      <w:r w:rsidRPr="00AA5BE1">
        <w:rPr>
          <w:i/>
          <w:iCs/>
        </w:rPr>
        <w:t>The Sacred and the Profane</w:t>
      </w:r>
      <w:r>
        <w:t>, pp.26</w:t>
      </w:r>
    </w:p>
  </w:footnote>
  <w:footnote w:id="26">
    <w:p w14:paraId="6F484D7C" w14:textId="0068D817" w:rsidR="00946239" w:rsidRDefault="00946239" w:rsidP="00946239">
      <w:pPr>
        <w:pStyle w:val="FootnoteText"/>
      </w:pPr>
      <w:r>
        <w:rPr>
          <w:rStyle w:val="FootnoteReference"/>
        </w:rPr>
        <w:footnoteRef/>
      </w:r>
      <w:r>
        <w:t xml:space="preserve"> </w:t>
      </w:r>
      <w:r w:rsidR="003A186A" w:rsidRPr="00AA5BE1">
        <w:t xml:space="preserve">Eliade, Mircea, </w:t>
      </w:r>
      <w:r w:rsidR="003A186A" w:rsidRPr="00AA5BE1">
        <w:rPr>
          <w:i/>
          <w:iCs/>
        </w:rPr>
        <w:t>The Sacred and the Profane</w:t>
      </w:r>
      <w:r w:rsidR="003A186A">
        <w:t>, p</w:t>
      </w:r>
      <w:r>
        <w:t>p.26</w:t>
      </w:r>
    </w:p>
  </w:footnote>
  <w:footnote w:id="27">
    <w:p w14:paraId="43D192BF" w14:textId="05122E6F" w:rsidR="00946239" w:rsidRDefault="00946239" w:rsidP="00946239">
      <w:pPr>
        <w:pStyle w:val="FootnoteText"/>
      </w:pPr>
      <w:r>
        <w:rPr>
          <w:rStyle w:val="FootnoteReference"/>
        </w:rPr>
        <w:footnoteRef/>
      </w:r>
      <w:r>
        <w:t xml:space="preserve"> </w:t>
      </w:r>
      <w:r w:rsidR="003A186A" w:rsidRPr="00AA5BE1">
        <w:t xml:space="preserve">Eliade, Mircea, </w:t>
      </w:r>
      <w:r w:rsidR="003A186A" w:rsidRPr="00AA5BE1">
        <w:rPr>
          <w:i/>
          <w:iCs/>
        </w:rPr>
        <w:t>The Sacred and the Profane</w:t>
      </w:r>
      <w:r w:rsidR="003A186A">
        <w:t xml:space="preserve">, </w:t>
      </w:r>
      <w:r>
        <w:t xml:space="preserve">p.22 &amp;23 </w:t>
      </w:r>
    </w:p>
  </w:footnote>
  <w:footnote w:id="28">
    <w:p w14:paraId="05A62E70" w14:textId="58E3EC1E" w:rsidR="00946239" w:rsidRPr="003A186A" w:rsidRDefault="00946239" w:rsidP="003A186A">
      <w:pPr>
        <w:pStyle w:val="FootnoteText"/>
        <w:rPr>
          <w:rFonts w:cstheme="minorHAnsi"/>
          <w:sz w:val="22"/>
          <w:szCs w:val="22"/>
        </w:rPr>
      </w:pPr>
      <w:r>
        <w:rPr>
          <w:rStyle w:val="FootnoteReference"/>
        </w:rPr>
        <w:footnoteRef/>
      </w:r>
      <w:r w:rsidR="003A186A" w:rsidRPr="00CC70C0">
        <w:rPr>
          <w:rFonts w:cstheme="minorHAnsi"/>
          <w:sz w:val="22"/>
          <w:szCs w:val="22"/>
        </w:rPr>
        <w:t>Rennie, Bryan, ‘Mircea Eliade and the Perception of the Sacred in the Profane: Intention, Reduction, and Cognitive Theory</w:t>
      </w:r>
      <w:proofErr w:type="gramStart"/>
      <w:r w:rsidR="003A186A" w:rsidRPr="00CC70C0">
        <w:rPr>
          <w:rFonts w:cstheme="minorHAnsi"/>
          <w:sz w:val="22"/>
          <w:szCs w:val="22"/>
        </w:rPr>
        <w:t>’,</w:t>
      </w:r>
      <w:proofErr w:type="gramEnd"/>
      <w:r w:rsidR="003A186A" w:rsidRPr="00CC70C0">
        <w:rPr>
          <w:rFonts w:cstheme="minorHAnsi"/>
          <w:sz w:val="22"/>
          <w:szCs w:val="22"/>
        </w:rPr>
        <w:t xml:space="preserve"> </w:t>
      </w:r>
      <w:r w:rsidR="003A186A" w:rsidRPr="00CC70C0">
        <w:rPr>
          <w:rFonts w:cstheme="minorHAnsi"/>
          <w:i/>
          <w:iCs/>
          <w:sz w:val="22"/>
          <w:szCs w:val="22"/>
        </w:rPr>
        <w:t xml:space="preserve">Temenos, </w:t>
      </w:r>
      <w:r w:rsidR="003A186A" w:rsidRPr="00CC70C0">
        <w:rPr>
          <w:rFonts w:cstheme="minorHAnsi"/>
          <w:sz w:val="22"/>
          <w:szCs w:val="22"/>
        </w:rPr>
        <w:t>43.1 (2007), pp.</w:t>
      </w:r>
      <w:r w:rsidR="003A186A">
        <w:rPr>
          <w:rFonts w:cstheme="minorHAnsi"/>
          <w:sz w:val="22"/>
          <w:szCs w:val="22"/>
        </w:rPr>
        <w:t>82</w:t>
      </w:r>
    </w:p>
  </w:footnote>
  <w:footnote w:id="29">
    <w:p w14:paraId="165432CE" w14:textId="7BAEAD38" w:rsidR="0009333A" w:rsidRDefault="0009333A" w:rsidP="0009333A">
      <w:pPr>
        <w:pStyle w:val="FootnoteText"/>
      </w:pPr>
      <w:r>
        <w:rPr>
          <w:rStyle w:val="FootnoteReference"/>
        </w:rPr>
        <w:footnoteRef/>
      </w:r>
      <w:r>
        <w:t xml:space="preserve"> </w:t>
      </w:r>
      <w:r w:rsidR="003A186A" w:rsidRPr="00AA5BE1">
        <w:t xml:space="preserve">Eliade, Mircea, </w:t>
      </w:r>
      <w:r w:rsidR="003A186A" w:rsidRPr="00AA5BE1">
        <w:rPr>
          <w:i/>
          <w:iCs/>
        </w:rPr>
        <w:t>The Sacred and the Profane</w:t>
      </w:r>
      <w:r w:rsidR="003A186A">
        <w:t>, p</w:t>
      </w:r>
      <w:r>
        <w:t>p.25</w:t>
      </w:r>
    </w:p>
  </w:footnote>
  <w:footnote w:id="30">
    <w:p w14:paraId="259D4AD8" w14:textId="5F3EF61B" w:rsidR="0095279E" w:rsidRPr="00756817" w:rsidRDefault="0095279E" w:rsidP="00756817">
      <w:pPr>
        <w:rPr>
          <w:rFonts w:cstheme="minorHAnsi"/>
        </w:rPr>
      </w:pPr>
      <w:r w:rsidRPr="00365658">
        <w:rPr>
          <w:rStyle w:val="FootnoteReference"/>
          <w:rFonts w:cstheme="minorHAnsi"/>
        </w:rPr>
        <w:footnoteRef/>
      </w:r>
      <w:r w:rsidRPr="00365658">
        <w:rPr>
          <w:rFonts w:cstheme="minorHAnsi"/>
        </w:rPr>
        <w:t xml:space="preserve"> </w:t>
      </w:r>
      <w:r w:rsidR="00632610" w:rsidRPr="00CC70C0">
        <w:rPr>
          <w:rFonts w:cstheme="minorHAnsi"/>
        </w:rPr>
        <w:t>Pfister, Lauren, ‘Ubication: a phenomenological study about making spaces sacred</w:t>
      </w:r>
      <w:proofErr w:type="gramStart"/>
      <w:r w:rsidR="00632610" w:rsidRPr="00CC70C0">
        <w:rPr>
          <w:rFonts w:cstheme="minorHAnsi"/>
        </w:rPr>
        <w:t>’</w:t>
      </w:r>
      <w:r w:rsidR="00632610" w:rsidRPr="00CC70C0">
        <w:rPr>
          <w:rFonts w:cstheme="minorHAnsi"/>
          <w:i/>
          <w:iCs/>
        </w:rPr>
        <w:t>,</w:t>
      </w:r>
      <w:proofErr w:type="gramEnd"/>
      <w:r w:rsidR="00632610" w:rsidRPr="00CC70C0">
        <w:rPr>
          <w:rFonts w:cstheme="minorHAnsi"/>
          <w:i/>
          <w:iCs/>
        </w:rPr>
        <w:t xml:space="preserve"> International communication of Chinese culture, </w:t>
      </w:r>
      <w:r w:rsidR="00632610" w:rsidRPr="00CC70C0">
        <w:rPr>
          <w:rFonts w:cstheme="minorHAnsi"/>
        </w:rPr>
        <w:t>4.3 (2017), pp.</w:t>
      </w:r>
      <w:r w:rsidR="007B5CA0">
        <w:rPr>
          <w:rFonts w:cstheme="minorHAnsi"/>
        </w:rPr>
        <w:t>400</w:t>
      </w:r>
    </w:p>
  </w:footnote>
  <w:footnote w:id="31">
    <w:p w14:paraId="58079B7C" w14:textId="21AA9777" w:rsidR="007A1B24" w:rsidRDefault="007A1B24" w:rsidP="007A1B24">
      <w:r>
        <w:rPr>
          <w:rStyle w:val="FootnoteReference"/>
        </w:rPr>
        <w:footnoteRef/>
      </w:r>
      <w:r>
        <w:t xml:space="preserve"> </w:t>
      </w:r>
      <w:r w:rsidRPr="00ED48D3">
        <w:t>Ebersole, Gary L</w:t>
      </w:r>
      <w:r>
        <w:t>, ‘</w:t>
      </w:r>
      <w:r w:rsidRPr="00ED48D3">
        <w:t>Reconstructing Eliade: Making Sense of Religion. Bryan S. Rennie</w:t>
      </w:r>
      <w:proofErr w:type="gramStart"/>
      <w:r>
        <w:t>’,</w:t>
      </w:r>
      <w:proofErr w:type="gramEnd"/>
      <w:r>
        <w:t xml:space="preserve"> </w:t>
      </w:r>
      <w:r w:rsidRPr="006E46F2">
        <w:rPr>
          <w:i/>
          <w:iCs/>
        </w:rPr>
        <w:t xml:space="preserve">The Journal of </w:t>
      </w:r>
      <w:r>
        <w:rPr>
          <w:i/>
          <w:iCs/>
        </w:rPr>
        <w:t>R</w:t>
      </w:r>
      <w:r w:rsidRPr="006E46F2">
        <w:rPr>
          <w:i/>
          <w:iCs/>
        </w:rPr>
        <w:t>eligion</w:t>
      </w:r>
      <w:r w:rsidRPr="00ED48D3">
        <w:t>, 78</w:t>
      </w:r>
      <w:r>
        <w:t>.</w:t>
      </w:r>
      <w:r w:rsidRPr="00ED48D3">
        <w:t>1</w:t>
      </w:r>
      <w:r>
        <w:t xml:space="preserve"> (1998)</w:t>
      </w:r>
      <w:r w:rsidRPr="00ED48D3">
        <w:t xml:space="preserve"> </w:t>
      </w:r>
      <w:r w:rsidR="008F6D23">
        <w:t>p</w:t>
      </w:r>
      <w:r w:rsidRPr="00ED48D3">
        <w:t>p.</w:t>
      </w:r>
      <w:r>
        <w:t>168</w:t>
      </w:r>
    </w:p>
  </w:footnote>
  <w:footnote w:id="32">
    <w:p w14:paraId="77EEAC0F" w14:textId="3C764E67" w:rsidR="00C05267" w:rsidRDefault="00C05267" w:rsidP="00C05267">
      <w:pPr>
        <w:pStyle w:val="FootnoteText"/>
      </w:pPr>
      <w:r>
        <w:rPr>
          <w:rStyle w:val="FootnoteReference"/>
        </w:rPr>
        <w:footnoteRef/>
      </w:r>
      <w:r>
        <w:t xml:space="preserve"> </w:t>
      </w:r>
      <w:r w:rsidRPr="00ED48D3">
        <w:t>Ebersole, Gary L</w:t>
      </w:r>
      <w:r>
        <w:t xml:space="preserve">, </w:t>
      </w:r>
      <w:r w:rsidRPr="008F6D23">
        <w:rPr>
          <w:i/>
          <w:iCs/>
        </w:rPr>
        <w:t>Reconstructing Eliade</w:t>
      </w:r>
      <w:r w:rsidR="008F6D23">
        <w:t>, p</w:t>
      </w:r>
      <w:r w:rsidRPr="00ED48D3">
        <w:t>p.</w:t>
      </w:r>
      <w:r>
        <w:t>168</w:t>
      </w:r>
    </w:p>
  </w:footnote>
  <w:footnote w:id="33">
    <w:p w14:paraId="2E1A4A0C" w14:textId="0C1C5BF6" w:rsidR="002021DE" w:rsidRPr="005957E6" w:rsidRDefault="002021DE" w:rsidP="002021DE">
      <w:pPr>
        <w:pStyle w:val="NoSpacing"/>
        <w:rPr>
          <w:rFonts w:cstheme="minorHAnsi"/>
          <w:lang w:eastAsia="en-GB"/>
        </w:rPr>
      </w:pPr>
      <w:r w:rsidRPr="00365658">
        <w:rPr>
          <w:rStyle w:val="FootnoteReference"/>
          <w:rFonts w:cstheme="minorHAnsi"/>
        </w:rPr>
        <w:footnoteRef/>
      </w:r>
      <w:r w:rsidRPr="00365658">
        <w:rPr>
          <w:rFonts w:cstheme="minorHAnsi"/>
        </w:rPr>
        <w:t xml:space="preserve"> </w:t>
      </w:r>
      <w:r w:rsidRPr="00365658">
        <w:rPr>
          <w:rFonts w:cstheme="minorHAnsi"/>
          <w:color w:val="000000" w:themeColor="text1"/>
          <w:shd w:val="clear" w:color="auto" w:fill="FFFFFF"/>
        </w:rPr>
        <w:t>Rennie,</w:t>
      </w:r>
      <w:r w:rsidR="00756817">
        <w:rPr>
          <w:rFonts w:cstheme="minorHAnsi"/>
          <w:color w:val="000000" w:themeColor="text1"/>
          <w:shd w:val="clear" w:color="auto" w:fill="FFFFFF"/>
        </w:rPr>
        <w:t xml:space="preserve"> </w:t>
      </w:r>
      <w:r w:rsidRPr="005957E6">
        <w:rPr>
          <w:rFonts w:cstheme="minorHAnsi"/>
          <w:shd w:val="clear" w:color="auto" w:fill="FFFFFF"/>
        </w:rPr>
        <w:t>Bryan</w:t>
      </w:r>
      <w:r w:rsidR="00756817" w:rsidRPr="005957E6">
        <w:rPr>
          <w:rFonts w:cstheme="minorHAnsi"/>
          <w:shd w:val="clear" w:color="auto" w:fill="FFFFFF"/>
        </w:rPr>
        <w:t xml:space="preserve">, </w:t>
      </w:r>
      <w:r w:rsidRPr="005957E6">
        <w:rPr>
          <w:rFonts w:cstheme="minorHAnsi"/>
          <w:i/>
          <w:iCs/>
          <w:lang w:eastAsia="en-GB"/>
        </w:rPr>
        <w:t>Mircea Eliade and the Perception</w:t>
      </w:r>
      <w:r w:rsidR="00756817" w:rsidRPr="005957E6">
        <w:rPr>
          <w:rFonts w:cstheme="minorHAnsi"/>
          <w:lang w:eastAsia="en-GB"/>
        </w:rPr>
        <w:t>, p</w:t>
      </w:r>
      <w:r w:rsidRPr="005957E6">
        <w:rPr>
          <w:rFonts w:cstheme="minorHAnsi"/>
        </w:rPr>
        <w:t xml:space="preserve">p.76 </w:t>
      </w:r>
    </w:p>
  </w:footnote>
  <w:footnote w:id="34">
    <w:p w14:paraId="6DE0E6F3" w14:textId="5F708877" w:rsidR="0095279E" w:rsidRPr="005957E6" w:rsidRDefault="0095279E" w:rsidP="00756817">
      <w:pPr>
        <w:pStyle w:val="Heading3"/>
        <w:shd w:val="clear" w:color="auto" w:fill="FFFFFF"/>
        <w:spacing w:before="0" w:beforeAutospacing="0" w:after="0" w:afterAutospacing="0"/>
        <w:rPr>
          <w:rFonts w:asciiTheme="minorHAnsi" w:hAnsiTheme="minorHAnsi" w:cstheme="minorHAnsi"/>
          <w:b w:val="0"/>
          <w:bCs w:val="0"/>
          <w:sz w:val="22"/>
          <w:szCs w:val="22"/>
        </w:rPr>
      </w:pPr>
      <w:r w:rsidRPr="005957E6">
        <w:rPr>
          <w:rStyle w:val="FootnoteReference"/>
          <w:rFonts w:asciiTheme="minorHAnsi" w:hAnsiTheme="minorHAnsi" w:cstheme="minorHAnsi"/>
          <w:b w:val="0"/>
          <w:bCs w:val="0"/>
          <w:sz w:val="22"/>
          <w:szCs w:val="22"/>
        </w:rPr>
        <w:footnoteRef/>
      </w:r>
      <w:r w:rsidRPr="005957E6">
        <w:rPr>
          <w:rFonts w:asciiTheme="minorHAnsi" w:hAnsiTheme="minorHAnsi" w:cstheme="minorHAnsi"/>
          <w:b w:val="0"/>
          <w:bCs w:val="0"/>
          <w:sz w:val="22"/>
          <w:szCs w:val="22"/>
        </w:rPr>
        <w:t xml:space="preserve"> Pfister, Lauren F</w:t>
      </w:r>
      <w:r w:rsidR="00756817" w:rsidRPr="005957E6">
        <w:rPr>
          <w:rFonts w:asciiTheme="minorHAnsi" w:hAnsiTheme="minorHAnsi" w:cstheme="minorHAnsi"/>
          <w:b w:val="0"/>
          <w:bCs w:val="0"/>
          <w:sz w:val="22"/>
          <w:szCs w:val="22"/>
        </w:rPr>
        <w:t xml:space="preserve">, </w:t>
      </w:r>
      <w:r w:rsidR="00756817" w:rsidRPr="005957E6">
        <w:rPr>
          <w:rFonts w:asciiTheme="minorHAnsi" w:hAnsiTheme="minorHAnsi" w:cstheme="minorHAnsi"/>
          <w:b w:val="0"/>
          <w:bCs w:val="0"/>
          <w:i/>
          <w:iCs/>
          <w:sz w:val="22"/>
          <w:szCs w:val="22"/>
        </w:rPr>
        <w:t xml:space="preserve">Ubication: </w:t>
      </w:r>
      <w:proofErr w:type="gramStart"/>
      <w:r w:rsidR="00756817" w:rsidRPr="005957E6">
        <w:rPr>
          <w:rFonts w:asciiTheme="minorHAnsi" w:hAnsiTheme="minorHAnsi" w:cstheme="minorHAnsi"/>
          <w:b w:val="0"/>
          <w:bCs w:val="0"/>
          <w:i/>
          <w:iCs/>
          <w:sz w:val="22"/>
          <w:szCs w:val="22"/>
        </w:rPr>
        <w:t>a</w:t>
      </w:r>
      <w:proofErr w:type="gramEnd"/>
      <w:r w:rsidR="00756817" w:rsidRPr="005957E6">
        <w:rPr>
          <w:rFonts w:asciiTheme="minorHAnsi" w:hAnsiTheme="minorHAnsi" w:cstheme="minorHAnsi"/>
          <w:b w:val="0"/>
          <w:bCs w:val="0"/>
          <w:i/>
          <w:iCs/>
          <w:sz w:val="22"/>
          <w:szCs w:val="22"/>
        </w:rPr>
        <w:t xml:space="preserve"> Phenomenological, </w:t>
      </w:r>
      <w:r w:rsidR="00756817" w:rsidRPr="005957E6">
        <w:rPr>
          <w:rFonts w:asciiTheme="minorHAnsi" w:hAnsiTheme="minorHAnsi" w:cstheme="minorHAnsi"/>
          <w:b w:val="0"/>
          <w:bCs w:val="0"/>
          <w:sz w:val="22"/>
          <w:szCs w:val="22"/>
        </w:rPr>
        <w:t>pp.400</w:t>
      </w:r>
    </w:p>
  </w:footnote>
  <w:footnote w:id="35">
    <w:p w14:paraId="6AF47ABE" w14:textId="6E6CCC75" w:rsidR="002A0B96" w:rsidRPr="00365658" w:rsidRDefault="002A0B96" w:rsidP="002A0B96">
      <w:pPr>
        <w:rPr>
          <w:rFonts w:cstheme="minorHAnsi"/>
        </w:rPr>
      </w:pPr>
      <w:r w:rsidRPr="00365658">
        <w:rPr>
          <w:rStyle w:val="FootnoteReference"/>
          <w:rFonts w:cstheme="minorHAnsi"/>
        </w:rPr>
        <w:footnoteRef/>
      </w:r>
      <w:proofErr w:type="spellStart"/>
      <w:r w:rsidR="00756817" w:rsidRPr="009543EA">
        <w:t>Idinopulos</w:t>
      </w:r>
      <w:proofErr w:type="spellEnd"/>
      <w:r w:rsidR="00756817" w:rsidRPr="009543EA">
        <w:t xml:space="preserve"> &amp; Wilson,</w:t>
      </w:r>
      <w:r w:rsidRPr="00365658">
        <w:rPr>
          <w:rFonts w:cstheme="minorHAnsi"/>
        </w:rPr>
        <w:t xml:space="preserve"> </w:t>
      </w:r>
      <w:proofErr w:type="spellStart"/>
      <w:r w:rsidR="00756817">
        <w:rPr>
          <w:rFonts w:cstheme="minorHAnsi"/>
        </w:rPr>
        <w:t>p</w:t>
      </w:r>
      <w:r w:rsidRPr="00365658">
        <w:rPr>
          <w:rFonts w:cstheme="minorHAnsi"/>
        </w:rPr>
        <w:t>p.x</w:t>
      </w:r>
      <w:proofErr w:type="spellEnd"/>
    </w:p>
  </w:footnote>
  <w:footnote w:id="36">
    <w:p w14:paraId="7F7F8608" w14:textId="201BE572" w:rsidR="00321EEB" w:rsidRPr="00321EEB" w:rsidRDefault="00321EEB">
      <w:pPr>
        <w:pStyle w:val="FootnoteText"/>
        <w:rPr>
          <w:i/>
          <w:iCs/>
        </w:rPr>
      </w:pPr>
      <w:r>
        <w:rPr>
          <w:rStyle w:val="FootnoteReference"/>
        </w:rPr>
        <w:footnoteRef/>
      </w:r>
      <w:r>
        <w:t xml:space="preserve"> </w:t>
      </w:r>
      <w:r w:rsidRPr="00AA5BE1">
        <w:t xml:space="preserve">Eliade, Mircea, </w:t>
      </w:r>
      <w:r w:rsidRPr="00AA5BE1">
        <w:rPr>
          <w:i/>
          <w:iCs/>
        </w:rPr>
        <w:t>The Sacred and the Profane</w:t>
      </w:r>
      <w:r>
        <w:t>, pp.2</w:t>
      </w:r>
      <w:r>
        <w:t>0</w:t>
      </w:r>
    </w:p>
  </w:footnote>
  <w:footnote w:id="37">
    <w:p w14:paraId="094995C5" w14:textId="55E7E68D" w:rsidR="00321EEB" w:rsidRPr="00D8180A" w:rsidRDefault="00321EEB">
      <w:pPr>
        <w:pStyle w:val="FootnoteText"/>
        <w:rPr>
          <w:i/>
          <w:iCs/>
        </w:rPr>
      </w:pPr>
      <w:r>
        <w:rPr>
          <w:rStyle w:val="FootnoteReference"/>
        </w:rPr>
        <w:footnoteRef/>
      </w:r>
      <w:r>
        <w:t xml:space="preserve"> </w:t>
      </w:r>
      <w:r w:rsidRPr="00AA5BE1">
        <w:t xml:space="preserve">Eliade, Mircea, </w:t>
      </w:r>
      <w:r w:rsidRPr="00AA5BE1">
        <w:rPr>
          <w:i/>
          <w:iCs/>
        </w:rPr>
        <w:t>The Sacred and the Profane</w:t>
      </w:r>
      <w:r>
        <w:t>, pp.2</w:t>
      </w:r>
      <w:r w:rsidR="00D8180A">
        <w:t>0</w:t>
      </w:r>
    </w:p>
  </w:footnote>
  <w:footnote w:id="38">
    <w:p w14:paraId="116BEBEA" w14:textId="77777777" w:rsidR="00F94D38" w:rsidRDefault="00F94D38" w:rsidP="00F94D38">
      <w:pPr>
        <w:pStyle w:val="FootnoteText"/>
      </w:pPr>
      <w:r>
        <w:rPr>
          <w:rStyle w:val="FootnoteReference"/>
        </w:rPr>
        <w:footnoteRef/>
      </w:r>
      <w:r>
        <w:t xml:space="preserve"> Fields, </w:t>
      </w:r>
      <w:r w:rsidRPr="009F5120">
        <w:rPr>
          <w:i/>
          <w:iCs/>
        </w:rPr>
        <w:t>Translator’s Introductions</w:t>
      </w:r>
      <w:r>
        <w:t>, p. xix</w:t>
      </w:r>
    </w:p>
  </w:footnote>
  <w:footnote w:id="39">
    <w:p w14:paraId="1850539A" w14:textId="68E3B2BA" w:rsidR="000D1FE5" w:rsidRPr="004326A4" w:rsidRDefault="000D1FE5" w:rsidP="000D1FE5">
      <w:pPr>
        <w:rPr>
          <w:u w:val="single"/>
        </w:rPr>
      </w:pPr>
      <w:r>
        <w:rPr>
          <w:rStyle w:val="FootnoteReference"/>
        </w:rPr>
        <w:footnoteRef/>
      </w:r>
      <w:r>
        <w:t xml:space="preserve"> </w:t>
      </w:r>
      <w:proofErr w:type="spellStart"/>
      <w:r w:rsidRPr="00756817">
        <w:t>Idinopulos</w:t>
      </w:r>
      <w:proofErr w:type="spellEnd"/>
      <w:r w:rsidR="00756817">
        <w:t>,</w:t>
      </w:r>
      <w:r>
        <w:t xml:space="preserve"> </w:t>
      </w:r>
      <w:r w:rsidR="00F72D48">
        <w:t>p</w:t>
      </w:r>
      <w:r>
        <w:t>p.10</w:t>
      </w:r>
    </w:p>
  </w:footnote>
  <w:footnote w:id="40">
    <w:p w14:paraId="2E027300" w14:textId="77777777" w:rsidR="007C19BB" w:rsidRDefault="007C19BB" w:rsidP="007C19BB">
      <w:pPr>
        <w:pStyle w:val="FootnoteText"/>
      </w:pPr>
      <w:r>
        <w:rPr>
          <w:rStyle w:val="FootnoteReference"/>
        </w:rPr>
        <w:footnoteRef/>
      </w:r>
      <w:r>
        <w:t xml:space="preserve"> Durkheim, </w:t>
      </w:r>
      <w:r w:rsidRPr="00756817">
        <w:rPr>
          <w:i/>
          <w:iCs/>
        </w:rPr>
        <w:t>The Elementary Forms</w:t>
      </w:r>
      <w:r>
        <w:t>, p. 161</w:t>
      </w:r>
    </w:p>
  </w:footnote>
  <w:footnote w:id="41">
    <w:p w14:paraId="1C11422F" w14:textId="0D947DDC" w:rsidR="00DE7001" w:rsidRPr="00862867" w:rsidRDefault="00DE7001" w:rsidP="00C52D37">
      <w:pPr>
        <w:shd w:val="clear" w:color="auto" w:fill="FFFFFF"/>
        <w:spacing w:after="0" w:line="240" w:lineRule="auto"/>
        <w:outlineLvl w:val="2"/>
        <w:rPr>
          <w:rFonts w:eastAsia="Times New Roman" w:cstheme="minorHAnsi"/>
          <w:b/>
          <w:bCs/>
          <w:kern w:val="0"/>
          <w:lang w:eastAsia="en-GB"/>
          <w14:ligatures w14:val="none"/>
        </w:rPr>
      </w:pPr>
      <w:r w:rsidRPr="00162796">
        <w:rPr>
          <w:rStyle w:val="FootnoteReference"/>
          <w:rFonts w:cstheme="minorHAnsi"/>
        </w:rPr>
        <w:footnoteRef/>
      </w:r>
      <w:r w:rsidRPr="00162796">
        <w:rPr>
          <w:rFonts w:cstheme="minorHAnsi"/>
        </w:rPr>
        <w:t xml:space="preserve"> </w:t>
      </w:r>
      <w:r w:rsidRPr="00862867">
        <w:rPr>
          <w:rFonts w:eastAsia="Times New Roman" w:cstheme="minorHAnsi"/>
          <w:kern w:val="0"/>
          <w:lang w:eastAsia="en-GB"/>
          <w14:ligatures w14:val="none"/>
        </w:rPr>
        <w:t xml:space="preserve">Momen, </w:t>
      </w:r>
      <w:proofErr w:type="spellStart"/>
      <w:r w:rsidRPr="00862867">
        <w:rPr>
          <w:rFonts w:eastAsia="Times New Roman" w:cstheme="minorHAnsi"/>
          <w:kern w:val="0"/>
          <w:lang w:eastAsia="en-GB"/>
          <w14:ligatures w14:val="none"/>
        </w:rPr>
        <w:t>Moojan</w:t>
      </w:r>
      <w:proofErr w:type="spellEnd"/>
      <w:r w:rsidR="00F72D48" w:rsidRPr="00862867">
        <w:rPr>
          <w:rFonts w:eastAsia="Times New Roman" w:cstheme="minorHAnsi"/>
          <w:kern w:val="0"/>
          <w:lang w:eastAsia="en-GB"/>
          <w14:ligatures w14:val="none"/>
        </w:rPr>
        <w:t xml:space="preserve">, </w:t>
      </w:r>
      <w:r w:rsidR="00F72D48" w:rsidRPr="00862867">
        <w:rPr>
          <w:rFonts w:eastAsia="Times New Roman" w:cstheme="minorHAnsi"/>
          <w:i/>
          <w:iCs/>
          <w:kern w:val="0"/>
          <w:lang w:eastAsia="en-GB"/>
          <w14:ligatures w14:val="none"/>
        </w:rPr>
        <w:t xml:space="preserve">The Merging of the Sacred, </w:t>
      </w:r>
      <w:r w:rsidR="00F72D48" w:rsidRPr="00862867">
        <w:rPr>
          <w:rFonts w:eastAsia="Times New Roman" w:cstheme="minorHAnsi"/>
          <w:kern w:val="0"/>
          <w:lang w:eastAsia="en-GB"/>
          <w14:ligatures w14:val="none"/>
        </w:rPr>
        <w:t>pp.161</w:t>
      </w:r>
    </w:p>
  </w:footnote>
  <w:footnote w:id="42">
    <w:p w14:paraId="6C8DDAAD" w14:textId="2D72AC5C" w:rsidR="00DE7001" w:rsidRPr="00862867" w:rsidRDefault="00DE7001" w:rsidP="00DE7001">
      <w:pPr>
        <w:rPr>
          <w:rFonts w:cstheme="minorHAnsi"/>
        </w:rPr>
      </w:pPr>
      <w:r w:rsidRPr="00862867">
        <w:rPr>
          <w:rStyle w:val="FootnoteReference"/>
        </w:rPr>
        <w:footnoteRef/>
      </w:r>
      <w:r w:rsidR="00F72D48" w:rsidRPr="00862867">
        <w:t xml:space="preserve"> </w:t>
      </w:r>
      <w:r w:rsidRPr="00862867">
        <w:t xml:space="preserve"> </w:t>
      </w:r>
      <w:r w:rsidR="00F72D48" w:rsidRPr="00862867">
        <w:t xml:space="preserve">Abrudan, Elena, </w:t>
      </w:r>
      <w:r w:rsidR="00F72D48" w:rsidRPr="005957E6">
        <w:rPr>
          <w:i/>
          <w:iCs/>
        </w:rPr>
        <w:t>The Odyssey of M. Eliade</w:t>
      </w:r>
      <w:r w:rsidR="005957E6">
        <w:t>,</w:t>
      </w:r>
      <w:r w:rsidR="00F72D48" w:rsidRPr="00862867">
        <w:t xml:space="preserve"> pp.65</w:t>
      </w:r>
    </w:p>
  </w:footnote>
  <w:footnote w:id="43">
    <w:p w14:paraId="3AC52397" w14:textId="58B47F5B" w:rsidR="00862867" w:rsidRPr="00862867" w:rsidRDefault="00862867" w:rsidP="00862867">
      <w:pPr>
        <w:shd w:val="clear" w:color="auto" w:fill="FFFFFF"/>
        <w:spacing w:after="0" w:line="336" w:lineRule="atLeast"/>
        <w:rPr>
          <w:rFonts w:eastAsia="Times New Roman" w:cstheme="minorHAnsi"/>
          <w:kern w:val="0"/>
          <w:lang w:eastAsia="en-GB"/>
          <w14:ligatures w14:val="none"/>
        </w:rPr>
      </w:pPr>
      <w:r>
        <w:rPr>
          <w:rStyle w:val="FootnoteReference"/>
        </w:rPr>
        <w:footnoteRef/>
      </w:r>
      <w:r>
        <w:t xml:space="preserve"> </w:t>
      </w:r>
      <w:proofErr w:type="spellStart"/>
      <w:r w:rsidRPr="00862867">
        <w:rPr>
          <w:rFonts w:eastAsia="Times New Roman" w:cstheme="minorHAnsi"/>
          <w:kern w:val="0"/>
          <w:lang w:eastAsia="en-GB"/>
          <w14:ligatures w14:val="none"/>
        </w:rPr>
        <w:t>Oyelade</w:t>
      </w:r>
      <w:proofErr w:type="spellEnd"/>
      <w:r w:rsidRPr="00862867">
        <w:rPr>
          <w:rFonts w:eastAsia="Times New Roman" w:cstheme="minorHAnsi"/>
          <w:kern w:val="0"/>
          <w:lang w:eastAsia="en-GB"/>
          <w14:ligatures w14:val="none"/>
        </w:rPr>
        <w:t xml:space="preserve"> and others, ‘The Intersection of the Sacred and the Profane in Urban Markets in Ibadan, Nigeria</w:t>
      </w:r>
      <w:proofErr w:type="gramStart"/>
      <w:r w:rsidRPr="00862867">
        <w:rPr>
          <w:rFonts w:eastAsia="Times New Roman" w:cstheme="minorHAnsi"/>
          <w:kern w:val="0"/>
          <w:lang w:eastAsia="en-GB"/>
          <w14:ligatures w14:val="none"/>
        </w:rPr>
        <w:t>’,</w:t>
      </w:r>
      <w:proofErr w:type="gramEnd"/>
      <w:r w:rsidRPr="00862867">
        <w:rPr>
          <w:rFonts w:eastAsia="Times New Roman" w:cstheme="minorHAnsi"/>
          <w:kern w:val="0"/>
          <w:lang w:eastAsia="en-GB"/>
          <w14:ligatures w14:val="none"/>
        </w:rPr>
        <w:t xml:space="preserve"> </w:t>
      </w:r>
      <w:r w:rsidRPr="00862867">
        <w:rPr>
          <w:rFonts w:eastAsia="Times New Roman" w:cstheme="minorHAnsi"/>
          <w:i/>
          <w:iCs/>
          <w:kern w:val="0"/>
          <w:lang w:eastAsia="en-GB"/>
          <w14:ligatures w14:val="none"/>
        </w:rPr>
        <w:t xml:space="preserve">Comparative Sociology, </w:t>
      </w:r>
      <w:r w:rsidRPr="00862867">
        <w:rPr>
          <w:rFonts w:eastAsia="Times New Roman" w:cstheme="minorHAnsi"/>
          <w:kern w:val="0"/>
          <w:lang w:eastAsia="en-GB"/>
          <w14:ligatures w14:val="none"/>
        </w:rPr>
        <w:t>20.5 (2021), pp.57</w:t>
      </w:r>
      <w:r>
        <w:rPr>
          <w:rFonts w:eastAsia="Times New Roman" w:cstheme="minorHAnsi"/>
          <w:kern w:val="0"/>
          <w:lang w:eastAsia="en-GB"/>
          <w14:ligatures w14:val="none"/>
        </w:rPr>
        <w:t>5</w:t>
      </w:r>
    </w:p>
  </w:footnote>
  <w:footnote w:id="44">
    <w:p w14:paraId="6B3ED5F1" w14:textId="4E4F958F" w:rsidR="004535BE" w:rsidRPr="00862867" w:rsidRDefault="004535BE" w:rsidP="00C52D37">
      <w:pPr>
        <w:shd w:val="clear" w:color="auto" w:fill="FFFFFF"/>
        <w:spacing w:after="0" w:line="240" w:lineRule="auto"/>
        <w:outlineLvl w:val="2"/>
        <w:rPr>
          <w:rFonts w:eastAsia="Times New Roman" w:cstheme="minorHAnsi"/>
          <w:kern w:val="0"/>
          <w:lang w:eastAsia="en-GB"/>
          <w14:ligatures w14:val="none"/>
        </w:rPr>
      </w:pPr>
      <w:r w:rsidRPr="00862867">
        <w:rPr>
          <w:rStyle w:val="FootnoteReference"/>
          <w:rFonts w:cstheme="minorHAnsi"/>
        </w:rPr>
        <w:footnoteRef/>
      </w:r>
      <w:r w:rsidRPr="00862867">
        <w:rPr>
          <w:rFonts w:cstheme="minorHAnsi"/>
        </w:rPr>
        <w:t xml:space="preserve"> </w:t>
      </w:r>
      <w:proofErr w:type="spellStart"/>
      <w:r w:rsidR="00C52D37" w:rsidRPr="00862867">
        <w:rPr>
          <w:rFonts w:eastAsia="Times New Roman" w:cstheme="minorHAnsi"/>
          <w:kern w:val="0"/>
          <w:lang w:eastAsia="en-GB"/>
          <w14:ligatures w14:val="none"/>
        </w:rPr>
        <w:t>Oyelade</w:t>
      </w:r>
      <w:proofErr w:type="spellEnd"/>
      <w:r w:rsidR="00C52D37" w:rsidRPr="00862867">
        <w:rPr>
          <w:rFonts w:eastAsia="Times New Roman" w:cstheme="minorHAnsi"/>
          <w:kern w:val="0"/>
          <w:lang w:eastAsia="en-GB"/>
          <w14:ligatures w14:val="none"/>
        </w:rPr>
        <w:t xml:space="preserve"> and others, </w:t>
      </w:r>
      <w:r w:rsidR="00C52D37" w:rsidRPr="00862867">
        <w:rPr>
          <w:rFonts w:eastAsia="Times New Roman" w:cstheme="minorHAnsi"/>
          <w:i/>
          <w:iCs/>
          <w:kern w:val="0"/>
          <w:lang w:eastAsia="en-GB"/>
          <w14:ligatures w14:val="none"/>
        </w:rPr>
        <w:t>The Intersection of the Sacred</w:t>
      </w:r>
      <w:r w:rsidR="00862867">
        <w:rPr>
          <w:rFonts w:eastAsia="Times New Roman" w:cstheme="minorHAnsi"/>
          <w:kern w:val="0"/>
          <w:lang w:eastAsia="en-GB"/>
          <w14:ligatures w14:val="none"/>
        </w:rPr>
        <w:t xml:space="preserve">, </w:t>
      </w:r>
      <w:r w:rsidR="00C52D37" w:rsidRPr="00862867">
        <w:rPr>
          <w:rFonts w:eastAsia="Times New Roman" w:cstheme="minorHAnsi"/>
          <w:kern w:val="0"/>
          <w:lang w:eastAsia="en-GB"/>
          <w14:ligatures w14:val="none"/>
        </w:rPr>
        <w:t>p</w:t>
      </w:r>
      <w:r w:rsidRPr="00862867">
        <w:rPr>
          <w:rFonts w:eastAsia="Times New Roman" w:cstheme="minorHAnsi"/>
          <w:kern w:val="0"/>
          <w:lang w:eastAsia="en-GB"/>
          <w14:ligatures w14:val="none"/>
        </w:rPr>
        <w:t>p.575</w:t>
      </w:r>
    </w:p>
  </w:footnote>
  <w:footnote w:id="45">
    <w:p w14:paraId="3DD02A82" w14:textId="308823BB" w:rsidR="00687AA5" w:rsidRPr="00862867" w:rsidRDefault="00687AA5" w:rsidP="00C52D37">
      <w:r w:rsidRPr="00862867">
        <w:rPr>
          <w:rStyle w:val="FootnoteReference"/>
        </w:rPr>
        <w:footnoteRef/>
      </w:r>
      <w:r w:rsidRPr="00862867">
        <w:t xml:space="preserve"> </w:t>
      </w:r>
      <w:r w:rsidR="00862867" w:rsidRPr="00862867">
        <w:t xml:space="preserve">Durkheim, </w:t>
      </w:r>
      <w:r w:rsidR="00862867" w:rsidRPr="00862867">
        <w:rPr>
          <w:i/>
          <w:iCs/>
        </w:rPr>
        <w:t>The Elementary Forms</w:t>
      </w:r>
      <w:r w:rsidR="00862867" w:rsidRPr="00862867">
        <w:t>, p</w:t>
      </w:r>
      <w:r w:rsidR="00862867" w:rsidRPr="00862867">
        <w:t>p.423</w:t>
      </w:r>
    </w:p>
  </w:footnote>
  <w:footnote w:id="46">
    <w:p w14:paraId="55C1CD86" w14:textId="2699517A" w:rsidR="00460561" w:rsidRDefault="00460561" w:rsidP="00460561">
      <w:r>
        <w:rPr>
          <w:rStyle w:val="FootnoteReference"/>
        </w:rPr>
        <w:footnoteRef/>
      </w:r>
      <w:r>
        <w:t xml:space="preserve"> </w:t>
      </w:r>
      <w:r w:rsidRPr="00CC70C0">
        <w:rPr>
          <w:rFonts w:cstheme="minorHAnsi"/>
        </w:rPr>
        <w:t xml:space="preserve">Paden, William, </w:t>
      </w:r>
      <w:r>
        <w:t xml:space="preserve">pp.23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AB54" w14:textId="5C1EBABC" w:rsidR="00123482" w:rsidRDefault="00123482">
    <w:pPr>
      <w:pStyle w:val="Header"/>
    </w:pPr>
    <w:r>
      <w:t>Emily Nixon</w:t>
    </w:r>
    <w:r w:rsidR="00DB2ABF">
      <w:tab/>
    </w:r>
    <w:r w:rsidR="00DB2ABF">
      <w:tab/>
      <w:t>2212291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E4"/>
    <w:rsid w:val="00001BD0"/>
    <w:rsid w:val="00020967"/>
    <w:rsid w:val="00021FE7"/>
    <w:rsid w:val="000253B5"/>
    <w:rsid w:val="00026C8C"/>
    <w:rsid w:val="000329A8"/>
    <w:rsid w:val="00040FD7"/>
    <w:rsid w:val="00061AB0"/>
    <w:rsid w:val="000732A1"/>
    <w:rsid w:val="0008150D"/>
    <w:rsid w:val="00085C12"/>
    <w:rsid w:val="0009333A"/>
    <w:rsid w:val="000A7D09"/>
    <w:rsid w:val="000B0518"/>
    <w:rsid w:val="000B1BFB"/>
    <w:rsid w:val="000C6961"/>
    <w:rsid w:val="000D1FE5"/>
    <w:rsid w:val="000F0E7B"/>
    <w:rsid w:val="000F7EF8"/>
    <w:rsid w:val="00115A62"/>
    <w:rsid w:val="00117688"/>
    <w:rsid w:val="00123482"/>
    <w:rsid w:val="0012487B"/>
    <w:rsid w:val="00134E9A"/>
    <w:rsid w:val="00140C99"/>
    <w:rsid w:val="00161CE1"/>
    <w:rsid w:val="0016373B"/>
    <w:rsid w:val="0016433D"/>
    <w:rsid w:val="001710EF"/>
    <w:rsid w:val="00193B89"/>
    <w:rsid w:val="00194D42"/>
    <w:rsid w:val="001951D3"/>
    <w:rsid w:val="001955A4"/>
    <w:rsid w:val="001A22FB"/>
    <w:rsid w:val="001A5EEB"/>
    <w:rsid w:val="001C2B1A"/>
    <w:rsid w:val="001D5B72"/>
    <w:rsid w:val="001D6456"/>
    <w:rsid w:val="001E10D9"/>
    <w:rsid w:val="001E2A43"/>
    <w:rsid w:val="001E5632"/>
    <w:rsid w:val="001F26F5"/>
    <w:rsid w:val="001F5EDA"/>
    <w:rsid w:val="001F66D0"/>
    <w:rsid w:val="001F682D"/>
    <w:rsid w:val="002021DE"/>
    <w:rsid w:val="002067BA"/>
    <w:rsid w:val="00211FA6"/>
    <w:rsid w:val="002134C2"/>
    <w:rsid w:val="002200D3"/>
    <w:rsid w:val="002272A8"/>
    <w:rsid w:val="002273BA"/>
    <w:rsid w:val="002306B5"/>
    <w:rsid w:val="002461B9"/>
    <w:rsid w:val="0026722C"/>
    <w:rsid w:val="00275198"/>
    <w:rsid w:val="002A0B96"/>
    <w:rsid w:val="002A5FDE"/>
    <w:rsid w:val="002A704D"/>
    <w:rsid w:val="002E543A"/>
    <w:rsid w:val="002F1E5A"/>
    <w:rsid w:val="003027D8"/>
    <w:rsid w:val="003055B5"/>
    <w:rsid w:val="00315CC3"/>
    <w:rsid w:val="00316BC3"/>
    <w:rsid w:val="00317AB7"/>
    <w:rsid w:val="00321EEB"/>
    <w:rsid w:val="0033669C"/>
    <w:rsid w:val="00336B48"/>
    <w:rsid w:val="00340345"/>
    <w:rsid w:val="00370B46"/>
    <w:rsid w:val="00390B4D"/>
    <w:rsid w:val="00395F16"/>
    <w:rsid w:val="00397E89"/>
    <w:rsid w:val="003A186A"/>
    <w:rsid w:val="003A7896"/>
    <w:rsid w:val="003C1197"/>
    <w:rsid w:val="003C2D8D"/>
    <w:rsid w:val="003C398A"/>
    <w:rsid w:val="003C7014"/>
    <w:rsid w:val="003D1AE6"/>
    <w:rsid w:val="003E2EE8"/>
    <w:rsid w:val="003F7016"/>
    <w:rsid w:val="00421CD7"/>
    <w:rsid w:val="00424099"/>
    <w:rsid w:val="00450EFD"/>
    <w:rsid w:val="004535BE"/>
    <w:rsid w:val="00454198"/>
    <w:rsid w:val="00460561"/>
    <w:rsid w:val="00466329"/>
    <w:rsid w:val="00480208"/>
    <w:rsid w:val="0048145B"/>
    <w:rsid w:val="004B3988"/>
    <w:rsid w:val="004C4918"/>
    <w:rsid w:val="004C537A"/>
    <w:rsid w:val="004F0F2E"/>
    <w:rsid w:val="005034DB"/>
    <w:rsid w:val="005070F8"/>
    <w:rsid w:val="00510ABC"/>
    <w:rsid w:val="005156DC"/>
    <w:rsid w:val="00521417"/>
    <w:rsid w:val="00524872"/>
    <w:rsid w:val="00524A9B"/>
    <w:rsid w:val="00525E41"/>
    <w:rsid w:val="00541786"/>
    <w:rsid w:val="00562A9C"/>
    <w:rsid w:val="00573CEB"/>
    <w:rsid w:val="005914B8"/>
    <w:rsid w:val="005957E6"/>
    <w:rsid w:val="005A1718"/>
    <w:rsid w:val="005A20C2"/>
    <w:rsid w:val="005A68F3"/>
    <w:rsid w:val="005B3F64"/>
    <w:rsid w:val="005C18E4"/>
    <w:rsid w:val="005F0642"/>
    <w:rsid w:val="005F6BEE"/>
    <w:rsid w:val="00602ECB"/>
    <w:rsid w:val="00603C70"/>
    <w:rsid w:val="00632610"/>
    <w:rsid w:val="00636696"/>
    <w:rsid w:val="00647F7A"/>
    <w:rsid w:val="00651E02"/>
    <w:rsid w:val="0065453A"/>
    <w:rsid w:val="00662208"/>
    <w:rsid w:val="00662DC8"/>
    <w:rsid w:val="00683187"/>
    <w:rsid w:val="00687AA5"/>
    <w:rsid w:val="00692DA7"/>
    <w:rsid w:val="006A50A5"/>
    <w:rsid w:val="006B1EE1"/>
    <w:rsid w:val="006C2F86"/>
    <w:rsid w:val="006C374B"/>
    <w:rsid w:val="006C3F84"/>
    <w:rsid w:val="006E24F6"/>
    <w:rsid w:val="006E27B8"/>
    <w:rsid w:val="006E46F2"/>
    <w:rsid w:val="0071536D"/>
    <w:rsid w:val="00717C1E"/>
    <w:rsid w:val="00727CC9"/>
    <w:rsid w:val="00727D6C"/>
    <w:rsid w:val="007313E2"/>
    <w:rsid w:val="00732A71"/>
    <w:rsid w:val="00745FFA"/>
    <w:rsid w:val="00756817"/>
    <w:rsid w:val="007621E2"/>
    <w:rsid w:val="007744B3"/>
    <w:rsid w:val="007762F2"/>
    <w:rsid w:val="00777BC6"/>
    <w:rsid w:val="00777F6D"/>
    <w:rsid w:val="007821DF"/>
    <w:rsid w:val="00785A05"/>
    <w:rsid w:val="007A1B24"/>
    <w:rsid w:val="007B5CA0"/>
    <w:rsid w:val="007C19BB"/>
    <w:rsid w:val="007C5827"/>
    <w:rsid w:val="007D25F4"/>
    <w:rsid w:val="007F580C"/>
    <w:rsid w:val="007F6CFB"/>
    <w:rsid w:val="00811F2E"/>
    <w:rsid w:val="00817020"/>
    <w:rsid w:val="00820784"/>
    <w:rsid w:val="00823F77"/>
    <w:rsid w:val="00826EF6"/>
    <w:rsid w:val="00862867"/>
    <w:rsid w:val="00863534"/>
    <w:rsid w:val="0086543F"/>
    <w:rsid w:val="0088606D"/>
    <w:rsid w:val="00890284"/>
    <w:rsid w:val="008B1A1A"/>
    <w:rsid w:val="008B7DD2"/>
    <w:rsid w:val="008C35BA"/>
    <w:rsid w:val="008F0031"/>
    <w:rsid w:val="008F6D23"/>
    <w:rsid w:val="00902100"/>
    <w:rsid w:val="009078B0"/>
    <w:rsid w:val="0091380B"/>
    <w:rsid w:val="00921623"/>
    <w:rsid w:val="009232BE"/>
    <w:rsid w:val="009320C8"/>
    <w:rsid w:val="009431D3"/>
    <w:rsid w:val="00946239"/>
    <w:rsid w:val="009525B4"/>
    <w:rsid w:val="0095279E"/>
    <w:rsid w:val="009543EA"/>
    <w:rsid w:val="00961882"/>
    <w:rsid w:val="009707F5"/>
    <w:rsid w:val="00972B02"/>
    <w:rsid w:val="0097327C"/>
    <w:rsid w:val="009B3007"/>
    <w:rsid w:val="009E0254"/>
    <w:rsid w:val="009F29CC"/>
    <w:rsid w:val="009F5120"/>
    <w:rsid w:val="009F60C2"/>
    <w:rsid w:val="00A0261A"/>
    <w:rsid w:val="00A13A43"/>
    <w:rsid w:val="00A153E9"/>
    <w:rsid w:val="00A15E81"/>
    <w:rsid w:val="00A24903"/>
    <w:rsid w:val="00A2584D"/>
    <w:rsid w:val="00A2731E"/>
    <w:rsid w:val="00A35A7C"/>
    <w:rsid w:val="00A50A34"/>
    <w:rsid w:val="00A5305D"/>
    <w:rsid w:val="00A65D86"/>
    <w:rsid w:val="00A70395"/>
    <w:rsid w:val="00A76BEB"/>
    <w:rsid w:val="00A80392"/>
    <w:rsid w:val="00A834E7"/>
    <w:rsid w:val="00A85477"/>
    <w:rsid w:val="00A91E37"/>
    <w:rsid w:val="00AA68D0"/>
    <w:rsid w:val="00AB024F"/>
    <w:rsid w:val="00AC08B4"/>
    <w:rsid w:val="00AC444E"/>
    <w:rsid w:val="00AC7CBE"/>
    <w:rsid w:val="00AD21C8"/>
    <w:rsid w:val="00AD7D03"/>
    <w:rsid w:val="00AE1EE3"/>
    <w:rsid w:val="00AF01FA"/>
    <w:rsid w:val="00AF3016"/>
    <w:rsid w:val="00B03BE3"/>
    <w:rsid w:val="00B1141E"/>
    <w:rsid w:val="00B13470"/>
    <w:rsid w:val="00B16AE1"/>
    <w:rsid w:val="00B23D31"/>
    <w:rsid w:val="00B4335B"/>
    <w:rsid w:val="00B4640D"/>
    <w:rsid w:val="00B46A79"/>
    <w:rsid w:val="00B61625"/>
    <w:rsid w:val="00B66E20"/>
    <w:rsid w:val="00B67EB2"/>
    <w:rsid w:val="00B72075"/>
    <w:rsid w:val="00B74D94"/>
    <w:rsid w:val="00B811A7"/>
    <w:rsid w:val="00B82E5C"/>
    <w:rsid w:val="00B96D5B"/>
    <w:rsid w:val="00BB0460"/>
    <w:rsid w:val="00BC3707"/>
    <w:rsid w:val="00BC3962"/>
    <w:rsid w:val="00BD585E"/>
    <w:rsid w:val="00BE2039"/>
    <w:rsid w:val="00BE5B1B"/>
    <w:rsid w:val="00BF6B2C"/>
    <w:rsid w:val="00C011D9"/>
    <w:rsid w:val="00C05267"/>
    <w:rsid w:val="00C11948"/>
    <w:rsid w:val="00C16964"/>
    <w:rsid w:val="00C40053"/>
    <w:rsid w:val="00C52D37"/>
    <w:rsid w:val="00C56A88"/>
    <w:rsid w:val="00C616AB"/>
    <w:rsid w:val="00C63FD4"/>
    <w:rsid w:val="00C80A4F"/>
    <w:rsid w:val="00C92618"/>
    <w:rsid w:val="00C94D3B"/>
    <w:rsid w:val="00CA0829"/>
    <w:rsid w:val="00CB0DFF"/>
    <w:rsid w:val="00CE684F"/>
    <w:rsid w:val="00CE711F"/>
    <w:rsid w:val="00CF5D4F"/>
    <w:rsid w:val="00D10EB9"/>
    <w:rsid w:val="00D167A5"/>
    <w:rsid w:val="00D20279"/>
    <w:rsid w:val="00D22EB1"/>
    <w:rsid w:val="00D45155"/>
    <w:rsid w:val="00D61391"/>
    <w:rsid w:val="00D654E7"/>
    <w:rsid w:val="00D66275"/>
    <w:rsid w:val="00D66C7C"/>
    <w:rsid w:val="00D8180A"/>
    <w:rsid w:val="00D825A3"/>
    <w:rsid w:val="00D845D2"/>
    <w:rsid w:val="00D914D7"/>
    <w:rsid w:val="00D92196"/>
    <w:rsid w:val="00D935BE"/>
    <w:rsid w:val="00DB2ABF"/>
    <w:rsid w:val="00DB30D8"/>
    <w:rsid w:val="00DB6F6E"/>
    <w:rsid w:val="00DB7D41"/>
    <w:rsid w:val="00DC7C14"/>
    <w:rsid w:val="00DD542E"/>
    <w:rsid w:val="00DE7001"/>
    <w:rsid w:val="00DF1745"/>
    <w:rsid w:val="00E104F1"/>
    <w:rsid w:val="00E12D26"/>
    <w:rsid w:val="00E26DBE"/>
    <w:rsid w:val="00E436A7"/>
    <w:rsid w:val="00E46745"/>
    <w:rsid w:val="00E560E3"/>
    <w:rsid w:val="00E60E59"/>
    <w:rsid w:val="00E64443"/>
    <w:rsid w:val="00E70F3A"/>
    <w:rsid w:val="00E85B34"/>
    <w:rsid w:val="00E8630A"/>
    <w:rsid w:val="00E94BAF"/>
    <w:rsid w:val="00EC6504"/>
    <w:rsid w:val="00ED41BB"/>
    <w:rsid w:val="00ED48D3"/>
    <w:rsid w:val="00ED7E3F"/>
    <w:rsid w:val="00EF04F7"/>
    <w:rsid w:val="00EF40A9"/>
    <w:rsid w:val="00F13466"/>
    <w:rsid w:val="00F304C0"/>
    <w:rsid w:val="00F37324"/>
    <w:rsid w:val="00F41DF5"/>
    <w:rsid w:val="00F42C50"/>
    <w:rsid w:val="00F44308"/>
    <w:rsid w:val="00F5434F"/>
    <w:rsid w:val="00F62DD3"/>
    <w:rsid w:val="00F72D48"/>
    <w:rsid w:val="00F73217"/>
    <w:rsid w:val="00F832D1"/>
    <w:rsid w:val="00F87298"/>
    <w:rsid w:val="00F94D38"/>
    <w:rsid w:val="00FA145E"/>
    <w:rsid w:val="00FA1B11"/>
    <w:rsid w:val="00FB2903"/>
    <w:rsid w:val="00FD10FD"/>
    <w:rsid w:val="00FD283F"/>
    <w:rsid w:val="00FE6431"/>
    <w:rsid w:val="00FF39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B7E68"/>
  <w15:chartTrackingRefBased/>
  <w15:docId w15:val="{5256944D-922B-4EAC-A0C1-DE0E79E7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4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5279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C18E4"/>
    <w:pPr>
      <w:spacing w:after="0" w:line="240" w:lineRule="auto"/>
    </w:pPr>
    <w:rPr>
      <w:sz w:val="20"/>
      <w:szCs w:val="20"/>
    </w:rPr>
  </w:style>
  <w:style w:type="character" w:customStyle="1" w:styleId="FootnoteTextChar">
    <w:name w:val="Footnote Text Char"/>
    <w:basedOn w:val="DefaultParagraphFont"/>
    <w:link w:val="FootnoteText"/>
    <w:uiPriority w:val="99"/>
    <w:rsid w:val="005C18E4"/>
    <w:rPr>
      <w:sz w:val="20"/>
      <w:szCs w:val="20"/>
    </w:rPr>
  </w:style>
  <w:style w:type="character" w:styleId="FootnoteReference">
    <w:name w:val="footnote reference"/>
    <w:basedOn w:val="DefaultParagraphFont"/>
    <w:uiPriority w:val="99"/>
    <w:semiHidden/>
    <w:unhideWhenUsed/>
    <w:rsid w:val="005C18E4"/>
    <w:rPr>
      <w:vertAlign w:val="superscript"/>
    </w:rPr>
  </w:style>
  <w:style w:type="paragraph" w:styleId="NoSpacing">
    <w:name w:val="No Spacing"/>
    <w:uiPriority w:val="1"/>
    <w:qFormat/>
    <w:rsid w:val="00946239"/>
    <w:pPr>
      <w:spacing w:after="0" w:line="240" w:lineRule="auto"/>
    </w:pPr>
  </w:style>
  <w:style w:type="character" w:customStyle="1" w:styleId="Heading3Char">
    <w:name w:val="Heading 3 Char"/>
    <w:basedOn w:val="DefaultParagraphFont"/>
    <w:link w:val="Heading3"/>
    <w:uiPriority w:val="9"/>
    <w:rsid w:val="0095279E"/>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rsid w:val="00AC444E"/>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 w:type="paragraph" w:styleId="Header">
    <w:name w:val="header"/>
    <w:basedOn w:val="Normal"/>
    <w:link w:val="HeaderChar"/>
    <w:uiPriority w:val="99"/>
    <w:unhideWhenUsed/>
    <w:rsid w:val="00123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482"/>
  </w:style>
  <w:style w:type="paragraph" w:styleId="Footer">
    <w:name w:val="footer"/>
    <w:basedOn w:val="Normal"/>
    <w:link w:val="FooterChar"/>
    <w:uiPriority w:val="99"/>
    <w:unhideWhenUsed/>
    <w:rsid w:val="00123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482"/>
  </w:style>
  <w:style w:type="character" w:customStyle="1" w:styleId="Heading1Char">
    <w:name w:val="Heading 1 Char"/>
    <w:basedOn w:val="DefaultParagraphFont"/>
    <w:link w:val="Heading1"/>
    <w:uiPriority w:val="9"/>
    <w:rsid w:val="005914B8"/>
    <w:rPr>
      <w:rFonts w:asciiTheme="majorHAnsi" w:eastAsiaTheme="majorEastAsia" w:hAnsiTheme="majorHAnsi" w:cstheme="majorBidi"/>
      <w:color w:val="2F5496" w:themeColor="accent1" w:themeShade="BF"/>
      <w:sz w:val="32"/>
      <w:szCs w:val="32"/>
    </w:rPr>
  </w:style>
  <w:style w:type="character" w:customStyle="1" w:styleId="r-search-result">
    <w:name w:val="r-search-result"/>
    <w:basedOn w:val="DefaultParagraphFont"/>
    <w:rsid w:val="00C80A4F"/>
  </w:style>
  <w:style w:type="character" w:styleId="Emphasis">
    <w:name w:val="Emphasis"/>
    <w:basedOn w:val="DefaultParagraphFont"/>
    <w:uiPriority w:val="20"/>
    <w:qFormat/>
    <w:rsid w:val="00C80A4F"/>
    <w:rPr>
      <w:i/>
      <w:iCs/>
    </w:rPr>
  </w:style>
  <w:style w:type="character" w:styleId="CommentReference">
    <w:name w:val="annotation reference"/>
    <w:basedOn w:val="DefaultParagraphFont"/>
    <w:uiPriority w:val="99"/>
    <w:semiHidden/>
    <w:unhideWhenUsed/>
    <w:rsid w:val="00636696"/>
    <w:rPr>
      <w:sz w:val="16"/>
      <w:szCs w:val="16"/>
    </w:rPr>
  </w:style>
  <w:style w:type="paragraph" w:styleId="CommentText">
    <w:name w:val="annotation text"/>
    <w:basedOn w:val="Normal"/>
    <w:link w:val="CommentTextChar"/>
    <w:uiPriority w:val="99"/>
    <w:unhideWhenUsed/>
    <w:rsid w:val="00636696"/>
    <w:pPr>
      <w:spacing w:line="240" w:lineRule="auto"/>
    </w:pPr>
    <w:rPr>
      <w:sz w:val="20"/>
      <w:szCs w:val="20"/>
    </w:rPr>
  </w:style>
  <w:style w:type="character" w:customStyle="1" w:styleId="CommentTextChar">
    <w:name w:val="Comment Text Char"/>
    <w:basedOn w:val="DefaultParagraphFont"/>
    <w:link w:val="CommentText"/>
    <w:uiPriority w:val="99"/>
    <w:rsid w:val="00636696"/>
    <w:rPr>
      <w:sz w:val="20"/>
      <w:szCs w:val="20"/>
    </w:rPr>
  </w:style>
  <w:style w:type="paragraph" w:styleId="CommentSubject">
    <w:name w:val="annotation subject"/>
    <w:basedOn w:val="CommentText"/>
    <w:next w:val="CommentText"/>
    <w:link w:val="CommentSubjectChar"/>
    <w:uiPriority w:val="99"/>
    <w:semiHidden/>
    <w:unhideWhenUsed/>
    <w:rsid w:val="00636696"/>
    <w:rPr>
      <w:b/>
      <w:bCs/>
    </w:rPr>
  </w:style>
  <w:style w:type="character" w:customStyle="1" w:styleId="CommentSubjectChar">
    <w:name w:val="Comment Subject Char"/>
    <w:basedOn w:val="CommentTextChar"/>
    <w:link w:val="CommentSubject"/>
    <w:uiPriority w:val="99"/>
    <w:semiHidden/>
    <w:rsid w:val="006366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88328">
      <w:bodyDiv w:val="1"/>
      <w:marLeft w:val="0"/>
      <w:marRight w:val="0"/>
      <w:marTop w:val="0"/>
      <w:marBottom w:val="0"/>
      <w:divBdr>
        <w:top w:val="none" w:sz="0" w:space="0" w:color="auto"/>
        <w:left w:val="none" w:sz="0" w:space="0" w:color="auto"/>
        <w:bottom w:val="none" w:sz="0" w:space="0" w:color="auto"/>
        <w:right w:val="none" w:sz="0" w:space="0" w:color="auto"/>
      </w:divBdr>
      <w:divsChild>
        <w:div w:id="1441728635">
          <w:marLeft w:val="0"/>
          <w:marRight w:val="0"/>
          <w:marTop w:val="0"/>
          <w:marBottom w:val="0"/>
          <w:divBdr>
            <w:top w:val="none" w:sz="0" w:space="0" w:color="auto"/>
            <w:left w:val="none" w:sz="0" w:space="0" w:color="auto"/>
            <w:bottom w:val="none" w:sz="0" w:space="0" w:color="auto"/>
            <w:right w:val="none" w:sz="0" w:space="0" w:color="auto"/>
          </w:divBdr>
        </w:div>
        <w:div w:id="1930498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D02F0-1823-46C0-B936-BE42FF004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Nixon</dc:creator>
  <cp:keywords/>
  <dc:description/>
  <cp:lastModifiedBy>Emily Nixon</cp:lastModifiedBy>
  <cp:revision>2</cp:revision>
  <dcterms:created xsi:type="dcterms:W3CDTF">2023-11-27T18:47:00Z</dcterms:created>
  <dcterms:modified xsi:type="dcterms:W3CDTF">2023-11-27T18:47:00Z</dcterms:modified>
</cp:coreProperties>
</file>