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ECF090" w14:textId="68F31C35" w:rsidR="005D49BA" w:rsidRDefault="00D4682C">
      <w:r>
        <w:rPr>
          <w:noProof/>
        </w:rPr>
        <w:drawing>
          <wp:anchor distT="0" distB="0" distL="114300" distR="114300" simplePos="0" relativeHeight="251657216" behindDoc="0" locked="0" layoutInCell="1" allowOverlap="1" wp14:anchorId="1B26A084" wp14:editId="7EA7550C">
            <wp:simplePos x="0" y="0"/>
            <wp:positionH relativeFrom="margin">
              <wp:align>center</wp:align>
            </wp:positionH>
            <wp:positionV relativeFrom="margin">
              <wp:posOffset>-808532</wp:posOffset>
            </wp:positionV>
            <wp:extent cx="2522220" cy="1123315"/>
            <wp:effectExtent l="0" t="0" r="0" b="635"/>
            <wp:wrapSquare wrapText="bothSides"/>
            <wp:docPr id="203639546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22220" cy="1123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DC5E6F" w14:textId="2B8002AB" w:rsidR="00D4682C" w:rsidRDefault="00D4682C"/>
    <w:p w14:paraId="5C49F1B3" w14:textId="77777777" w:rsidR="00D4682C" w:rsidRDefault="00D4682C"/>
    <w:p w14:paraId="39655C73" w14:textId="77777777" w:rsidR="00D4682C" w:rsidRDefault="00D4682C"/>
    <w:p w14:paraId="5ABBC30C" w14:textId="77777777" w:rsidR="00D4682C" w:rsidRDefault="00D4682C" w:rsidP="00D4682C">
      <w:pPr>
        <w:jc w:val="center"/>
        <w:rPr>
          <w:rFonts w:ascii="Times New Roman" w:hAnsi="Times New Roman" w:cs="Times New Roman"/>
          <w:b/>
          <w:bCs/>
          <w:sz w:val="36"/>
          <w:szCs w:val="36"/>
        </w:rPr>
      </w:pPr>
    </w:p>
    <w:p w14:paraId="35523DDB" w14:textId="77777777" w:rsidR="00D4682C" w:rsidRDefault="00D4682C" w:rsidP="00D4682C">
      <w:pPr>
        <w:jc w:val="center"/>
        <w:rPr>
          <w:rFonts w:ascii="Times New Roman" w:hAnsi="Times New Roman" w:cs="Times New Roman"/>
          <w:b/>
          <w:bCs/>
          <w:sz w:val="36"/>
          <w:szCs w:val="36"/>
        </w:rPr>
      </w:pPr>
    </w:p>
    <w:p w14:paraId="7397D440" w14:textId="3C5F7682" w:rsidR="00D4682C" w:rsidRPr="00D4682C" w:rsidRDefault="00D4682C" w:rsidP="00D4682C">
      <w:pPr>
        <w:jc w:val="center"/>
        <w:rPr>
          <w:rFonts w:ascii="Times New Roman" w:hAnsi="Times New Roman" w:cs="Times New Roman"/>
          <w:b/>
          <w:bCs/>
          <w:sz w:val="48"/>
          <w:szCs w:val="48"/>
        </w:rPr>
      </w:pPr>
      <w:r w:rsidRPr="00D4682C">
        <w:rPr>
          <w:rFonts w:ascii="Times New Roman" w:hAnsi="Times New Roman" w:cs="Times New Roman"/>
          <w:b/>
          <w:bCs/>
          <w:sz w:val="48"/>
          <w:szCs w:val="48"/>
        </w:rPr>
        <w:t>BA BUSINESS MANAGEMENT</w:t>
      </w:r>
    </w:p>
    <w:p w14:paraId="0236B7A6" w14:textId="561863FB" w:rsidR="00D4682C" w:rsidRDefault="00D4682C" w:rsidP="00D4682C">
      <w:pPr>
        <w:jc w:val="center"/>
        <w:rPr>
          <w:rFonts w:ascii="Times New Roman" w:hAnsi="Times New Roman" w:cs="Times New Roman"/>
          <w:b/>
          <w:bCs/>
          <w:sz w:val="36"/>
          <w:szCs w:val="36"/>
        </w:rPr>
      </w:pPr>
    </w:p>
    <w:p w14:paraId="1BDEAAAE" w14:textId="77777777" w:rsidR="00D4682C" w:rsidRDefault="00D4682C" w:rsidP="00D4682C">
      <w:pPr>
        <w:rPr>
          <w:rFonts w:ascii="Times New Roman" w:hAnsi="Times New Roman" w:cs="Times New Roman"/>
          <w:b/>
          <w:bCs/>
          <w:sz w:val="36"/>
          <w:szCs w:val="36"/>
        </w:rPr>
      </w:pPr>
    </w:p>
    <w:p w14:paraId="55E0F612" w14:textId="77777777" w:rsidR="00D4682C" w:rsidRPr="00D4682C" w:rsidRDefault="00D4682C" w:rsidP="00D4682C">
      <w:pPr>
        <w:jc w:val="center"/>
        <w:rPr>
          <w:rFonts w:ascii="Times New Roman" w:hAnsi="Times New Roman" w:cs="Times New Roman"/>
          <w:b/>
          <w:bCs/>
          <w:sz w:val="48"/>
          <w:szCs w:val="48"/>
        </w:rPr>
      </w:pPr>
    </w:p>
    <w:p w14:paraId="5FBF7094" w14:textId="6AAB6546" w:rsidR="00D4682C" w:rsidRPr="00D4682C" w:rsidRDefault="00D4682C" w:rsidP="00D4682C">
      <w:pPr>
        <w:jc w:val="right"/>
        <w:rPr>
          <w:rFonts w:ascii="Times New Roman" w:hAnsi="Times New Roman" w:cs="Times New Roman"/>
          <w:b/>
          <w:bCs/>
          <w:sz w:val="32"/>
          <w:szCs w:val="32"/>
        </w:rPr>
      </w:pPr>
      <w:r w:rsidRPr="00D4682C">
        <w:rPr>
          <w:rFonts w:ascii="Times New Roman" w:hAnsi="Times New Roman" w:cs="Times New Roman"/>
          <w:b/>
          <w:bCs/>
          <w:sz w:val="32"/>
          <w:szCs w:val="32"/>
        </w:rPr>
        <w:t>Module Name: International Financial Management</w:t>
      </w:r>
    </w:p>
    <w:p w14:paraId="10C6BAE6" w14:textId="5D39E6E4" w:rsidR="00D4682C" w:rsidRPr="00D4682C" w:rsidRDefault="00D4682C" w:rsidP="00D4682C">
      <w:pPr>
        <w:jc w:val="right"/>
        <w:rPr>
          <w:rFonts w:ascii="Times New Roman" w:hAnsi="Times New Roman" w:cs="Times New Roman"/>
          <w:b/>
          <w:bCs/>
          <w:sz w:val="32"/>
          <w:szCs w:val="32"/>
        </w:rPr>
      </w:pPr>
      <w:r w:rsidRPr="00D4682C">
        <w:rPr>
          <w:rFonts w:ascii="Times New Roman" w:hAnsi="Times New Roman" w:cs="Times New Roman"/>
          <w:b/>
          <w:bCs/>
          <w:sz w:val="32"/>
          <w:szCs w:val="32"/>
        </w:rPr>
        <w:t>Module code: LCBB6002</w:t>
      </w:r>
    </w:p>
    <w:p w14:paraId="1E58C079" w14:textId="5B8EED54" w:rsidR="00D4682C" w:rsidRPr="00D4682C" w:rsidRDefault="00D4682C" w:rsidP="00D4682C">
      <w:pPr>
        <w:jc w:val="right"/>
        <w:rPr>
          <w:rFonts w:ascii="Times New Roman" w:hAnsi="Times New Roman" w:cs="Times New Roman"/>
          <w:b/>
          <w:bCs/>
          <w:sz w:val="32"/>
          <w:szCs w:val="32"/>
        </w:rPr>
      </w:pPr>
      <w:r w:rsidRPr="00D4682C">
        <w:rPr>
          <w:rFonts w:ascii="Times New Roman" w:hAnsi="Times New Roman" w:cs="Times New Roman"/>
          <w:b/>
          <w:bCs/>
          <w:sz w:val="32"/>
          <w:szCs w:val="32"/>
        </w:rPr>
        <w:t>Student Name: Veaceslav Stanciu</w:t>
      </w:r>
    </w:p>
    <w:p w14:paraId="1CB3A66F" w14:textId="5A32A8C5" w:rsidR="00D4682C" w:rsidRDefault="00D4682C" w:rsidP="00D4682C">
      <w:pPr>
        <w:jc w:val="right"/>
        <w:rPr>
          <w:rFonts w:ascii="Times New Roman" w:hAnsi="Times New Roman" w:cs="Times New Roman"/>
          <w:b/>
          <w:bCs/>
          <w:sz w:val="32"/>
          <w:szCs w:val="32"/>
        </w:rPr>
      </w:pPr>
      <w:r w:rsidRPr="00D4682C">
        <w:rPr>
          <w:rFonts w:ascii="Times New Roman" w:hAnsi="Times New Roman" w:cs="Times New Roman"/>
          <w:b/>
          <w:bCs/>
          <w:sz w:val="32"/>
          <w:szCs w:val="32"/>
        </w:rPr>
        <w:t>Student ID: 2131027</w:t>
      </w:r>
    </w:p>
    <w:p w14:paraId="1E35DFCC" w14:textId="77777777" w:rsidR="00D4682C" w:rsidRDefault="00D4682C" w:rsidP="00D4682C">
      <w:pPr>
        <w:jc w:val="right"/>
        <w:rPr>
          <w:rFonts w:ascii="Times New Roman" w:hAnsi="Times New Roman" w:cs="Times New Roman"/>
          <w:b/>
          <w:bCs/>
          <w:sz w:val="32"/>
          <w:szCs w:val="32"/>
        </w:rPr>
      </w:pPr>
    </w:p>
    <w:p w14:paraId="4641C611" w14:textId="77777777" w:rsidR="00D4682C" w:rsidRDefault="00D4682C" w:rsidP="00D4682C">
      <w:pPr>
        <w:jc w:val="right"/>
        <w:rPr>
          <w:rFonts w:ascii="Times New Roman" w:hAnsi="Times New Roman" w:cs="Times New Roman"/>
          <w:b/>
          <w:bCs/>
          <w:sz w:val="32"/>
          <w:szCs w:val="32"/>
        </w:rPr>
      </w:pPr>
    </w:p>
    <w:p w14:paraId="2D36FCA2" w14:textId="77777777" w:rsidR="00D4682C" w:rsidRDefault="00D4682C" w:rsidP="00D4682C">
      <w:pPr>
        <w:jc w:val="right"/>
        <w:rPr>
          <w:rFonts w:ascii="Times New Roman" w:hAnsi="Times New Roman" w:cs="Times New Roman"/>
          <w:b/>
          <w:bCs/>
          <w:sz w:val="32"/>
          <w:szCs w:val="32"/>
        </w:rPr>
      </w:pPr>
    </w:p>
    <w:p w14:paraId="1476CCAD" w14:textId="77777777" w:rsidR="00D4682C" w:rsidRDefault="00D4682C" w:rsidP="00D4682C">
      <w:pPr>
        <w:jc w:val="right"/>
        <w:rPr>
          <w:rFonts w:ascii="Times New Roman" w:hAnsi="Times New Roman" w:cs="Times New Roman"/>
          <w:b/>
          <w:bCs/>
          <w:sz w:val="32"/>
          <w:szCs w:val="32"/>
        </w:rPr>
      </w:pPr>
    </w:p>
    <w:p w14:paraId="30AC0C54" w14:textId="77777777" w:rsidR="00D4682C" w:rsidRDefault="00D4682C" w:rsidP="00D4682C">
      <w:pPr>
        <w:jc w:val="right"/>
        <w:rPr>
          <w:rFonts w:ascii="Times New Roman" w:hAnsi="Times New Roman" w:cs="Times New Roman"/>
          <w:b/>
          <w:bCs/>
          <w:sz w:val="32"/>
          <w:szCs w:val="32"/>
        </w:rPr>
      </w:pPr>
    </w:p>
    <w:p w14:paraId="6ADDE5BC" w14:textId="77777777" w:rsidR="00D4682C" w:rsidRDefault="00D4682C" w:rsidP="00D4682C">
      <w:pPr>
        <w:jc w:val="right"/>
        <w:rPr>
          <w:rFonts w:ascii="Times New Roman" w:hAnsi="Times New Roman" w:cs="Times New Roman"/>
          <w:b/>
          <w:bCs/>
          <w:sz w:val="32"/>
          <w:szCs w:val="32"/>
        </w:rPr>
      </w:pPr>
    </w:p>
    <w:p w14:paraId="2A14F2C4" w14:textId="77777777" w:rsidR="00D4682C" w:rsidRDefault="00D4682C" w:rsidP="00D4682C">
      <w:pPr>
        <w:jc w:val="right"/>
        <w:rPr>
          <w:rFonts w:ascii="Times New Roman" w:hAnsi="Times New Roman" w:cs="Times New Roman"/>
          <w:b/>
          <w:bCs/>
          <w:sz w:val="32"/>
          <w:szCs w:val="32"/>
        </w:rPr>
      </w:pPr>
    </w:p>
    <w:p w14:paraId="48540414" w14:textId="77777777" w:rsidR="00D4682C" w:rsidRDefault="00D4682C" w:rsidP="00D4682C">
      <w:pPr>
        <w:jc w:val="right"/>
        <w:rPr>
          <w:rFonts w:ascii="Times New Roman" w:hAnsi="Times New Roman" w:cs="Times New Roman"/>
          <w:b/>
          <w:bCs/>
          <w:sz w:val="32"/>
          <w:szCs w:val="32"/>
        </w:rPr>
      </w:pPr>
    </w:p>
    <w:p w14:paraId="18FC2A8A" w14:textId="074A3BFA" w:rsidR="000A3CA4" w:rsidRDefault="000A3CA4">
      <w:pPr>
        <w:rPr>
          <w:rFonts w:ascii="Times New Roman" w:hAnsi="Times New Roman" w:cs="Times New Roman"/>
          <w:b/>
          <w:bCs/>
          <w:sz w:val="32"/>
          <w:szCs w:val="32"/>
        </w:rPr>
      </w:pPr>
      <w:r>
        <w:rPr>
          <w:rFonts w:ascii="Times New Roman" w:hAnsi="Times New Roman" w:cs="Times New Roman"/>
          <w:b/>
          <w:bCs/>
          <w:sz w:val="32"/>
          <w:szCs w:val="32"/>
        </w:rPr>
        <w:br w:type="page"/>
      </w:r>
    </w:p>
    <w:p w14:paraId="45EB9E2B" w14:textId="038EF76B" w:rsidR="000A3CA4" w:rsidRDefault="000A3CA4" w:rsidP="00D4682C">
      <w:pPr>
        <w:jc w:val="right"/>
        <w:rPr>
          <w:rFonts w:ascii="Times New Roman" w:hAnsi="Times New Roman" w:cs="Times New Roman"/>
          <w:b/>
          <w:bCs/>
          <w:sz w:val="32"/>
          <w:szCs w:val="32"/>
        </w:rPr>
      </w:pPr>
    </w:p>
    <w:sdt>
      <w:sdtPr>
        <w:rPr>
          <w:rFonts w:asciiTheme="minorHAnsi" w:eastAsiaTheme="minorHAnsi" w:hAnsiTheme="minorHAnsi" w:cstheme="minorBidi"/>
          <w:color w:val="auto"/>
          <w:kern w:val="2"/>
          <w:sz w:val="22"/>
          <w:szCs w:val="22"/>
          <w:lang w:val="en-GB"/>
          <w14:ligatures w14:val="standardContextual"/>
        </w:rPr>
        <w:id w:val="409504418"/>
        <w:docPartObj>
          <w:docPartGallery w:val="Table of Contents"/>
          <w:docPartUnique/>
        </w:docPartObj>
      </w:sdtPr>
      <w:sdtEndPr>
        <w:rPr>
          <w:b/>
          <w:bCs/>
          <w:noProof/>
        </w:rPr>
      </w:sdtEndPr>
      <w:sdtContent>
        <w:p w14:paraId="478F20DA" w14:textId="705D025C" w:rsidR="000A3CA4" w:rsidRPr="000F484B" w:rsidRDefault="000A3CA4" w:rsidP="000A3CA4">
          <w:pPr>
            <w:pStyle w:val="TOCHeading"/>
            <w:spacing w:line="360" w:lineRule="auto"/>
            <w:jc w:val="center"/>
            <w:rPr>
              <w:rFonts w:ascii="Times New Roman" w:hAnsi="Times New Roman" w:cs="Times New Roman"/>
              <w:sz w:val="24"/>
              <w:szCs w:val="24"/>
            </w:rPr>
          </w:pPr>
          <w:r w:rsidRPr="000F484B">
            <w:rPr>
              <w:rFonts w:ascii="Times New Roman" w:hAnsi="Times New Roman" w:cs="Times New Roman"/>
              <w:sz w:val="24"/>
              <w:szCs w:val="24"/>
            </w:rPr>
            <w:t>Table of Contents</w:t>
          </w:r>
        </w:p>
        <w:p w14:paraId="79B398EA" w14:textId="5BB21C3A" w:rsidR="000A3CA4" w:rsidRPr="000F484B" w:rsidRDefault="000A3CA4" w:rsidP="000A3CA4">
          <w:pPr>
            <w:pStyle w:val="TOC1"/>
            <w:numPr>
              <w:ilvl w:val="0"/>
              <w:numId w:val="2"/>
            </w:numPr>
            <w:tabs>
              <w:tab w:val="right" w:leader="dot" w:pos="9016"/>
            </w:tabs>
            <w:spacing w:line="360" w:lineRule="auto"/>
            <w:jc w:val="both"/>
            <w:rPr>
              <w:rFonts w:ascii="Times New Roman" w:hAnsi="Times New Roman" w:cs="Times New Roman"/>
              <w:noProof/>
              <w:sz w:val="24"/>
              <w:szCs w:val="24"/>
            </w:rPr>
          </w:pPr>
          <w:r w:rsidRPr="000F484B">
            <w:rPr>
              <w:rFonts w:ascii="Times New Roman" w:hAnsi="Times New Roman" w:cs="Times New Roman"/>
              <w:sz w:val="24"/>
              <w:szCs w:val="24"/>
            </w:rPr>
            <w:fldChar w:fldCharType="begin"/>
          </w:r>
          <w:r w:rsidRPr="000F484B">
            <w:rPr>
              <w:rFonts w:ascii="Times New Roman" w:hAnsi="Times New Roman" w:cs="Times New Roman"/>
              <w:sz w:val="24"/>
              <w:szCs w:val="24"/>
            </w:rPr>
            <w:instrText xml:space="preserve"> TOC \o "1-3" \h \z \u </w:instrText>
          </w:r>
          <w:r w:rsidRPr="000F484B">
            <w:rPr>
              <w:rFonts w:ascii="Times New Roman" w:hAnsi="Times New Roman" w:cs="Times New Roman"/>
              <w:sz w:val="24"/>
              <w:szCs w:val="24"/>
            </w:rPr>
            <w:fldChar w:fldCharType="separate"/>
          </w:r>
          <w:hyperlink w:anchor="_Toc173876531" w:history="1">
            <w:r w:rsidRPr="000F484B">
              <w:rPr>
                <w:rStyle w:val="Hyperlink"/>
                <w:rFonts w:ascii="Times New Roman" w:hAnsi="Times New Roman" w:cs="Times New Roman"/>
                <w:noProof/>
                <w:sz w:val="24"/>
                <w:szCs w:val="24"/>
              </w:rPr>
              <w:t>Introduction</w:t>
            </w:r>
            <w:r w:rsidRPr="000F484B">
              <w:rPr>
                <w:rFonts w:ascii="Times New Roman" w:hAnsi="Times New Roman" w:cs="Times New Roman"/>
                <w:noProof/>
                <w:webHidden/>
                <w:sz w:val="24"/>
                <w:szCs w:val="24"/>
              </w:rPr>
              <w:tab/>
            </w:r>
            <w:r w:rsidRPr="000F484B">
              <w:rPr>
                <w:rFonts w:ascii="Times New Roman" w:hAnsi="Times New Roman" w:cs="Times New Roman"/>
                <w:noProof/>
                <w:webHidden/>
                <w:sz w:val="24"/>
                <w:szCs w:val="24"/>
              </w:rPr>
              <w:fldChar w:fldCharType="begin"/>
            </w:r>
            <w:r w:rsidRPr="000F484B">
              <w:rPr>
                <w:rFonts w:ascii="Times New Roman" w:hAnsi="Times New Roman" w:cs="Times New Roman"/>
                <w:noProof/>
                <w:webHidden/>
                <w:sz w:val="24"/>
                <w:szCs w:val="24"/>
              </w:rPr>
              <w:instrText xml:space="preserve"> PAGEREF _Toc173876531 \h </w:instrText>
            </w:r>
            <w:r w:rsidRPr="000F484B">
              <w:rPr>
                <w:rFonts w:ascii="Times New Roman" w:hAnsi="Times New Roman" w:cs="Times New Roman"/>
                <w:noProof/>
                <w:webHidden/>
                <w:sz w:val="24"/>
                <w:szCs w:val="24"/>
              </w:rPr>
            </w:r>
            <w:r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3</w:t>
            </w:r>
            <w:r w:rsidRPr="000F484B">
              <w:rPr>
                <w:rFonts w:ascii="Times New Roman" w:hAnsi="Times New Roman" w:cs="Times New Roman"/>
                <w:noProof/>
                <w:webHidden/>
                <w:sz w:val="24"/>
                <w:szCs w:val="24"/>
              </w:rPr>
              <w:fldChar w:fldCharType="end"/>
            </w:r>
          </w:hyperlink>
        </w:p>
        <w:p w14:paraId="79FE4C94" w14:textId="2A7B56F2" w:rsidR="000A3CA4" w:rsidRPr="000F484B" w:rsidRDefault="00000000" w:rsidP="000A3CA4">
          <w:pPr>
            <w:pStyle w:val="TOC1"/>
            <w:numPr>
              <w:ilvl w:val="0"/>
              <w:numId w:val="2"/>
            </w:numPr>
            <w:tabs>
              <w:tab w:val="right" w:leader="dot" w:pos="9016"/>
            </w:tabs>
            <w:spacing w:line="360" w:lineRule="auto"/>
            <w:jc w:val="both"/>
            <w:rPr>
              <w:rFonts w:ascii="Times New Roman" w:hAnsi="Times New Roman" w:cs="Times New Roman"/>
              <w:noProof/>
              <w:sz w:val="24"/>
              <w:szCs w:val="24"/>
            </w:rPr>
          </w:pPr>
          <w:hyperlink w:anchor="_Toc173876532" w:history="1">
            <w:r w:rsidR="000A3CA4" w:rsidRPr="000F484B">
              <w:rPr>
                <w:rStyle w:val="Hyperlink"/>
                <w:rFonts w:ascii="Times New Roman" w:hAnsi="Times New Roman" w:cs="Times New Roman"/>
                <w:noProof/>
                <w:sz w:val="24"/>
                <w:szCs w:val="24"/>
              </w:rPr>
              <w:t>Evaluation of strategies adopted by multinational corporations to manage the exposure to foreign exchange risks.</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_Toc173876532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3</w:t>
            </w:r>
            <w:r w:rsidR="000A3CA4" w:rsidRPr="000F484B">
              <w:rPr>
                <w:rFonts w:ascii="Times New Roman" w:hAnsi="Times New Roman" w:cs="Times New Roman"/>
                <w:noProof/>
                <w:webHidden/>
                <w:sz w:val="24"/>
                <w:szCs w:val="24"/>
              </w:rPr>
              <w:fldChar w:fldCharType="end"/>
            </w:r>
          </w:hyperlink>
        </w:p>
        <w:p w14:paraId="2BCCC879" w14:textId="2F1E6C4A" w:rsidR="000A3CA4" w:rsidRPr="000F484B" w:rsidRDefault="00000000" w:rsidP="000A3CA4">
          <w:pPr>
            <w:pStyle w:val="TOC2"/>
            <w:numPr>
              <w:ilvl w:val="1"/>
              <w:numId w:val="2"/>
            </w:numPr>
            <w:tabs>
              <w:tab w:val="right" w:leader="dot" w:pos="9016"/>
            </w:tabs>
            <w:spacing w:line="360" w:lineRule="auto"/>
            <w:jc w:val="both"/>
            <w:rPr>
              <w:rFonts w:ascii="Times New Roman" w:hAnsi="Times New Roman" w:cs="Times New Roman"/>
              <w:noProof/>
              <w:sz w:val="24"/>
              <w:szCs w:val="24"/>
            </w:rPr>
          </w:pPr>
          <w:hyperlink w:anchor="_Toc173876533" w:history="1">
            <w:r w:rsidR="000A3CA4" w:rsidRPr="000F484B">
              <w:rPr>
                <w:rStyle w:val="Hyperlink"/>
                <w:rFonts w:ascii="Times New Roman" w:hAnsi="Times New Roman" w:cs="Times New Roman"/>
                <w:noProof/>
                <w:sz w:val="24"/>
                <w:szCs w:val="24"/>
              </w:rPr>
              <w:t>Foreign exchange risk</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_Toc173876533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3</w:t>
            </w:r>
            <w:r w:rsidR="000A3CA4" w:rsidRPr="000F484B">
              <w:rPr>
                <w:rFonts w:ascii="Times New Roman" w:hAnsi="Times New Roman" w:cs="Times New Roman"/>
                <w:noProof/>
                <w:webHidden/>
                <w:sz w:val="24"/>
                <w:szCs w:val="24"/>
              </w:rPr>
              <w:fldChar w:fldCharType="end"/>
            </w:r>
          </w:hyperlink>
        </w:p>
        <w:p w14:paraId="6A33836D" w14:textId="48A76B3B" w:rsidR="000A3CA4" w:rsidRPr="000F484B" w:rsidRDefault="00000000" w:rsidP="000A3CA4">
          <w:pPr>
            <w:pStyle w:val="TOC2"/>
            <w:numPr>
              <w:ilvl w:val="1"/>
              <w:numId w:val="2"/>
            </w:numPr>
            <w:tabs>
              <w:tab w:val="right" w:leader="dot" w:pos="9016"/>
            </w:tabs>
            <w:spacing w:line="360" w:lineRule="auto"/>
            <w:jc w:val="both"/>
            <w:rPr>
              <w:rFonts w:ascii="Times New Roman" w:hAnsi="Times New Roman" w:cs="Times New Roman"/>
              <w:noProof/>
              <w:sz w:val="24"/>
              <w:szCs w:val="24"/>
            </w:rPr>
          </w:pPr>
          <w:hyperlink w:anchor="_Toc173876534" w:history="1">
            <w:r w:rsidR="000A3CA4" w:rsidRPr="000F484B">
              <w:rPr>
                <w:rStyle w:val="Hyperlink"/>
                <w:rFonts w:ascii="Times New Roman" w:hAnsi="Times New Roman" w:cs="Times New Roman"/>
                <w:noProof/>
                <w:sz w:val="24"/>
                <w:szCs w:val="24"/>
              </w:rPr>
              <w:t>Types of foreign exchange risks</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_Toc173876534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3</w:t>
            </w:r>
            <w:r w:rsidR="000A3CA4" w:rsidRPr="000F484B">
              <w:rPr>
                <w:rFonts w:ascii="Times New Roman" w:hAnsi="Times New Roman" w:cs="Times New Roman"/>
                <w:noProof/>
                <w:webHidden/>
                <w:sz w:val="24"/>
                <w:szCs w:val="24"/>
              </w:rPr>
              <w:fldChar w:fldCharType="end"/>
            </w:r>
          </w:hyperlink>
        </w:p>
        <w:p w14:paraId="5545D2A6" w14:textId="363523E1" w:rsidR="000A3CA4" w:rsidRPr="000F484B" w:rsidRDefault="00000000" w:rsidP="000A3CA4">
          <w:pPr>
            <w:pStyle w:val="TOC2"/>
            <w:numPr>
              <w:ilvl w:val="1"/>
              <w:numId w:val="2"/>
            </w:numPr>
            <w:tabs>
              <w:tab w:val="right" w:leader="dot" w:pos="9016"/>
            </w:tabs>
            <w:spacing w:line="360" w:lineRule="auto"/>
            <w:jc w:val="both"/>
            <w:rPr>
              <w:rFonts w:ascii="Times New Roman" w:hAnsi="Times New Roman" w:cs="Times New Roman"/>
              <w:noProof/>
              <w:sz w:val="24"/>
              <w:szCs w:val="24"/>
            </w:rPr>
          </w:pPr>
          <w:hyperlink w:anchor="_Toc173876535" w:history="1">
            <w:r w:rsidR="000A3CA4" w:rsidRPr="000F484B">
              <w:rPr>
                <w:rStyle w:val="Hyperlink"/>
                <w:rFonts w:ascii="Times New Roman" w:hAnsi="Times New Roman" w:cs="Times New Roman"/>
                <w:noProof/>
                <w:sz w:val="24"/>
                <w:szCs w:val="24"/>
              </w:rPr>
              <w:t>Strategies to manage foreign exchange risks</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_Toc173876535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5</w:t>
            </w:r>
            <w:r w:rsidR="000A3CA4" w:rsidRPr="000F484B">
              <w:rPr>
                <w:rFonts w:ascii="Times New Roman" w:hAnsi="Times New Roman" w:cs="Times New Roman"/>
                <w:noProof/>
                <w:webHidden/>
                <w:sz w:val="24"/>
                <w:szCs w:val="24"/>
              </w:rPr>
              <w:fldChar w:fldCharType="end"/>
            </w:r>
          </w:hyperlink>
        </w:p>
        <w:p w14:paraId="72AF1347" w14:textId="65E9F175" w:rsidR="000A3CA4" w:rsidRPr="000F484B" w:rsidRDefault="00000000" w:rsidP="000A3CA4">
          <w:pPr>
            <w:pStyle w:val="TOC1"/>
            <w:numPr>
              <w:ilvl w:val="0"/>
              <w:numId w:val="2"/>
            </w:numPr>
            <w:tabs>
              <w:tab w:val="right" w:leader="dot" w:pos="9016"/>
            </w:tabs>
            <w:spacing w:line="360" w:lineRule="auto"/>
            <w:jc w:val="both"/>
            <w:rPr>
              <w:rFonts w:ascii="Times New Roman" w:hAnsi="Times New Roman" w:cs="Times New Roman"/>
              <w:noProof/>
              <w:sz w:val="24"/>
              <w:szCs w:val="24"/>
            </w:rPr>
          </w:pPr>
          <w:hyperlink w:anchor="_Toc173876536" w:history="1">
            <w:r w:rsidR="000A3CA4" w:rsidRPr="000F484B">
              <w:rPr>
                <w:rStyle w:val="Hyperlink"/>
                <w:rFonts w:ascii="Times New Roman" w:hAnsi="Times New Roman" w:cs="Times New Roman"/>
                <w:noProof/>
                <w:sz w:val="24"/>
                <w:szCs w:val="24"/>
              </w:rPr>
              <w:t>Conclusion</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_Toc173876536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7</w:t>
            </w:r>
            <w:r w:rsidR="000A3CA4" w:rsidRPr="000F484B">
              <w:rPr>
                <w:rFonts w:ascii="Times New Roman" w:hAnsi="Times New Roman" w:cs="Times New Roman"/>
                <w:noProof/>
                <w:webHidden/>
                <w:sz w:val="24"/>
                <w:szCs w:val="24"/>
              </w:rPr>
              <w:fldChar w:fldCharType="end"/>
            </w:r>
          </w:hyperlink>
        </w:p>
        <w:p w14:paraId="418376FD" w14:textId="08C6A453" w:rsidR="000A3CA4" w:rsidRPr="000F484B" w:rsidRDefault="00000000" w:rsidP="000A3CA4">
          <w:pPr>
            <w:pStyle w:val="TOC1"/>
            <w:numPr>
              <w:ilvl w:val="0"/>
              <w:numId w:val="2"/>
            </w:numPr>
            <w:tabs>
              <w:tab w:val="right" w:leader="dot" w:pos="9016"/>
            </w:tabs>
            <w:spacing w:line="360" w:lineRule="auto"/>
            <w:jc w:val="both"/>
            <w:rPr>
              <w:rFonts w:ascii="Times New Roman" w:hAnsi="Times New Roman" w:cs="Times New Roman"/>
              <w:noProof/>
              <w:sz w:val="24"/>
              <w:szCs w:val="24"/>
            </w:rPr>
          </w:pPr>
          <w:hyperlink w:anchor="_Toc173876537" w:history="1">
            <w:r w:rsidR="000A3CA4" w:rsidRPr="000F484B">
              <w:rPr>
                <w:rStyle w:val="Hyperlink"/>
                <w:rFonts w:ascii="Times New Roman" w:hAnsi="Times New Roman" w:cs="Times New Roman"/>
                <w:noProof/>
                <w:sz w:val="24"/>
                <w:szCs w:val="24"/>
              </w:rPr>
              <w:t>References</w:t>
            </w:r>
            <w:r w:rsidR="000A3CA4" w:rsidRPr="000F484B">
              <w:rPr>
                <w:rFonts w:ascii="Times New Roman" w:hAnsi="Times New Roman" w:cs="Times New Roman"/>
                <w:noProof/>
                <w:webHidden/>
                <w:sz w:val="24"/>
                <w:szCs w:val="24"/>
              </w:rPr>
              <w:tab/>
            </w:r>
            <w:r w:rsidR="000A3CA4" w:rsidRPr="000F484B">
              <w:rPr>
                <w:rFonts w:ascii="Times New Roman" w:hAnsi="Times New Roman" w:cs="Times New Roman"/>
                <w:noProof/>
                <w:webHidden/>
                <w:sz w:val="24"/>
                <w:szCs w:val="24"/>
              </w:rPr>
              <w:fldChar w:fldCharType="begin"/>
            </w:r>
            <w:r w:rsidR="000A3CA4" w:rsidRPr="000F484B">
              <w:rPr>
                <w:rFonts w:ascii="Times New Roman" w:hAnsi="Times New Roman" w:cs="Times New Roman"/>
                <w:noProof/>
                <w:webHidden/>
                <w:sz w:val="24"/>
                <w:szCs w:val="24"/>
              </w:rPr>
              <w:instrText xml:space="preserve"> PAGEREF _Toc173876537 \h </w:instrText>
            </w:r>
            <w:r w:rsidR="000A3CA4" w:rsidRPr="000F484B">
              <w:rPr>
                <w:rFonts w:ascii="Times New Roman" w:hAnsi="Times New Roman" w:cs="Times New Roman"/>
                <w:noProof/>
                <w:webHidden/>
                <w:sz w:val="24"/>
                <w:szCs w:val="24"/>
              </w:rPr>
            </w:r>
            <w:r w:rsidR="000A3CA4" w:rsidRPr="000F484B">
              <w:rPr>
                <w:rFonts w:ascii="Times New Roman" w:hAnsi="Times New Roman" w:cs="Times New Roman"/>
                <w:noProof/>
                <w:webHidden/>
                <w:sz w:val="24"/>
                <w:szCs w:val="24"/>
              </w:rPr>
              <w:fldChar w:fldCharType="separate"/>
            </w:r>
            <w:r w:rsidR="000F769D">
              <w:rPr>
                <w:rFonts w:ascii="Times New Roman" w:hAnsi="Times New Roman" w:cs="Times New Roman"/>
                <w:noProof/>
                <w:webHidden/>
                <w:sz w:val="24"/>
                <w:szCs w:val="24"/>
              </w:rPr>
              <w:t>8</w:t>
            </w:r>
            <w:r w:rsidR="000A3CA4" w:rsidRPr="000F484B">
              <w:rPr>
                <w:rFonts w:ascii="Times New Roman" w:hAnsi="Times New Roman" w:cs="Times New Roman"/>
                <w:noProof/>
                <w:webHidden/>
                <w:sz w:val="24"/>
                <w:szCs w:val="24"/>
              </w:rPr>
              <w:fldChar w:fldCharType="end"/>
            </w:r>
          </w:hyperlink>
        </w:p>
        <w:p w14:paraId="58EC2F73" w14:textId="20C994C5" w:rsidR="000A3CA4" w:rsidRDefault="000A3CA4" w:rsidP="000A3CA4">
          <w:pPr>
            <w:spacing w:line="360" w:lineRule="auto"/>
            <w:jc w:val="both"/>
          </w:pPr>
          <w:r w:rsidRPr="000F484B">
            <w:rPr>
              <w:rFonts w:ascii="Times New Roman" w:hAnsi="Times New Roman" w:cs="Times New Roman"/>
              <w:b/>
              <w:bCs/>
              <w:noProof/>
              <w:sz w:val="24"/>
              <w:szCs w:val="24"/>
            </w:rPr>
            <w:fldChar w:fldCharType="end"/>
          </w:r>
        </w:p>
      </w:sdtContent>
    </w:sdt>
    <w:p w14:paraId="07B43087" w14:textId="6448E949" w:rsidR="00D4682C" w:rsidRDefault="000A3CA4" w:rsidP="004909E4">
      <w:pPr>
        <w:rPr>
          <w:rFonts w:ascii="Times New Roman" w:hAnsi="Times New Roman" w:cs="Times New Roman"/>
          <w:b/>
          <w:bCs/>
          <w:sz w:val="32"/>
          <w:szCs w:val="32"/>
        </w:rPr>
      </w:pPr>
      <w:r>
        <w:rPr>
          <w:rFonts w:ascii="Times New Roman" w:hAnsi="Times New Roman" w:cs="Times New Roman"/>
          <w:b/>
          <w:bCs/>
          <w:sz w:val="32"/>
          <w:szCs w:val="32"/>
        </w:rPr>
        <w:br w:type="page"/>
      </w:r>
    </w:p>
    <w:p w14:paraId="3C6EF056" w14:textId="651CF9F2" w:rsidR="00D4682C" w:rsidRPr="00EB2AF0" w:rsidRDefault="00300983" w:rsidP="00EB2AF0">
      <w:pPr>
        <w:pStyle w:val="Heading1"/>
        <w:spacing w:line="360" w:lineRule="auto"/>
        <w:jc w:val="both"/>
        <w:rPr>
          <w:rFonts w:ascii="Times New Roman" w:hAnsi="Times New Roman" w:cs="Times New Roman"/>
          <w:sz w:val="24"/>
          <w:szCs w:val="24"/>
        </w:rPr>
      </w:pPr>
      <w:bookmarkStart w:id="0" w:name="_Toc173876531"/>
      <w:r w:rsidRPr="00EB2AF0">
        <w:rPr>
          <w:rFonts w:ascii="Times New Roman" w:hAnsi="Times New Roman" w:cs="Times New Roman"/>
          <w:sz w:val="24"/>
          <w:szCs w:val="24"/>
        </w:rPr>
        <w:lastRenderedPageBreak/>
        <w:t>Introduction</w:t>
      </w:r>
      <w:bookmarkEnd w:id="0"/>
      <w:r w:rsidRPr="00EB2AF0">
        <w:rPr>
          <w:rFonts w:ascii="Times New Roman" w:hAnsi="Times New Roman" w:cs="Times New Roman"/>
          <w:sz w:val="24"/>
          <w:szCs w:val="24"/>
        </w:rPr>
        <w:t xml:space="preserve"> </w:t>
      </w:r>
    </w:p>
    <w:p w14:paraId="76795AA7" w14:textId="18C69430" w:rsidR="00FF55BC" w:rsidRDefault="00B7264B" w:rsidP="00EB2A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operating in more than one country the financial decisions of the multinational companies can be affected in several ways, both positive and negative. Firstly, operating on a multinational level </w:t>
      </w:r>
      <w:r w:rsidR="00E05801" w:rsidRPr="00EB2AF0">
        <w:rPr>
          <w:rFonts w:ascii="Times New Roman" w:hAnsi="Times New Roman" w:cs="Times New Roman"/>
          <w:sz w:val="24"/>
          <w:szCs w:val="24"/>
        </w:rPr>
        <w:t>seems</w:t>
      </w:r>
      <w:r w:rsidR="003F530E" w:rsidRPr="00EB2AF0">
        <w:rPr>
          <w:rFonts w:ascii="Times New Roman" w:hAnsi="Times New Roman" w:cs="Times New Roman"/>
          <w:sz w:val="24"/>
          <w:szCs w:val="24"/>
        </w:rPr>
        <w:t xml:space="preserve"> to </w:t>
      </w:r>
      <w:r w:rsidR="00E05801" w:rsidRPr="00EB2AF0">
        <w:rPr>
          <w:rFonts w:ascii="Times New Roman" w:hAnsi="Times New Roman" w:cs="Times New Roman"/>
          <w:sz w:val="24"/>
          <w:szCs w:val="24"/>
        </w:rPr>
        <w:t xml:space="preserve">influence </w:t>
      </w:r>
      <w:r>
        <w:rPr>
          <w:rFonts w:ascii="Times New Roman" w:hAnsi="Times New Roman" w:cs="Times New Roman"/>
          <w:sz w:val="24"/>
          <w:szCs w:val="24"/>
        </w:rPr>
        <w:t xml:space="preserve">the financing costs of the company as well as their access to capital </w:t>
      </w:r>
      <w:r w:rsidR="003F530E" w:rsidRPr="00EB2AF0">
        <w:rPr>
          <w:rFonts w:ascii="Times New Roman" w:hAnsi="Times New Roman" w:cs="Times New Roman"/>
          <w:sz w:val="24"/>
          <w:szCs w:val="24"/>
        </w:rPr>
        <w:t>during economic</w:t>
      </w:r>
      <w:r w:rsidR="00E05801" w:rsidRPr="00EB2AF0">
        <w:rPr>
          <w:rFonts w:ascii="Times New Roman" w:hAnsi="Times New Roman" w:cs="Times New Roman"/>
          <w:sz w:val="24"/>
          <w:szCs w:val="24"/>
        </w:rPr>
        <w:t xml:space="preserve"> </w:t>
      </w:r>
      <w:r w:rsidR="00CC66CC" w:rsidRPr="00EB2AF0">
        <w:rPr>
          <w:rFonts w:ascii="Times New Roman" w:hAnsi="Times New Roman" w:cs="Times New Roman"/>
          <w:sz w:val="24"/>
          <w:szCs w:val="24"/>
        </w:rPr>
        <w:t>downturns</w:t>
      </w:r>
      <w:r w:rsidR="00CC66CC">
        <w:rPr>
          <w:rFonts w:ascii="Times New Roman" w:hAnsi="Times New Roman" w:cs="Times New Roman"/>
          <w:sz w:val="24"/>
          <w:szCs w:val="24"/>
        </w:rPr>
        <w:t xml:space="preserve"> (</w:t>
      </w:r>
      <w:r w:rsidR="00CC66CC" w:rsidRPr="00EB2AF0">
        <w:rPr>
          <w:rFonts w:ascii="Times New Roman" w:hAnsi="Times New Roman" w:cs="Times New Roman"/>
          <w:sz w:val="24"/>
          <w:szCs w:val="24"/>
        </w:rPr>
        <w:t>Erel, Jang and Weisbach</w:t>
      </w:r>
      <w:r w:rsidR="00CC66CC">
        <w:rPr>
          <w:rFonts w:ascii="Times New Roman" w:hAnsi="Times New Roman" w:cs="Times New Roman"/>
          <w:sz w:val="24"/>
          <w:szCs w:val="24"/>
        </w:rPr>
        <w:t xml:space="preserve">, </w:t>
      </w:r>
      <w:r w:rsidR="00CC66CC" w:rsidRPr="00EB2AF0">
        <w:rPr>
          <w:rFonts w:ascii="Times New Roman" w:hAnsi="Times New Roman" w:cs="Times New Roman"/>
          <w:sz w:val="24"/>
          <w:szCs w:val="24"/>
        </w:rPr>
        <w:t>2019</w:t>
      </w:r>
      <w:r w:rsidR="00CC66CC">
        <w:rPr>
          <w:rFonts w:ascii="Times New Roman" w:hAnsi="Times New Roman" w:cs="Times New Roman"/>
          <w:sz w:val="24"/>
          <w:szCs w:val="24"/>
        </w:rPr>
        <w:t>)</w:t>
      </w:r>
      <w:r w:rsidR="00A10970">
        <w:rPr>
          <w:rFonts w:ascii="Times New Roman" w:hAnsi="Times New Roman" w:cs="Times New Roman"/>
          <w:sz w:val="24"/>
          <w:szCs w:val="24"/>
        </w:rPr>
        <w:t xml:space="preserve">. </w:t>
      </w:r>
      <w:r w:rsidR="00CC66CC">
        <w:rPr>
          <w:rFonts w:ascii="Times New Roman" w:hAnsi="Times New Roman" w:cs="Times New Roman"/>
          <w:sz w:val="24"/>
          <w:szCs w:val="24"/>
        </w:rPr>
        <w:t xml:space="preserve"> </w:t>
      </w:r>
      <w:r>
        <w:rPr>
          <w:rFonts w:ascii="Times New Roman" w:hAnsi="Times New Roman" w:cs="Times New Roman"/>
          <w:sz w:val="24"/>
          <w:szCs w:val="24"/>
        </w:rPr>
        <w:t xml:space="preserve">Some of the most important risks for the multinational companies </w:t>
      </w:r>
      <w:r w:rsidR="00A10970">
        <w:rPr>
          <w:rFonts w:ascii="Times New Roman" w:hAnsi="Times New Roman" w:cs="Times New Roman"/>
          <w:sz w:val="24"/>
          <w:szCs w:val="24"/>
        </w:rPr>
        <w:t xml:space="preserve">involves several risks such as political risks, </w:t>
      </w:r>
      <w:r w:rsidR="00FF55BC">
        <w:rPr>
          <w:rFonts w:ascii="Times New Roman" w:hAnsi="Times New Roman" w:cs="Times New Roman"/>
          <w:sz w:val="24"/>
          <w:szCs w:val="24"/>
        </w:rPr>
        <w:t xml:space="preserve">economic </w:t>
      </w:r>
      <w:r w:rsidR="00A10970">
        <w:rPr>
          <w:rFonts w:ascii="Times New Roman" w:hAnsi="Times New Roman" w:cs="Times New Roman"/>
          <w:sz w:val="24"/>
          <w:szCs w:val="24"/>
        </w:rPr>
        <w:t xml:space="preserve">risk, or </w:t>
      </w:r>
      <w:r w:rsidR="00673EF8" w:rsidRPr="00673EF8">
        <w:rPr>
          <w:rFonts w:ascii="Times New Roman" w:hAnsi="Times New Roman" w:cs="Times New Roman"/>
          <w:sz w:val="24"/>
          <w:szCs w:val="24"/>
        </w:rPr>
        <w:t>exchange-rate risk.</w:t>
      </w:r>
      <w:r w:rsidR="00A10970">
        <w:rPr>
          <w:rFonts w:ascii="Times New Roman" w:hAnsi="Times New Roman" w:cs="Times New Roman"/>
          <w:sz w:val="24"/>
          <w:szCs w:val="24"/>
        </w:rPr>
        <w:t xml:space="preserve"> </w:t>
      </w:r>
    </w:p>
    <w:p w14:paraId="580B8372" w14:textId="1A0FD996" w:rsidR="00300983" w:rsidRPr="00EB2AF0" w:rsidRDefault="00A10970" w:rsidP="00EB2A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assessment will </w:t>
      </w:r>
      <w:r w:rsidR="00FF55BC">
        <w:rPr>
          <w:rFonts w:ascii="Times New Roman" w:hAnsi="Times New Roman" w:cs="Times New Roman"/>
          <w:sz w:val="24"/>
          <w:szCs w:val="24"/>
        </w:rPr>
        <w:t>focus on discussing the involvement of</w:t>
      </w:r>
      <w:r w:rsidR="00084697">
        <w:rPr>
          <w:rFonts w:ascii="Times New Roman" w:hAnsi="Times New Roman" w:cs="Times New Roman"/>
          <w:sz w:val="24"/>
          <w:szCs w:val="24"/>
        </w:rPr>
        <w:t xml:space="preserve"> the</w:t>
      </w:r>
      <w:r w:rsidR="00FF55BC">
        <w:rPr>
          <w:rFonts w:ascii="Times New Roman" w:hAnsi="Times New Roman" w:cs="Times New Roman"/>
          <w:sz w:val="24"/>
          <w:szCs w:val="24"/>
        </w:rPr>
        <w:t xml:space="preserve"> exchange risk, </w:t>
      </w:r>
      <w:r>
        <w:rPr>
          <w:rFonts w:ascii="Times New Roman" w:hAnsi="Times New Roman" w:cs="Times New Roman"/>
          <w:sz w:val="24"/>
          <w:szCs w:val="24"/>
        </w:rPr>
        <w:t xml:space="preserve">the types of foreign exchange risks and </w:t>
      </w:r>
      <w:r w:rsidR="00084697">
        <w:rPr>
          <w:rFonts w:ascii="Times New Roman" w:hAnsi="Times New Roman" w:cs="Times New Roman"/>
          <w:sz w:val="24"/>
          <w:szCs w:val="24"/>
        </w:rPr>
        <w:t xml:space="preserve">what </w:t>
      </w:r>
      <w:r>
        <w:rPr>
          <w:rFonts w:ascii="Times New Roman" w:hAnsi="Times New Roman" w:cs="Times New Roman"/>
          <w:sz w:val="24"/>
          <w:szCs w:val="24"/>
        </w:rPr>
        <w:t xml:space="preserve">strategies </w:t>
      </w:r>
      <w:r w:rsidR="00084697">
        <w:rPr>
          <w:rFonts w:ascii="Times New Roman" w:hAnsi="Times New Roman" w:cs="Times New Roman"/>
          <w:sz w:val="24"/>
          <w:szCs w:val="24"/>
        </w:rPr>
        <w:t xml:space="preserve">the </w:t>
      </w:r>
      <w:r w:rsidR="00FF55BC">
        <w:rPr>
          <w:rFonts w:ascii="Times New Roman" w:hAnsi="Times New Roman" w:cs="Times New Roman"/>
          <w:sz w:val="24"/>
          <w:szCs w:val="24"/>
        </w:rPr>
        <w:t>multinational companies</w:t>
      </w:r>
      <w:r w:rsidR="00084697">
        <w:rPr>
          <w:rFonts w:ascii="Times New Roman" w:hAnsi="Times New Roman" w:cs="Times New Roman"/>
          <w:sz w:val="24"/>
          <w:szCs w:val="24"/>
        </w:rPr>
        <w:t xml:space="preserve"> use</w:t>
      </w:r>
      <w:r>
        <w:rPr>
          <w:rFonts w:ascii="Times New Roman" w:hAnsi="Times New Roman" w:cs="Times New Roman"/>
          <w:sz w:val="24"/>
          <w:szCs w:val="24"/>
        </w:rPr>
        <w:t xml:space="preserve"> to manage those risks. </w:t>
      </w:r>
    </w:p>
    <w:p w14:paraId="14CC4CEF" w14:textId="5710A2C7" w:rsidR="00B70903" w:rsidRPr="00EB2AF0" w:rsidRDefault="00B70903" w:rsidP="00EB2AF0">
      <w:pPr>
        <w:pStyle w:val="Heading1"/>
        <w:spacing w:line="360" w:lineRule="auto"/>
        <w:jc w:val="both"/>
        <w:rPr>
          <w:rFonts w:ascii="Times New Roman" w:hAnsi="Times New Roman" w:cs="Times New Roman"/>
          <w:sz w:val="24"/>
          <w:szCs w:val="24"/>
        </w:rPr>
      </w:pPr>
      <w:bookmarkStart w:id="1" w:name="_Toc173876532"/>
      <w:r w:rsidRPr="00EB2AF0">
        <w:rPr>
          <w:rFonts w:ascii="Times New Roman" w:hAnsi="Times New Roman" w:cs="Times New Roman"/>
          <w:sz w:val="24"/>
          <w:szCs w:val="24"/>
        </w:rPr>
        <w:t>Evaluation of strategies adopted by multinational corporations to manage the exposure to foreign exchange risks.</w:t>
      </w:r>
      <w:bookmarkEnd w:id="1"/>
    </w:p>
    <w:p w14:paraId="20AE2F7D" w14:textId="15DB6338" w:rsidR="00EB2AF0" w:rsidRDefault="00EB2AF0" w:rsidP="00EB2AF0">
      <w:pPr>
        <w:pStyle w:val="Heading2"/>
        <w:spacing w:line="360" w:lineRule="auto"/>
        <w:jc w:val="both"/>
        <w:rPr>
          <w:rFonts w:ascii="Times New Roman" w:hAnsi="Times New Roman" w:cs="Times New Roman"/>
          <w:sz w:val="24"/>
          <w:szCs w:val="24"/>
        </w:rPr>
      </w:pPr>
      <w:bookmarkStart w:id="2" w:name="_Toc173876533"/>
      <w:r w:rsidRPr="00EB2AF0">
        <w:rPr>
          <w:rFonts w:ascii="Times New Roman" w:hAnsi="Times New Roman" w:cs="Times New Roman"/>
          <w:sz w:val="24"/>
          <w:szCs w:val="24"/>
        </w:rPr>
        <w:t>Foreign exchange risk</w:t>
      </w:r>
      <w:bookmarkEnd w:id="2"/>
      <w:r w:rsidRPr="00EB2AF0">
        <w:rPr>
          <w:rFonts w:ascii="Times New Roman" w:hAnsi="Times New Roman" w:cs="Times New Roman"/>
          <w:sz w:val="24"/>
          <w:szCs w:val="24"/>
        </w:rPr>
        <w:t xml:space="preserve"> </w:t>
      </w:r>
    </w:p>
    <w:p w14:paraId="5DB2AC2D" w14:textId="241D32DF" w:rsidR="002B0BA9" w:rsidRDefault="006A26AE" w:rsidP="00EB2AF0">
      <w:pPr>
        <w:spacing w:line="360" w:lineRule="auto"/>
        <w:jc w:val="both"/>
        <w:rPr>
          <w:rFonts w:ascii="Times New Roman" w:hAnsi="Times New Roman" w:cs="Times New Roman"/>
          <w:sz w:val="24"/>
          <w:szCs w:val="24"/>
        </w:rPr>
      </w:pPr>
      <w:r w:rsidRPr="00237FD8">
        <w:rPr>
          <w:rFonts w:ascii="Times New Roman" w:hAnsi="Times New Roman" w:cs="Times New Roman"/>
          <w:sz w:val="24"/>
          <w:szCs w:val="24"/>
        </w:rPr>
        <w:t xml:space="preserve">Foreign exchange risk </w:t>
      </w:r>
      <w:r w:rsidRPr="00EB2AF0">
        <w:rPr>
          <w:rFonts w:ascii="Times New Roman" w:hAnsi="Times New Roman" w:cs="Times New Roman"/>
          <w:sz w:val="24"/>
          <w:szCs w:val="24"/>
        </w:rPr>
        <w:t xml:space="preserve">refers to the risk that </w:t>
      </w:r>
      <w:r w:rsidR="00B7264B">
        <w:rPr>
          <w:rFonts w:ascii="Times New Roman" w:hAnsi="Times New Roman" w:cs="Times New Roman"/>
          <w:sz w:val="24"/>
          <w:szCs w:val="24"/>
        </w:rPr>
        <w:t xml:space="preserve">will occur to the company’s financial performance </w:t>
      </w:r>
      <w:r w:rsidRPr="00EB2AF0">
        <w:rPr>
          <w:rFonts w:ascii="Times New Roman" w:hAnsi="Times New Roman" w:cs="Times New Roman"/>
          <w:sz w:val="24"/>
          <w:szCs w:val="24"/>
        </w:rPr>
        <w:t xml:space="preserve">because </w:t>
      </w:r>
      <w:r w:rsidRPr="00237FD8">
        <w:rPr>
          <w:rFonts w:ascii="Times New Roman" w:hAnsi="Times New Roman" w:cs="Times New Roman"/>
          <w:sz w:val="24"/>
          <w:szCs w:val="24"/>
        </w:rPr>
        <w:t>of currency fluctuations.</w:t>
      </w:r>
      <w:r>
        <w:rPr>
          <w:rFonts w:ascii="Times New Roman" w:hAnsi="Times New Roman" w:cs="Times New Roman"/>
          <w:sz w:val="24"/>
          <w:szCs w:val="24"/>
        </w:rPr>
        <w:t xml:space="preserve"> </w:t>
      </w:r>
      <w:r w:rsidR="00EF56C3">
        <w:rPr>
          <w:rFonts w:ascii="Times New Roman" w:hAnsi="Times New Roman" w:cs="Times New Roman"/>
          <w:sz w:val="24"/>
          <w:szCs w:val="24"/>
        </w:rPr>
        <w:t xml:space="preserve">According to </w:t>
      </w:r>
      <w:r w:rsidR="0065296F" w:rsidRPr="00EB2AF0">
        <w:rPr>
          <w:rFonts w:ascii="Times New Roman" w:hAnsi="Times New Roman" w:cs="Times New Roman"/>
          <w:sz w:val="24"/>
          <w:szCs w:val="24"/>
        </w:rPr>
        <w:t>Erel, Jang and Weisbach</w:t>
      </w:r>
      <w:r w:rsidR="0065296F">
        <w:rPr>
          <w:rFonts w:ascii="Times New Roman" w:hAnsi="Times New Roman" w:cs="Times New Roman"/>
          <w:sz w:val="24"/>
          <w:szCs w:val="24"/>
        </w:rPr>
        <w:t xml:space="preserve"> (</w:t>
      </w:r>
      <w:r w:rsidR="0065296F" w:rsidRPr="00EB2AF0">
        <w:rPr>
          <w:rFonts w:ascii="Times New Roman" w:hAnsi="Times New Roman" w:cs="Times New Roman"/>
          <w:sz w:val="24"/>
          <w:szCs w:val="24"/>
        </w:rPr>
        <w:t>2019</w:t>
      </w:r>
      <w:r w:rsidR="0065296F">
        <w:rPr>
          <w:rFonts w:ascii="Times New Roman" w:hAnsi="Times New Roman" w:cs="Times New Roman"/>
          <w:sz w:val="24"/>
          <w:szCs w:val="24"/>
        </w:rPr>
        <w:t xml:space="preserve">) </w:t>
      </w:r>
      <w:r w:rsidR="00E97CF4">
        <w:rPr>
          <w:rFonts w:ascii="Times New Roman" w:hAnsi="Times New Roman" w:cs="Times New Roman"/>
          <w:sz w:val="24"/>
          <w:szCs w:val="24"/>
        </w:rPr>
        <w:t xml:space="preserve">all companies, either domestic or multinational are exposed to currency risk at some extend. However, for the multinational firms this risk is bigger because a major part of their cash flow and costs are in foreign currencies. </w:t>
      </w:r>
      <w:r w:rsidR="00811B64">
        <w:rPr>
          <w:rFonts w:ascii="Times New Roman" w:hAnsi="Times New Roman" w:cs="Times New Roman"/>
          <w:sz w:val="24"/>
          <w:szCs w:val="24"/>
        </w:rPr>
        <w:t>According to Hall, et al (2008)</w:t>
      </w:r>
      <w:r w:rsidR="003548E2" w:rsidRPr="003548E2">
        <w:rPr>
          <w:rFonts w:ascii="Times New Roman" w:hAnsi="Times New Roman" w:cs="Times New Roman"/>
          <w:sz w:val="24"/>
          <w:szCs w:val="24"/>
        </w:rPr>
        <w:t xml:space="preserve"> the foreign exchange risk arises because </w:t>
      </w:r>
      <w:r w:rsidR="003548E2">
        <w:rPr>
          <w:rFonts w:ascii="Times New Roman" w:hAnsi="Times New Roman" w:cs="Times New Roman"/>
          <w:sz w:val="24"/>
          <w:szCs w:val="24"/>
        </w:rPr>
        <w:t xml:space="preserve">the </w:t>
      </w:r>
      <w:r w:rsidR="003548E2" w:rsidRPr="003548E2">
        <w:rPr>
          <w:rFonts w:ascii="Times New Roman" w:hAnsi="Times New Roman" w:cs="Times New Roman"/>
          <w:sz w:val="24"/>
          <w:szCs w:val="24"/>
        </w:rPr>
        <w:t>multinational companies earn revenue in a variety of currencies while their expenses, including production costs and interest payment are typically in a different mix of currencies.</w:t>
      </w:r>
    </w:p>
    <w:p w14:paraId="1D4770C0" w14:textId="08B397D0" w:rsidR="00EB2AF0" w:rsidRPr="00EB2AF0" w:rsidRDefault="00EB2AF0" w:rsidP="00EB2AF0">
      <w:pPr>
        <w:pStyle w:val="Heading2"/>
        <w:spacing w:line="360" w:lineRule="auto"/>
        <w:jc w:val="both"/>
        <w:rPr>
          <w:rFonts w:ascii="Times New Roman" w:hAnsi="Times New Roman" w:cs="Times New Roman"/>
          <w:sz w:val="24"/>
          <w:szCs w:val="24"/>
        </w:rPr>
      </w:pPr>
      <w:bookmarkStart w:id="3" w:name="_Toc173876534"/>
      <w:r w:rsidRPr="00EB2AF0">
        <w:rPr>
          <w:rFonts w:ascii="Times New Roman" w:hAnsi="Times New Roman" w:cs="Times New Roman"/>
          <w:sz w:val="24"/>
          <w:szCs w:val="24"/>
        </w:rPr>
        <w:t>Types of foreign exchange risks</w:t>
      </w:r>
      <w:bookmarkEnd w:id="3"/>
    </w:p>
    <w:p w14:paraId="316B2088" w14:textId="1528E8CD" w:rsidR="005D19C0" w:rsidRPr="00EB2AF0" w:rsidRDefault="00237FD8" w:rsidP="00EB2AF0">
      <w:pPr>
        <w:spacing w:line="360" w:lineRule="auto"/>
        <w:jc w:val="both"/>
        <w:rPr>
          <w:rFonts w:ascii="Times New Roman" w:hAnsi="Times New Roman" w:cs="Times New Roman"/>
          <w:sz w:val="24"/>
          <w:szCs w:val="24"/>
        </w:rPr>
      </w:pPr>
      <w:r w:rsidRPr="00EB2AF0">
        <w:rPr>
          <w:rFonts w:ascii="Times New Roman" w:hAnsi="Times New Roman" w:cs="Times New Roman"/>
          <w:sz w:val="24"/>
          <w:szCs w:val="24"/>
        </w:rPr>
        <w:t xml:space="preserve">According to </w:t>
      </w:r>
      <w:r w:rsidR="003548E2">
        <w:rPr>
          <w:rFonts w:ascii="Times New Roman" w:hAnsi="Times New Roman" w:cs="Times New Roman"/>
          <w:sz w:val="24"/>
          <w:szCs w:val="24"/>
        </w:rPr>
        <w:t xml:space="preserve">Hill and Hult (2021), foreign exchange risk is divided into three main categories: transaction, translation, and economic. </w:t>
      </w:r>
    </w:p>
    <w:p w14:paraId="496C95FF" w14:textId="58CBED16" w:rsidR="002A3B73" w:rsidRDefault="00F5565E" w:rsidP="00EB2AF0">
      <w:pPr>
        <w:spacing w:line="360" w:lineRule="auto"/>
        <w:jc w:val="both"/>
        <w:rPr>
          <w:rFonts w:ascii="Times New Roman" w:hAnsi="Times New Roman" w:cs="Times New Roman"/>
          <w:sz w:val="24"/>
          <w:szCs w:val="24"/>
        </w:rPr>
      </w:pPr>
      <w:r w:rsidRPr="00EB2AF0">
        <w:rPr>
          <w:rFonts w:ascii="Times New Roman" w:hAnsi="Times New Roman" w:cs="Times New Roman"/>
          <w:b/>
          <w:bCs/>
          <w:i/>
          <w:iCs/>
          <w:sz w:val="24"/>
          <w:szCs w:val="24"/>
        </w:rPr>
        <w:t>Transaction risk</w:t>
      </w:r>
      <w:r w:rsidRPr="00EB2AF0">
        <w:rPr>
          <w:rFonts w:ascii="Times New Roman" w:hAnsi="Times New Roman" w:cs="Times New Roman"/>
          <w:sz w:val="24"/>
          <w:szCs w:val="24"/>
        </w:rPr>
        <w:t xml:space="preserve"> </w:t>
      </w:r>
      <w:r w:rsidR="002A3B73">
        <w:rPr>
          <w:rFonts w:ascii="Times New Roman" w:hAnsi="Times New Roman" w:cs="Times New Roman"/>
          <w:sz w:val="24"/>
          <w:szCs w:val="24"/>
        </w:rPr>
        <w:t>it is the risk a company encounters when conducting financial transactions when conducting financial transactions across different jurisdictions</w:t>
      </w:r>
      <w:r w:rsidRPr="00EB2AF0">
        <w:rPr>
          <w:rFonts w:ascii="Times New Roman" w:hAnsi="Times New Roman" w:cs="Times New Roman"/>
          <w:sz w:val="24"/>
          <w:szCs w:val="24"/>
        </w:rPr>
        <w:t xml:space="preserve">. </w:t>
      </w:r>
      <w:r w:rsidR="002A3B73">
        <w:rPr>
          <w:rFonts w:ascii="Times New Roman" w:hAnsi="Times New Roman" w:cs="Times New Roman"/>
          <w:sz w:val="24"/>
          <w:szCs w:val="24"/>
        </w:rPr>
        <w:t xml:space="preserve">The prime source of this risk occurs between the delay in the transaction and its settlement. </w:t>
      </w:r>
      <w:r w:rsidR="00EE0096">
        <w:rPr>
          <w:rFonts w:ascii="Times New Roman" w:hAnsi="Times New Roman" w:cs="Times New Roman"/>
          <w:sz w:val="24"/>
          <w:szCs w:val="24"/>
        </w:rPr>
        <w:t xml:space="preserve">For example, if a company </w:t>
      </w:r>
      <w:r w:rsidR="003548E2">
        <w:rPr>
          <w:rFonts w:ascii="Times New Roman" w:hAnsi="Times New Roman" w:cs="Times New Roman"/>
          <w:sz w:val="24"/>
          <w:szCs w:val="24"/>
        </w:rPr>
        <w:t>settles for a</w:t>
      </w:r>
      <w:r w:rsidR="00EE0096">
        <w:rPr>
          <w:rFonts w:ascii="Times New Roman" w:hAnsi="Times New Roman" w:cs="Times New Roman"/>
          <w:sz w:val="24"/>
          <w:szCs w:val="24"/>
        </w:rPr>
        <w:t xml:space="preserve"> deal in a foreign currency and the exchange rate shifts unfavourably </w:t>
      </w:r>
      <w:r w:rsidR="003548E2">
        <w:rPr>
          <w:rFonts w:ascii="Times New Roman" w:hAnsi="Times New Roman" w:cs="Times New Roman"/>
          <w:sz w:val="24"/>
          <w:szCs w:val="24"/>
        </w:rPr>
        <w:t>prior to the completion of</w:t>
      </w:r>
      <w:r w:rsidR="00EE0096">
        <w:rPr>
          <w:rFonts w:ascii="Times New Roman" w:hAnsi="Times New Roman" w:cs="Times New Roman"/>
          <w:sz w:val="24"/>
          <w:szCs w:val="24"/>
        </w:rPr>
        <w:t xml:space="preserve"> the transaction, the</w:t>
      </w:r>
      <w:r w:rsidR="003548E2">
        <w:rPr>
          <w:rFonts w:ascii="Times New Roman" w:hAnsi="Times New Roman" w:cs="Times New Roman"/>
          <w:sz w:val="24"/>
          <w:szCs w:val="24"/>
        </w:rPr>
        <w:t>n is possible that the</w:t>
      </w:r>
      <w:r w:rsidR="00EE0096">
        <w:rPr>
          <w:rFonts w:ascii="Times New Roman" w:hAnsi="Times New Roman" w:cs="Times New Roman"/>
          <w:sz w:val="24"/>
          <w:szCs w:val="24"/>
        </w:rPr>
        <w:t xml:space="preserve"> </w:t>
      </w:r>
      <w:r w:rsidR="003548E2">
        <w:rPr>
          <w:rFonts w:ascii="Times New Roman" w:hAnsi="Times New Roman" w:cs="Times New Roman"/>
          <w:sz w:val="24"/>
          <w:szCs w:val="24"/>
        </w:rPr>
        <w:t>business</w:t>
      </w:r>
      <w:r w:rsidR="00EE0096">
        <w:rPr>
          <w:rFonts w:ascii="Times New Roman" w:hAnsi="Times New Roman" w:cs="Times New Roman"/>
          <w:sz w:val="24"/>
          <w:szCs w:val="24"/>
        </w:rPr>
        <w:t xml:space="preserve"> </w:t>
      </w:r>
      <w:r w:rsidR="003548E2">
        <w:rPr>
          <w:rFonts w:ascii="Times New Roman" w:hAnsi="Times New Roman" w:cs="Times New Roman"/>
          <w:sz w:val="24"/>
          <w:szCs w:val="24"/>
        </w:rPr>
        <w:t>will</w:t>
      </w:r>
      <w:r w:rsidR="00EE0096">
        <w:rPr>
          <w:rFonts w:ascii="Times New Roman" w:hAnsi="Times New Roman" w:cs="Times New Roman"/>
          <w:sz w:val="24"/>
          <w:szCs w:val="24"/>
        </w:rPr>
        <w:t xml:space="preserve"> receive less revenue or face higher costs than anticipated. </w:t>
      </w:r>
      <w:r w:rsidR="002A3B73">
        <w:rPr>
          <w:rFonts w:ascii="Times New Roman" w:hAnsi="Times New Roman" w:cs="Times New Roman"/>
          <w:sz w:val="24"/>
          <w:szCs w:val="24"/>
        </w:rPr>
        <w:t>To mitigate the transaction risks the companies can use forward contracts and options</w:t>
      </w:r>
      <w:r w:rsidR="00836CF6">
        <w:rPr>
          <w:rFonts w:ascii="Times New Roman" w:hAnsi="Times New Roman" w:cs="Times New Roman"/>
          <w:sz w:val="24"/>
          <w:szCs w:val="24"/>
        </w:rPr>
        <w:t xml:space="preserve"> (CFI, 2024).</w:t>
      </w:r>
      <w:r w:rsidR="009A27AF">
        <w:rPr>
          <w:rFonts w:ascii="Times New Roman" w:hAnsi="Times New Roman" w:cs="Times New Roman"/>
          <w:sz w:val="24"/>
          <w:szCs w:val="24"/>
        </w:rPr>
        <w:t xml:space="preserve"> These strategies will be discussed later in the assessment. </w:t>
      </w:r>
    </w:p>
    <w:p w14:paraId="78E3CD06" w14:textId="7415AB4D" w:rsidR="003548E2" w:rsidRDefault="003548E2" w:rsidP="00EB2AF0">
      <w:pPr>
        <w:spacing w:line="360" w:lineRule="auto"/>
        <w:jc w:val="both"/>
        <w:rPr>
          <w:rFonts w:ascii="Times New Roman" w:hAnsi="Times New Roman" w:cs="Times New Roman"/>
          <w:sz w:val="24"/>
          <w:szCs w:val="24"/>
        </w:rPr>
      </w:pPr>
      <w:r w:rsidRPr="00EB2AF0">
        <w:rPr>
          <w:rFonts w:ascii="Times New Roman" w:hAnsi="Times New Roman" w:cs="Times New Roman"/>
          <w:b/>
          <w:bCs/>
          <w:i/>
          <w:iCs/>
          <w:sz w:val="24"/>
          <w:szCs w:val="24"/>
        </w:rPr>
        <w:lastRenderedPageBreak/>
        <w:t>Translation risk</w:t>
      </w:r>
      <w:r w:rsidRPr="00EB2AF0">
        <w:rPr>
          <w:rFonts w:ascii="Times New Roman" w:hAnsi="Times New Roman" w:cs="Times New Roman"/>
          <w:sz w:val="24"/>
          <w:szCs w:val="24"/>
        </w:rPr>
        <w:t>, also</w:t>
      </w:r>
      <w:r>
        <w:rPr>
          <w:rFonts w:ascii="Times New Roman" w:hAnsi="Times New Roman" w:cs="Times New Roman"/>
          <w:sz w:val="24"/>
          <w:szCs w:val="24"/>
        </w:rPr>
        <w:t xml:space="preserve"> referred to</w:t>
      </w:r>
      <w:r w:rsidRPr="00EB2AF0">
        <w:rPr>
          <w:rFonts w:ascii="Times New Roman" w:hAnsi="Times New Roman" w:cs="Times New Roman"/>
          <w:sz w:val="24"/>
          <w:szCs w:val="24"/>
        </w:rPr>
        <w:t xml:space="preserve"> as translation exposure</w:t>
      </w:r>
      <w:r>
        <w:rPr>
          <w:rFonts w:ascii="Times New Roman" w:hAnsi="Times New Roman" w:cs="Times New Roman"/>
          <w:sz w:val="24"/>
          <w:szCs w:val="24"/>
        </w:rPr>
        <w:t xml:space="preserve"> is</w:t>
      </w:r>
      <w:r w:rsidR="00467259">
        <w:rPr>
          <w:rFonts w:ascii="Times New Roman" w:hAnsi="Times New Roman" w:cs="Times New Roman"/>
          <w:sz w:val="24"/>
          <w:szCs w:val="24"/>
        </w:rPr>
        <w:t xml:space="preserve"> the impact of currency exchange rates changes on the reported financial statements of a company. </w:t>
      </w:r>
      <w:r w:rsidR="00467259">
        <w:rPr>
          <w:rFonts w:ascii="Times New Roman" w:hAnsi="Times New Roman" w:cs="Times New Roman"/>
          <w:sz w:val="24"/>
          <w:szCs w:val="24"/>
        </w:rPr>
        <w:t xml:space="preserve">Translation exposure is concerned with the present measurement of the past events. </w:t>
      </w:r>
      <w:r w:rsidR="00467259">
        <w:rPr>
          <w:rFonts w:ascii="Times New Roman" w:hAnsi="Times New Roman" w:cs="Times New Roman"/>
          <w:sz w:val="24"/>
          <w:szCs w:val="24"/>
        </w:rPr>
        <w:t xml:space="preserve">(Hill and Hult, 2021). </w:t>
      </w:r>
      <w:r>
        <w:rPr>
          <w:rFonts w:ascii="Times New Roman" w:hAnsi="Times New Roman" w:cs="Times New Roman"/>
          <w:sz w:val="24"/>
          <w:szCs w:val="24"/>
        </w:rPr>
        <w:t>This risk does not involve the actual cash flow of the company</w:t>
      </w:r>
      <w:r w:rsidRPr="00EB2AF0">
        <w:rPr>
          <w:rFonts w:ascii="Times New Roman" w:hAnsi="Times New Roman" w:cs="Times New Roman"/>
          <w:sz w:val="24"/>
          <w:szCs w:val="24"/>
        </w:rPr>
        <w:t xml:space="preserve"> </w:t>
      </w:r>
      <w:r>
        <w:rPr>
          <w:rFonts w:ascii="Times New Roman" w:hAnsi="Times New Roman" w:cs="Times New Roman"/>
          <w:sz w:val="24"/>
          <w:szCs w:val="24"/>
        </w:rPr>
        <w:t xml:space="preserve">but it affects the reported financial position and results of the company </w:t>
      </w:r>
      <w:r w:rsidRPr="00EB2AF0">
        <w:rPr>
          <w:rFonts w:ascii="Times New Roman" w:hAnsi="Times New Roman" w:cs="Times New Roman"/>
          <w:sz w:val="24"/>
          <w:szCs w:val="24"/>
        </w:rPr>
        <w:t>(CFI, 2024).</w:t>
      </w:r>
      <w:r w:rsidR="009A27AF">
        <w:rPr>
          <w:rFonts w:ascii="Times New Roman" w:hAnsi="Times New Roman" w:cs="Times New Roman"/>
          <w:sz w:val="24"/>
          <w:szCs w:val="24"/>
        </w:rPr>
        <w:t xml:space="preserve"> Translation risk can be mitigated by entering a forward contract or buying swaps. </w:t>
      </w:r>
      <w:r w:rsidR="009A27AF">
        <w:rPr>
          <w:rFonts w:ascii="Times New Roman" w:hAnsi="Times New Roman" w:cs="Times New Roman"/>
          <w:sz w:val="24"/>
          <w:szCs w:val="24"/>
        </w:rPr>
        <w:t xml:space="preserve">These strategies will be </w:t>
      </w:r>
      <w:r w:rsidR="009A27AF">
        <w:rPr>
          <w:rFonts w:ascii="Times New Roman" w:hAnsi="Times New Roman" w:cs="Times New Roman"/>
          <w:sz w:val="24"/>
          <w:szCs w:val="24"/>
        </w:rPr>
        <w:t>referred to</w:t>
      </w:r>
      <w:r w:rsidR="009A27AF">
        <w:rPr>
          <w:rFonts w:ascii="Times New Roman" w:hAnsi="Times New Roman" w:cs="Times New Roman"/>
          <w:sz w:val="24"/>
          <w:szCs w:val="24"/>
        </w:rPr>
        <w:t xml:space="preserve"> later in the assessment.</w:t>
      </w:r>
    </w:p>
    <w:p w14:paraId="12C6C6A9" w14:textId="7225B75E" w:rsidR="00EB2AF0" w:rsidRPr="00EB2AF0" w:rsidRDefault="00F5565E" w:rsidP="00EB2AF0">
      <w:pPr>
        <w:spacing w:line="360" w:lineRule="auto"/>
        <w:jc w:val="both"/>
        <w:rPr>
          <w:rFonts w:ascii="Times New Roman" w:hAnsi="Times New Roman" w:cs="Times New Roman"/>
          <w:sz w:val="24"/>
          <w:szCs w:val="24"/>
        </w:rPr>
      </w:pPr>
      <w:r w:rsidRPr="00EB2AF0">
        <w:rPr>
          <w:rFonts w:ascii="Times New Roman" w:hAnsi="Times New Roman" w:cs="Times New Roman"/>
          <w:b/>
          <w:bCs/>
          <w:i/>
          <w:iCs/>
          <w:sz w:val="24"/>
          <w:szCs w:val="24"/>
        </w:rPr>
        <w:t>Economic risk</w:t>
      </w:r>
      <w:r w:rsidRPr="00EB2AF0">
        <w:rPr>
          <w:rFonts w:ascii="Times New Roman" w:hAnsi="Times New Roman" w:cs="Times New Roman"/>
          <w:sz w:val="24"/>
          <w:szCs w:val="24"/>
        </w:rPr>
        <w:t xml:space="preserve">, also </w:t>
      </w:r>
      <w:r w:rsidR="00836CF6">
        <w:rPr>
          <w:rFonts w:ascii="Times New Roman" w:hAnsi="Times New Roman" w:cs="Times New Roman"/>
          <w:sz w:val="24"/>
          <w:szCs w:val="24"/>
        </w:rPr>
        <w:t xml:space="preserve">referred to </w:t>
      </w:r>
      <w:r w:rsidRPr="00EB2AF0">
        <w:rPr>
          <w:rFonts w:ascii="Times New Roman" w:hAnsi="Times New Roman" w:cs="Times New Roman"/>
          <w:sz w:val="24"/>
          <w:szCs w:val="24"/>
        </w:rPr>
        <w:t xml:space="preserve">as forecast risk, is the </w:t>
      </w:r>
      <w:r w:rsidR="00836CF6">
        <w:rPr>
          <w:rFonts w:ascii="Times New Roman" w:hAnsi="Times New Roman" w:cs="Times New Roman"/>
          <w:sz w:val="24"/>
          <w:szCs w:val="24"/>
        </w:rPr>
        <w:t>threat that a company’s market value could be</w:t>
      </w:r>
      <w:r w:rsidR="003548E2">
        <w:rPr>
          <w:rFonts w:ascii="Times New Roman" w:hAnsi="Times New Roman" w:cs="Times New Roman"/>
          <w:sz w:val="24"/>
          <w:szCs w:val="24"/>
        </w:rPr>
        <w:t xml:space="preserve"> influenced</w:t>
      </w:r>
      <w:r w:rsidR="00836CF6">
        <w:rPr>
          <w:rFonts w:ascii="Times New Roman" w:hAnsi="Times New Roman" w:cs="Times New Roman"/>
          <w:sz w:val="24"/>
          <w:szCs w:val="24"/>
        </w:rPr>
        <w:t xml:space="preserve"> by </w:t>
      </w:r>
      <w:r w:rsidR="003548E2">
        <w:rPr>
          <w:rFonts w:ascii="Times New Roman" w:hAnsi="Times New Roman" w:cs="Times New Roman"/>
          <w:sz w:val="24"/>
          <w:szCs w:val="24"/>
        </w:rPr>
        <w:t>inevitable</w:t>
      </w:r>
      <w:r w:rsidR="00836CF6">
        <w:rPr>
          <w:rFonts w:ascii="Times New Roman" w:hAnsi="Times New Roman" w:cs="Times New Roman"/>
          <w:sz w:val="24"/>
          <w:szCs w:val="24"/>
        </w:rPr>
        <w:t xml:space="preserve"> </w:t>
      </w:r>
      <w:r w:rsidRPr="00EB2AF0">
        <w:rPr>
          <w:rFonts w:ascii="Times New Roman" w:hAnsi="Times New Roman" w:cs="Times New Roman"/>
          <w:sz w:val="24"/>
          <w:szCs w:val="24"/>
        </w:rPr>
        <w:t>exposure to</w:t>
      </w:r>
      <w:r w:rsidR="00836CF6">
        <w:rPr>
          <w:rFonts w:ascii="Times New Roman" w:hAnsi="Times New Roman" w:cs="Times New Roman"/>
          <w:sz w:val="24"/>
          <w:szCs w:val="24"/>
        </w:rPr>
        <w:t xml:space="preserve"> fluctuations in</w:t>
      </w:r>
      <w:r w:rsidRPr="00EB2AF0">
        <w:rPr>
          <w:rFonts w:ascii="Times New Roman" w:hAnsi="Times New Roman" w:cs="Times New Roman"/>
          <w:sz w:val="24"/>
          <w:szCs w:val="24"/>
        </w:rPr>
        <w:t xml:space="preserve"> exchange rate</w:t>
      </w:r>
      <w:r w:rsidR="00836CF6">
        <w:rPr>
          <w:rFonts w:ascii="Times New Roman" w:hAnsi="Times New Roman" w:cs="Times New Roman"/>
          <w:sz w:val="24"/>
          <w:szCs w:val="24"/>
        </w:rPr>
        <w:t xml:space="preserve">. </w:t>
      </w:r>
      <w:r w:rsidR="00EE0096">
        <w:rPr>
          <w:rFonts w:ascii="Times New Roman" w:hAnsi="Times New Roman" w:cs="Times New Roman"/>
          <w:sz w:val="24"/>
          <w:szCs w:val="24"/>
        </w:rPr>
        <w:t>This type of risk</w:t>
      </w:r>
      <w:r w:rsidR="003548E2">
        <w:rPr>
          <w:rFonts w:ascii="Times New Roman" w:hAnsi="Times New Roman" w:cs="Times New Roman"/>
          <w:sz w:val="24"/>
          <w:szCs w:val="24"/>
        </w:rPr>
        <w:t xml:space="preserve"> occurs </w:t>
      </w:r>
      <w:r w:rsidR="00EC573D">
        <w:rPr>
          <w:rFonts w:ascii="Times New Roman" w:hAnsi="Times New Roman" w:cs="Times New Roman"/>
          <w:sz w:val="24"/>
          <w:szCs w:val="24"/>
        </w:rPr>
        <w:t xml:space="preserve">due to macroeconomics factors such as the geopolitical instability or government regulations </w:t>
      </w:r>
      <w:r w:rsidR="00752752">
        <w:rPr>
          <w:rFonts w:ascii="Times New Roman" w:hAnsi="Times New Roman" w:cs="Times New Roman"/>
          <w:sz w:val="24"/>
          <w:szCs w:val="24"/>
        </w:rPr>
        <w:t xml:space="preserve">(CFI, 2024). </w:t>
      </w:r>
      <w:r w:rsidR="00EE0096">
        <w:rPr>
          <w:rFonts w:ascii="Times New Roman" w:hAnsi="Times New Roman" w:cs="Times New Roman"/>
          <w:sz w:val="24"/>
          <w:szCs w:val="24"/>
        </w:rPr>
        <w:t>A good example to better understand the implications of this risk was provided by</w:t>
      </w:r>
      <w:r w:rsidR="000F484B">
        <w:rPr>
          <w:rFonts w:ascii="Times New Roman" w:hAnsi="Times New Roman" w:cs="Times New Roman"/>
          <w:sz w:val="24"/>
          <w:szCs w:val="24"/>
        </w:rPr>
        <w:t xml:space="preserve"> </w:t>
      </w:r>
      <w:r w:rsidR="00FF55BC">
        <w:rPr>
          <w:rFonts w:ascii="Times New Roman" w:hAnsi="Times New Roman" w:cs="Times New Roman"/>
          <w:sz w:val="24"/>
          <w:szCs w:val="24"/>
        </w:rPr>
        <w:t xml:space="preserve">the </w:t>
      </w:r>
      <w:r w:rsidR="00FF55BC" w:rsidRPr="00FF55BC">
        <w:rPr>
          <w:rFonts w:ascii="Times New Roman" w:hAnsi="Times New Roman" w:cs="Times New Roman"/>
          <w:sz w:val="24"/>
          <w:szCs w:val="24"/>
        </w:rPr>
        <w:t xml:space="preserve">Association of Chartered Certified Accountants </w:t>
      </w:r>
      <w:r w:rsidR="00FF55BC">
        <w:rPr>
          <w:rFonts w:ascii="Times New Roman" w:hAnsi="Times New Roman" w:cs="Times New Roman"/>
          <w:sz w:val="24"/>
          <w:szCs w:val="24"/>
        </w:rPr>
        <w:t>(</w:t>
      </w:r>
      <w:r w:rsidR="00752752">
        <w:rPr>
          <w:rFonts w:ascii="Times New Roman" w:hAnsi="Times New Roman" w:cs="Times New Roman"/>
          <w:sz w:val="24"/>
          <w:szCs w:val="24"/>
        </w:rPr>
        <w:t>ACCA</w:t>
      </w:r>
      <w:r w:rsidR="00FF55BC">
        <w:rPr>
          <w:rFonts w:ascii="Times New Roman" w:hAnsi="Times New Roman" w:cs="Times New Roman"/>
          <w:sz w:val="24"/>
          <w:szCs w:val="24"/>
        </w:rPr>
        <w:t xml:space="preserve">). </w:t>
      </w:r>
      <w:r w:rsidR="00EE0096">
        <w:rPr>
          <w:rFonts w:ascii="Times New Roman" w:hAnsi="Times New Roman" w:cs="Times New Roman"/>
          <w:sz w:val="24"/>
          <w:szCs w:val="24"/>
        </w:rPr>
        <w:t xml:space="preserve">For </w:t>
      </w:r>
      <w:r w:rsidR="00955C5B">
        <w:rPr>
          <w:rFonts w:ascii="Times New Roman" w:hAnsi="Times New Roman" w:cs="Times New Roman"/>
          <w:sz w:val="24"/>
          <w:szCs w:val="24"/>
        </w:rPr>
        <w:t>example, if</w:t>
      </w:r>
      <w:r w:rsidR="00EE0096">
        <w:rPr>
          <w:rFonts w:ascii="Times New Roman" w:hAnsi="Times New Roman" w:cs="Times New Roman"/>
          <w:sz w:val="24"/>
          <w:szCs w:val="24"/>
        </w:rPr>
        <w:t xml:space="preserve"> a company </w:t>
      </w:r>
      <w:r w:rsidR="001076D3">
        <w:rPr>
          <w:rFonts w:ascii="Times New Roman" w:hAnsi="Times New Roman" w:cs="Times New Roman"/>
          <w:sz w:val="24"/>
          <w:szCs w:val="24"/>
        </w:rPr>
        <w:t xml:space="preserve">exports </w:t>
      </w:r>
      <w:r w:rsidR="00955C5B">
        <w:rPr>
          <w:rFonts w:ascii="Times New Roman" w:hAnsi="Times New Roman" w:cs="Times New Roman"/>
          <w:sz w:val="24"/>
          <w:szCs w:val="24"/>
        </w:rPr>
        <w:t xml:space="preserve">from UK to a country in the eurozone and the euro declines in value for instance from </w:t>
      </w:r>
      <w:r w:rsidR="00752752" w:rsidRPr="00752752">
        <w:rPr>
          <w:rFonts w:ascii="Times New Roman" w:hAnsi="Times New Roman" w:cs="Times New Roman"/>
          <w:sz w:val="24"/>
          <w:szCs w:val="24"/>
        </w:rPr>
        <w:t>€/£1.1 to €/£1.</w:t>
      </w:r>
      <w:r w:rsidR="001076D3" w:rsidRPr="00752752">
        <w:rPr>
          <w:rFonts w:ascii="Times New Roman" w:hAnsi="Times New Roman" w:cs="Times New Roman"/>
          <w:sz w:val="24"/>
          <w:szCs w:val="24"/>
        </w:rPr>
        <w:t>3</w:t>
      </w:r>
      <w:r w:rsidR="001076D3">
        <w:rPr>
          <w:rFonts w:ascii="Times New Roman" w:hAnsi="Times New Roman" w:cs="Times New Roman"/>
          <w:sz w:val="24"/>
          <w:szCs w:val="24"/>
        </w:rPr>
        <w:t xml:space="preserve">, meaning per pound will get more euros, this therefore making the euro weaker. </w:t>
      </w:r>
      <w:r w:rsidR="00955C5B">
        <w:rPr>
          <w:rFonts w:ascii="Times New Roman" w:hAnsi="Times New Roman" w:cs="Times New Roman"/>
          <w:sz w:val="24"/>
          <w:szCs w:val="24"/>
        </w:rPr>
        <w:t xml:space="preserve">As a result, </w:t>
      </w:r>
      <w:r w:rsidR="001076D3">
        <w:rPr>
          <w:rFonts w:ascii="Times New Roman" w:hAnsi="Times New Roman" w:cs="Times New Roman"/>
          <w:sz w:val="24"/>
          <w:szCs w:val="24"/>
        </w:rPr>
        <w:t>when priced in euros, the</w:t>
      </w:r>
      <w:r w:rsidR="00955C5B">
        <w:rPr>
          <w:rFonts w:ascii="Times New Roman" w:hAnsi="Times New Roman" w:cs="Times New Roman"/>
          <w:sz w:val="24"/>
          <w:szCs w:val="24"/>
        </w:rPr>
        <w:t xml:space="preserve"> exports from the UK will be more expensive. So, in this example where the UK price is £100 </w:t>
      </w:r>
      <w:r w:rsidR="00351D1E" w:rsidRPr="00752752">
        <w:rPr>
          <w:rFonts w:ascii="Times New Roman" w:hAnsi="Times New Roman" w:cs="Times New Roman"/>
          <w:sz w:val="24"/>
          <w:szCs w:val="24"/>
        </w:rPr>
        <w:t>instead of €110</w:t>
      </w:r>
      <w:r w:rsidR="00351D1E">
        <w:rPr>
          <w:rFonts w:ascii="Times New Roman" w:hAnsi="Times New Roman" w:cs="Times New Roman"/>
          <w:sz w:val="24"/>
          <w:szCs w:val="24"/>
        </w:rPr>
        <w:t>,</w:t>
      </w:r>
      <w:r w:rsidR="00351D1E" w:rsidRPr="00752752">
        <w:rPr>
          <w:rFonts w:ascii="Times New Roman" w:hAnsi="Times New Roman" w:cs="Times New Roman"/>
          <w:sz w:val="24"/>
          <w:szCs w:val="24"/>
        </w:rPr>
        <w:t xml:space="preserve"> </w:t>
      </w:r>
      <w:r w:rsidR="00955C5B">
        <w:rPr>
          <w:rFonts w:ascii="Times New Roman" w:hAnsi="Times New Roman" w:cs="Times New Roman"/>
          <w:sz w:val="24"/>
          <w:szCs w:val="24"/>
        </w:rPr>
        <w:t xml:space="preserve">will </w:t>
      </w:r>
      <w:r w:rsidR="00351D1E">
        <w:rPr>
          <w:rFonts w:ascii="Times New Roman" w:hAnsi="Times New Roman" w:cs="Times New Roman"/>
          <w:sz w:val="24"/>
          <w:szCs w:val="24"/>
        </w:rPr>
        <w:t xml:space="preserve">now </w:t>
      </w:r>
      <w:r w:rsidR="00955C5B">
        <w:rPr>
          <w:rFonts w:ascii="Times New Roman" w:hAnsi="Times New Roman" w:cs="Times New Roman"/>
          <w:sz w:val="24"/>
          <w:szCs w:val="24"/>
        </w:rPr>
        <w:t xml:space="preserve">cost </w:t>
      </w:r>
      <w:r w:rsidR="00752752" w:rsidRPr="00752752">
        <w:rPr>
          <w:rFonts w:ascii="Times New Roman" w:hAnsi="Times New Roman" w:cs="Times New Roman"/>
          <w:sz w:val="24"/>
          <w:szCs w:val="24"/>
        </w:rPr>
        <w:t xml:space="preserve">€130 </w:t>
      </w:r>
      <w:r w:rsidR="00955C5B">
        <w:rPr>
          <w:rFonts w:ascii="Times New Roman" w:hAnsi="Times New Roman" w:cs="Times New Roman"/>
          <w:sz w:val="24"/>
          <w:szCs w:val="24"/>
        </w:rPr>
        <w:t xml:space="preserve">as a result </w:t>
      </w:r>
      <w:r w:rsidR="00752752" w:rsidRPr="00752752">
        <w:rPr>
          <w:rFonts w:ascii="Times New Roman" w:hAnsi="Times New Roman" w:cs="Times New Roman"/>
          <w:sz w:val="24"/>
          <w:szCs w:val="24"/>
        </w:rPr>
        <w:t xml:space="preserve">making those goods </w:t>
      </w:r>
      <w:r w:rsidR="00955C5B">
        <w:rPr>
          <w:rFonts w:ascii="Times New Roman" w:hAnsi="Times New Roman" w:cs="Times New Roman"/>
          <w:sz w:val="24"/>
          <w:szCs w:val="24"/>
        </w:rPr>
        <w:t xml:space="preserve">or services </w:t>
      </w:r>
      <w:r w:rsidR="00351D1E">
        <w:rPr>
          <w:rFonts w:ascii="Times New Roman" w:hAnsi="Times New Roman" w:cs="Times New Roman"/>
          <w:sz w:val="24"/>
          <w:szCs w:val="24"/>
        </w:rPr>
        <w:t xml:space="preserve">to be </w:t>
      </w:r>
      <w:r w:rsidR="00752752" w:rsidRPr="00752752">
        <w:rPr>
          <w:rFonts w:ascii="Times New Roman" w:hAnsi="Times New Roman" w:cs="Times New Roman"/>
          <w:sz w:val="24"/>
          <w:szCs w:val="24"/>
        </w:rPr>
        <w:t>less competitive in the European market.</w:t>
      </w:r>
    </w:p>
    <w:p w14:paraId="26DA2ECC" w14:textId="606362AD" w:rsidR="00EB2AF0" w:rsidRPr="00EB2AF0" w:rsidRDefault="008D508A" w:rsidP="008D508A">
      <w:pPr>
        <w:rPr>
          <w:rFonts w:ascii="Times New Roman" w:hAnsi="Times New Roman" w:cs="Times New Roman"/>
          <w:sz w:val="24"/>
          <w:szCs w:val="24"/>
        </w:rPr>
      </w:pPr>
      <w:r>
        <w:rPr>
          <w:rFonts w:ascii="Times New Roman" w:hAnsi="Times New Roman" w:cs="Times New Roman"/>
          <w:sz w:val="24"/>
          <w:szCs w:val="24"/>
        </w:rPr>
        <w:br w:type="page"/>
      </w:r>
    </w:p>
    <w:p w14:paraId="5ADEFC8E" w14:textId="77777777" w:rsidR="00EB2AF0" w:rsidRPr="00EB2AF0" w:rsidRDefault="00EB2AF0" w:rsidP="008D508A">
      <w:pPr>
        <w:pStyle w:val="Heading2"/>
        <w:spacing w:line="360" w:lineRule="auto"/>
        <w:jc w:val="both"/>
        <w:rPr>
          <w:rFonts w:ascii="Times New Roman" w:hAnsi="Times New Roman" w:cs="Times New Roman"/>
          <w:sz w:val="24"/>
          <w:szCs w:val="24"/>
        </w:rPr>
      </w:pPr>
      <w:bookmarkStart w:id="4" w:name="_Toc173876535"/>
      <w:r w:rsidRPr="00EB2AF0">
        <w:rPr>
          <w:rFonts w:ascii="Times New Roman" w:hAnsi="Times New Roman" w:cs="Times New Roman"/>
          <w:sz w:val="24"/>
          <w:szCs w:val="24"/>
        </w:rPr>
        <w:lastRenderedPageBreak/>
        <w:t>Strategies to manage foreign exchange risks</w:t>
      </w:r>
      <w:bookmarkEnd w:id="4"/>
    </w:p>
    <w:p w14:paraId="32C4C986" w14:textId="4EFAFD4A" w:rsidR="00983D3D" w:rsidRDefault="008D508A" w:rsidP="00EB2AF0">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246DBEA2" wp14:editId="4136D339">
            <wp:simplePos x="0" y="0"/>
            <wp:positionH relativeFrom="margin">
              <wp:posOffset>398145</wp:posOffset>
            </wp:positionH>
            <wp:positionV relativeFrom="margin">
              <wp:posOffset>1628775</wp:posOffset>
            </wp:positionV>
            <wp:extent cx="5049520" cy="2438400"/>
            <wp:effectExtent l="0" t="0" r="0" b="0"/>
            <wp:wrapSquare wrapText="bothSides"/>
            <wp:docPr id="1301401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01591" name=""/>
                    <pic:cNvPicPr/>
                  </pic:nvPicPr>
                  <pic:blipFill>
                    <a:blip r:embed="rId7">
                      <a:extLst>
                        <a:ext uri="{28A0092B-C50C-407E-A947-70E740481C1C}">
                          <a14:useLocalDpi xmlns:a14="http://schemas.microsoft.com/office/drawing/2010/main" val="0"/>
                        </a:ext>
                      </a:extLst>
                    </a:blip>
                    <a:stretch>
                      <a:fillRect/>
                    </a:stretch>
                  </pic:blipFill>
                  <pic:spPr>
                    <a:xfrm>
                      <a:off x="0" y="0"/>
                      <a:ext cx="5049520" cy="2438400"/>
                    </a:xfrm>
                    <a:prstGeom prst="rect">
                      <a:avLst/>
                    </a:prstGeom>
                  </pic:spPr>
                </pic:pic>
              </a:graphicData>
            </a:graphic>
            <wp14:sizeRelH relativeFrom="margin">
              <wp14:pctWidth>0</wp14:pctWidth>
            </wp14:sizeRelH>
            <wp14:sizeRelV relativeFrom="margin">
              <wp14:pctHeight>0</wp14:pctHeight>
            </wp14:sizeRelV>
          </wp:anchor>
        </w:drawing>
      </w:r>
      <w:r w:rsidR="00687015" w:rsidRPr="00BF6F60">
        <w:rPr>
          <w:rFonts w:ascii="Times New Roman" w:hAnsi="Times New Roman" w:cs="Times New Roman"/>
          <w:sz w:val="24"/>
          <w:szCs w:val="24"/>
        </w:rPr>
        <w:t xml:space="preserve">According to the </w:t>
      </w:r>
      <w:r w:rsidR="00D00CE3" w:rsidRPr="00BF6F60">
        <w:rPr>
          <w:rFonts w:ascii="Times New Roman" w:hAnsi="Times New Roman" w:cs="Times New Roman"/>
          <w:sz w:val="24"/>
          <w:szCs w:val="24"/>
        </w:rPr>
        <w:t>CFI (2024), one of the strategies that can be used by multinational companies to mitigate the exchange risk is</w:t>
      </w:r>
      <w:r w:rsidR="004E388F">
        <w:rPr>
          <w:rFonts w:ascii="Times New Roman" w:hAnsi="Times New Roman" w:cs="Times New Roman"/>
          <w:sz w:val="24"/>
          <w:szCs w:val="24"/>
        </w:rPr>
        <w:t xml:space="preserve"> </w:t>
      </w:r>
      <w:r w:rsidR="004E388F" w:rsidRPr="00491E3E">
        <w:rPr>
          <w:rFonts w:ascii="Times New Roman" w:hAnsi="Times New Roman" w:cs="Times New Roman"/>
          <w:b/>
          <w:bCs/>
          <w:sz w:val="24"/>
          <w:szCs w:val="24"/>
        </w:rPr>
        <w:t>hedging</w:t>
      </w:r>
      <w:r w:rsidR="004E388F">
        <w:rPr>
          <w:rFonts w:ascii="Times New Roman" w:hAnsi="Times New Roman" w:cs="Times New Roman"/>
          <w:sz w:val="24"/>
          <w:szCs w:val="24"/>
        </w:rPr>
        <w:t xml:space="preserve">.  Hedging refers to </w:t>
      </w:r>
      <w:r w:rsidR="004E388F" w:rsidRPr="004E388F">
        <w:rPr>
          <w:rFonts w:ascii="Times New Roman" w:hAnsi="Times New Roman" w:cs="Times New Roman"/>
          <w:sz w:val="24"/>
          <w:szCs w:val="24"/>
        </w:rPr>
        <w:t xml:space="preserve">a risk management strategy </w:t>
      </w:r>
      <w:r w:rsidR="004E388F">
        <w:rPr>
          <w:rFonts w:ascii="Times New Roman" w:hAnsi="Times New Roman" w:cs="Times New Roman"/>
          <w:sz w:val="24"/>
          <w:szCs w:val="24"/>
        </w:rPr>
        <w:t>used</w:t>
      </w:r>
      <w:r w:rsidR="004E388F" w:rsidRPr="004E388F">
        <w:rPr>
          <w:rFonts w:ascii="Times New Roman" w:hAnsi="Times New Roman" w:cs="Times New Roman"/>
          <w:sz w:val="24"/>
          <w:szCs w:val="24"/>
        </w:rPr>
        <w:t xml:space="preserve"> </w:t>
      </w:r>
      <w:r>
        <w:rPr>
          <w:rFonts w:ascii="Times New Roman" w:hAnsi="Times New Roman" w:cs="Times New Roman"/>
          <w:sz w:val="24"/>
          <w:szCs w:val="24"/>
        </w:rPr>
        <w:t xml:space="preserve">by companies </w:t>
      </w:r>
      <w:r w:rsidR="004E388F" w:rsidRPr="004E388F">
        <w:rPr>
          <w:rFonts w:ascii="Times New Roman" w:hAnsi="Times New Roman" w:cs="Times New Roman"/>
          <w:sz w:val="24"/>
          <w:szCs w:val="24"/>
        </w:rPr>
        <w:t>to offset losses in investments by taking an opposite position in a related asse</w:t>
      </w:r>
      <w:r w:rsidR="004E388F">
        <w:rPr>
          <w:rFonts w:ascii="Times New Roman" w:hAnsi="Times New Roman" w:cs="Times New Roman"/>
          <w:sz w:val="24"/>
          <w:szCs w:val="24"/>
        </w:rPr>
        <w:t xml:space="preserve">t. </w:t>
      </w:r>
      <w:r w:rsidR="00983D3D">
        <w:rPr>
          <w:rFonts w:ascii="Times New Roman" w:hAnsi="Times New Roman" w:cs="Times New Roman"/>
          <w:sz w:val="24"/>
          <w:szCs w:val="24"/>
        </w:rPr>
        <w:t xml:space="preserve">Hedging involves more techniques which can help multinational companies to mitigate the exchange risk. </w:t>
      </w:r>
    </w:p>
    <w:p w14:paraId="6816AE2C" w14:textId="0CD29C42" w:rsidR="008D508A" w:rsidRDefault="008D508A" w:rsidP="0035695A">
      <w:pPr>
        <w:spacing w:line="360" w:lineRule="auto"/>
        <w:jc w:val="center"/>
        <w:rPr>
          <w:rFonts w:ascii="Times New Roman" w:hAnsi="Times New Roman" w:cs="Times New Roman"/>
          <w:sz w:val="24"/>
          <w:szCs w:val="24"/>
        </w:rPr>
      </w:pPr>
    </w:p>
    <w:p w14:paraId="21777699" w14:textId="31327ED3" w:rsidR="008D508A" w:rsidRDefault="008D508A" w:rsidP="0035695A">
      <w:pPr>
        <w:spacing w:line="360" w:lineRule="auto"/>
        <w:jc w:val="center"/>
        <w:rPr>
          <w:rFonts w:ascii="Times New Roman" w:hAnsi="Times New Roman" w:cs="Times New Roman"/>
          <w:sz w:val="24"/>
          <w:szCs w:val="24"/>
        </w:rPr>
      </w:pPr>
    </w:p>
    <w:p w14:paraId="4693544F" w14:textId="77777777" w:rsidR="008D508A" w:rsidRDefault="008D508A" w:rsidP="0035695A">
      <w:pPr>
        <w:spacing w:line="360" w:lineRule="auto"/>
        <w:jc w:val="center"/>
        <w:rPr>
          <w:rFonts w:ascii="Times New Roman" w:hAnsi="Times New Roman" w:cs="Times New Roman"/>
          <w:sz w:val="24"/>
          <w:szCs w:val="24"/>
        </w:rPr>
      </w:pPr>
    </w:p>
    <w:p w14:paraId="756680C5" w14:textId="744C03BE" w:rsidR="008D508A" w:rsidRDefault="008D508A" w:rsidP="0035695A">
      <w:pPr>
        <w:spacing w:line="360" w:lineRule="auto"/>
        <w:jc w:val="center"/>
        <w:rPr>
          <w:rFonts w:ascii="Times New Roman" w:hAnsi="Times New Roman" w:cs="Times New Roman"/>
          <w:sz w:val="24"/>
          <w:szCs w:val="24"/>
        </w:rPr>
      </w:pPr>
    </w:p>
    <w:p w14:paraId="239FE4F4" w14:textId="77777777" w:rsidR="008D508A" w:rsidRDefault="008D508A" w:rsidP="0035695A">
      <w:pPr>
        <w:spacing w:line="360" w:lineRule="auto"/>
        <w:jc w:val="center"/>
        <w:rPr>
          <w:rFonts w:ascii="Times New Roman" w:hAnsi="Times New Roman" w:cs="Times New Roman"/>
          <w:sz w:val="24"/>
          <w:szCs w:val="24"/>
        </w:rPr>
      </w:pPr>
    </w:p>
    <w:p w14:paraId="6E1AAF7B" w14:textId="77777777" w:rsidR="008D508A" w:rsidRDefault="008D508A" w:rsidP="0035695A">
      <w:pPr>
        <w:spacing w:line="360" w:lineRule="auto"/>
        <w:jc w:val="center"/>
        <w:rPr>
          <w:rFonts w:ascii="Times New Roman" w:hAnsi="Times New Roman" w:cs="Times New Roman"/>
          <w:sz w:val="24"/>
          <w:szCs w:val="24"/>
        </w:rPr>
      </w:pPr>
    </w:p>
    <w:p w14:paraId="522EEB99" w14:textId="77777777" w:rsidR="008D508A" w:rsidRDefault="008D508A" w:rsidP="008D508A">
      <w:pPr>
        <w:spacing w:line="360" w:lineRule="auto"/>
        <w:jc w:val="center"/>
        <w:rPr>
          <w:rFonts w:ascii="Times New Roman" w:hAnsi="Times New Roman" w:cs="Times New Roman"/>
          <w:sz w:val="24"/>
          <w:szCs w:val="24"/>
        </w:rPr>
      </w:pPr>
    </w:p>
    <w:p w14:paraId="17614263" w14:textId="3B50F1E6" w:rsidR="00690819" w:rsidRDefault="00690819" w:rsidP="008D508A">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35695A">
        <w:rPr>
          <w:rFonts w:ascii="Times New Roman" w:hAnsi="Times New Roman" w:cs="Times New Roman"/>
          <w:sz w:val="24"/>
          <w:szCs w:val="24"/>
        </w:rPr>
        <w:t>1</w:t>
      </w:r>
      <w:r>
        <w:rPr>
          <w:rFonts w:ascii="Times New Roman" w:hAnsi="Times New Roman" w:cs="Times New Roman"/>
          <w:sz w:val="24"/>
          <w:szCs w:val="24"/>
        </w:rPr>
        <w:t xml:space="preserve">. Common types of Hedging Arrangements (CFI, 2024, </w:t>
      </w:r>
      <w:hyperlink r:id="rId8" w:history="1">
        <w:r w:rsidRPr="001E1AE6">
          <w:rPr>
            <w:rStyle w:val="Hyperlink"/>
            <w:rFonts w:ascii="Times New Roman" w:hAnsi="Times New Roman" w:cs="Times New Roman"/>
            <w:sz w:val="24"/>
            <w:szCs w:val="24"/>
          </w:rPr>
          <w:t>www.corporatefinanceinstitute.com</w:t>
        </w:r>
      </w:hyperlink>
      <w:r>
        <w:rPr>
          <w:rFonts w:ascii="Times New Roman" w:hAnsi="Times New Roman" w:cs="Times New Roman"/>
          <w:sz w:val="24"/>
          <w:szCs w:val="24"/>
        </w:rPr>
        <w:t xml:space="preserve"> )</w:t>
      </w:r>
    </w:p>
    <w:p w14:paraId="2FAC4E29" w14:textId="79665BBB" w:rsidR="0035695A" w:rsidRDefault="0035695A" w:rsidP="003569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shown in the figure 1 above, some of there are few common types of hedging arrangement such as forward contracts, futures contracts, options contracts, and swaps. In the next section the report will discuss in more detail two of these techniques and their implications: forward contracts and futures contracts. </w:t>
      </w:r>
    </w:p>
    <w:p w14:paraId="25D1561A" w14:textId="6810E6B1" w:rsidR="002D0422" w:rsidRDefault="0035695A" w:rsidP="00EB2AF0">
      <w:pPr>
        <w:spacing w:line="360" w:lineRule="auto"/>
        <w:jc w:val="both"/>
        <w:rPr>
          <w:rFonts w:ascii="Times New Roman" w:hAnsi="Times New Roman" w:cs="Times New Roman"/>
          <w:sz w:val="24"/>
          <w:szCs w:val="24"/>
        </w:rPr>
      </w:pPr>
      <w:r>
        <w:rPr>
          <w:rFonts w:ascii="Times New Roman" w:hAnsi="Times New Roman" w:cs="Times New Roman"/>
          <w:sz w:val="24"/>
          <w:szCs w:val="24"/>
        </w:rPr>
        <w:t>First type</w:t>
      </w:r>
      <w:r w:rsidR="004E388F">
        <w:rPr>
          <w:rFonts w:ascii="Times New Roman" w:hAnsi="Times New Roman" w:cs="Times New Roman"/>
          <w:sz w:val="24"/>
          <w:szCs w:val="24"/>
        </w:rPr>
        <w:t xml:space="preserve"> of hedging used by multinational companies to mitigate the exchange risk is</w:t>
      </w:r>
      <w:r w:rsidR="00D00CE3" w:rsidRPr="00BF6F60">
        <w:rPr>
          <w:rFonts w:ascii="Times New Roman" w:hAnsi="Times New Roman" w:cs="Times New Roman"/>
          <w:sz w:val="24"/>
          <w:szCs w:val="24"/>
        </w:rPr>
        <w:t xml:space="preserve"> </w:t>
      </w:r>
      <w:r w:rsidR="004E388F">
        <w:rPr>
          <w:rFonts w:ascii="Times New Roman" w:hAnsi="Times New Roman" w:cs="Times New Roman"/>
          <w:sz w:val="24"/>
          <w:szCs w:val="24"/>
        </w:rPr>
        <w:t xml:space="preserve">that </w:t>
      </w:r>
      <w:r w:rsidR="00D00CE3" w:rsidRPr="00BF6F60">
        <w:rPr>
          <w:rFonts w:ascii="Times New Roman" w:hAnsi="Times New Roman" w:cs="Times New Roman"/>
          <w:sz w:val="24"/>
          <w:szCs w:val="24"/>
        </w:rPr>
        <w:t>the</w:t>
      </w:r>
      <w:r w:rsidR="00124088" w:rsidRPr="00BF6F60">
        <w:rPr>
          <w:rFonts w:ascii="Times New Roman" w:hAnsi="Times New Roman" w:cs="Times New Roman"/>
          <w:sz w:val="24"/>
          <w:szCs w:val="24"/>
        </w:rPr>
        <w:t>y</w:t>
      </w:r>
      <w:r w:rsidR="00D00CE3" w:rsidRPr="00BF6F60">
        <w:rPr>
          <w:rFonts w:ascii="Times New Roman" w:hAnsi="Times New Roman" w:cs="Times New Roman"/>
          <w:sz w:val="24"/>
          <w:szCs w:val="24"/>
        </w:rPr>
        <w:t xml:space="preserve"> can lock exchange rates for future rates using </w:t>
      </w:r>
      <w:r w:rsidR="00D00CE3" w:rsidRPr="00491E3E">
        <w:rPr>
          <w:rFonts w:ascii="Times New Roman" w:hAnsi="Times New Roman" w:cs="Times New Roman"/>
          <w:b/>
          <w:bCs/>
          <w:i/>
          <w:iCs/>
          <w:sz w:val="24"/>
          <w:szCs w:val="24"/>
        </w:rPr>
        <w:t>forward contracts.</w:t>
      </w:r>
      <w:r w:rsidR="00D00CE3" w:rsidRPr="00BF6F60">
        <w:rPr>
          <w:rFonts w:ascii="Times New Roman" w:hAnsi="Times New Roman" w:cs="Times New Roman"/>
          <w:sz w:val="24"/>
          <w:szCs w:val="24"/>
        </w:rPr>
        <w:t xml:space="preserve"> </w:t>
      </w:r>
      <w:r w:rsidR="00BF6F60">
        <w:rPr>
          <w:rFonts w:ascii="Times New Roman" w:hAnsi="Times New Roman" w:cs="Times New Roman"/>
          <w:sz w:val="24"/>
          <w:szCs w:val="24"/>
        </w:rPr>
        <w:t xml:space="preserve"> According to the GOV (2024)</w:t>
      </w:r>
      <w:r w:rsidR="00107BEB">
        <w:rPr>
          <w:rFonts w:ascii="Times New Roman" w:hAnsi="Times New Roman" w:cs="Times New Roman"/>
          <w:sz w:val="24"/>
          <w:szCs w:val="24"/>
        </w:rPr>
        <w:t xml:space="preserve">, </w:t>
      </w:r>
      <w:r w:rsidR="009F04E0">
        <w:rPr>
          <w:rFonts w:ascii="Times New Roman" w:hAnsi="Times New Roman" w:cs="Times New Roman"/>
          <w:sz w:val="24"/>
          <w:szCs w:val="24"/>
        </w:rPr>
        <w:t>‘‘</w:t>
      </w:r>
      <w:r w:rsidR="00983D3D">
        <w:rPr>
          <w:rFonts w:ascii="Times New Roman" w:hAnsi="Times New Roman" w:cs="Times New Roman"/>
          <w:sz w:val="24"/>
          <w:szCs w:val="24"/>
        </w:rPr>
        <w:t xml:space="preserve">a forward contract is </w:t>
      </w:r>
      <w:r w:rsidR="00983D3D" w:rsidRPr="00BF6F60">
        <w:rPr>
          <w:rFonts w:ascii="Times New Roman" w:hAnsi="Times New Roman" w:cs="Times New Roman"/>
          <w:sz w:val="24"/>
          <w:szCs w:val="24"/>
        </w:rPr>
        <w:t>an</w:t>
      </w:r>
      <w:r w:rsidR="00983D3D">
        <w:rPr>
          <w:rFonts w:ascii="Times New Roman" w:hAnsi="Times New Roman" w:cs="Times New Roman"/>
          <w:sz w:val="24"/>
          <w:szCs w:val="24"/>
        </w:rPr>
        <w:t xml:space="preserve"> agreement to buy or sell a given quantity of a particular asset at a specified future date at a pre-agreed price</w:t>
      </w:r>
      <w:r w:rsidR="009F04E0">
        <w:rPr>
          <w:rFonts w:ascii="Times New Roman" w:hAnsi="Times New Roman" w:cs="Times New Roman"/>
          <w:sz w:val="24"/>
          <w:szCs w:val="24"/>
        </w:rPr>
        <w:t>’’</w:t>
      </w:r>
      <w:r w:rsidR="00983D3D">
        <w:rPr>
          <w:rFonts w:ascii="Times New Roman" w:hAnsi="Times New Roman" w:cs="Times New Roman"/>
          <w:sz w:val="24"/>
          <w:szCs w:val="24"/>
        </w:rPr>
        <w:t xml:space="preserve">. </w:t>
      </w:r>
      <w:r w:rsidR="00351D1E">
        <w:rPr>
          <w:rFonts w:ascii="Times New Roman" w:hAnsi="Times New Roman" w:cs="Times New Roman"/>
          <w:sz w:val="24"/>
          <w:szCs w:val="24"/>
        </w:rPr>
        <w:t xml:space="preserve">It is usual for those companies </w:t>
      </w:r>
      <w:r w:rsidR="009F04E0">
        <w:rPr>
          <w:rFonts w:ascii="Times New Roman" w:hAnsi="Times New Roman" w:cs="Times New Roman"/>
          <w:sz w:val="24"/>
          <w:szCs w:val="24"/>
        </w:rPr>
        <w:t xml:space="preserve">facing the foreign exchange risks to mitigate </w:t>
      </w:r>
      <w:r w:rsidR="00351D1E">
        <w:rPr>
          <w:rFonts w:ascii="Times New Roman" w:hAnsi="Times New Roman" w:cs="Times New Roman"/>
          <w:sz w:val="24"/>
          <w:szCs w:val="24"/>
        </w:rPr>
        <w:t>them</w:t>
      </w:r>
      <w:r w:rsidR="009F04E0">
        <w:rPr>
          <w:rFonts w:ascii="Times New Roman" w:hAnsi="Times New Roman" w:cs="Times New Roman"/>
          <w:sz w:val="24"/>
          <w:szCs w:val="24"/>
        </w:rPr>
        <w:t xml:space="preserve"> by using forward contracts </w:t>
      </w:r>
      <w:r w:rsidR="00351D1E">
        <w:rPr>
          <w:rFonts w:ascii="Times New Roman" w:hAnsi="Times New Roman" w:cs="Times New Roman"/>
          <w:sz w:val="24"/>
          <w:szCs w:val="24"/>
        </w:rPr>
        <w:t>as</w:t>
      </w:r>
      <w:r w:rsidR="009F04E0">
        <w:rPr>
          <w:rFonts w:ascii="Times New Roman" w:hAnsi="Times New Roman" w:cs="Times New Roman"/>
          <w:sz w:val="24"/>
          <w:szCs w:val="24"/>
        </w:rPr>
        <w:t xml:space="preserve"> </w:t>
      </w:r>
      <w:r w:rsidR="00145097">
        <w:rPr>
          <w:rFonts w:ascii="Times New Roman" w:hAnsi="Times New Roman" w:cs="Times New Roman"/>
          <w:sz w:val="24"/>
          <w:szCs w:val="24"/>
        </w:rPr>
        <w:t>will help to</w:t>
      </w:r>
      <w:r w:rsidR="00BF6F60" w:rsidRPr="00BF6F60">
        <w:rPr>
          <w:rFonts w:ascii="Times New Roman" w:hAnsi="Times New Roman" w:cs="Times New Roman"/>
          <w:sz w:val="24"/>
          <w:szCs w:val="24"/>
        </w:rPr>
        <w:t xml:space="preserve"> protect </w:t>
      </w:r>
      <w:r w:rsidR="00107BEB">
        <w:rPr>
          <w:rFonts w:ascii="Times New Roman" w:hAnsi="Times New Roman" w:cs="Times New Roman"/>
          <w:sz w:val="24"/>
          <w:szCs w:val="24"/>
        </w:rPr>
        <w:t>them</w:t>
      </w:r>
      <w:r w:rsidR="009F04E0">
        <w:rPr>
          <w:rFonts w:ascii="Times New Roman" w:hAnsi="Times New Roman" w:cs="Times New Roman"/>
          <w:sz w:val="24"/>
          <w:szCs w:val="24"/>
        </w:rPr>
        <w:t>selves</w:t>
      </w:r>
      <w:r w:rsidR="00107BEB">
        <w:rPr>
          <w:rFonts w:ascii="Times New Roman" w:hAnsi="Times New Roman" w:cs="Times New Roman"/>
          <w:sz w:val="24"/>
          <w:szCs w:val="24"/>
        </w:rPr>
        <w:t xml:space="preserve"> </w:t>
      </w:r>
      <w:r w:rsidR="00BF6F60" w:rsidRPr="00BF6F60">
        <w:rPr>
          <w:rFonts w:ascii="Times New Roman" w:hAnsi="Times New Roman" w:cs="Times New Roman"/>
          <w:sz w:val="24"/>
          <w:szCs w:val="24"/>
        </w:rPr>
        <w:t xml:space="preserve">against potential losses. </w:t>
      </w:r>
      <w:r w:rsidR="00547CD1">
        <w:rPr>
          <w:rFonts w:ascii="Times New Roman" w:hAnsi="Times New Roman" w:cs="Times New Roman"/>
          <w:sz w:val="24"/>
          <w:szCs w:val="24"/>
        </w:rPr>
        <w:t>A major advantage</w:t>
      </w:r>
      <w:r w:rsidR="00AB76E9">
        <w:rPr>
          <w:rFonts w:ascii="Times New Roman" w:hAnsi="Times New Roman" w:cs="Times New Roman"/>
          <w:sz w:val="24"/>
          <w:szCs w:val="24"/>
        </w:rPr>
        <w:t xml:space="preserve"> of using forward contracts is that t</w:t>
      </w:r>
      <w:r w:rsidR="00BF6F60" w:rsidRPr="00BF6F60">
        <w:rPr>
          <w:rFonts w:ascii="Times New Roman" w:hAnsi="Times New Roman" w:cs="Times New Roman"/>
          <w:sz w:val="24"/>
          <w:szCs w:val="24"/>
        </w:rPr>
        <w:t xml:space="preserve">hey allow the participants </w:t>
      </w:r>
      <w:r w:rsidR="00107BEB">
        <w:rPr>
          <w:rFonts w:ascii="Times New Roman" w:hAnsi="Times New Roman" w:cs="Times New Roman"/>
          <w:sz w:val="24"/>
          <w:szCs w:val="24"/>
        </w:rPr>
        <w:t>involved in</w:t>
      </w:r>
      <w:r w:rsidR="00BF6F60" w:rsidRPr="00BF6F60">
        <w:rPr>
          <w:rFonts w:ascii="Times New Roman" w:hAnsi="Times New Roman" w:cs="Times New Roman"/>
          <w:sz w:val="24"/>
          <w:szCs w:val="24"/>
        </w:rPr>
        <w:t xml:space="preserve"> the contract to lock in a</w:t>
      </w:r>
      <w:r w:rsidR="00547CD1">
        <w:rPr>
          <w:rFonts w:ascii="Times New Roman" w:hAnsi="Times New Roman" w:cs="Times New Roman"/>
          <w:sz w:val="24"/>
          <w:szCs w:val="24"/>
        </w:rPr>
        <w:t xml:space="preserve"> future</w:t>
      </w:r>
      <w:r w:rsidR="00BF6F60" w:rsidRPr="00BF6F60">
        <w:rPr>
          <w:rFonts w:ascii="Times New Roman" w:hAnsi="Times New Roman" w:cs="Times New Roman"/>
          <w:sz w:val="24"/>
          <w:szCs w:val="24"/>
        </w:rPr>
        <w:t xml:space="preserve"> price</w:t>
      </w:r>
      <w:r w:rsidR="00547CD1">
        <w:rPr>
          <w:rFonts w:ascii="Times New Roman" w:hAnsi="Times New Roman" w:cs="Times New Roman"/>
          <w:sz w:val="24"/>
          <w:szCs w:val="24"/>
        </w:rPr>
        <w:t xml:space="preserve"> which can be crucial for </w:t>
      </w:r>
      <w:r w:rsidR="00BF6F60" w:rsidRPr="00BF6F60">
        <w:rPr>
          <w:rFonts w:ascii="Times New Roman" w:hAnsi="Times New Roman" w:cs="Times New Roman"/>
          <w:sz w:val="24"/>
          <w:szCs w:val="24"/>
        </w:rPr>
        <w:t xml:space="preserve">industries </w:t>
      </w:r>
      <w:r w:rsidR="00547CD1">
        <w:rPr>
          <w:rFonts w:ascii="Times New Roman" w:hAnsi="Times New Roman" w:cs="Times New Roman"/>
          <w:sz w:val="24"/>
          <w:szCs w:val="24"/>
        </w:rPr>
        <w:t>with high</w:t>
      </w:r>
      <w:r w:rsidR="00BF6F60" w:rsidRPr="00BF6F60">
        <w:rPr>
          <w:rFonts w:ascii="Times New Roman" w:hAnsi="Times New Roman" w:cs="Times New Roman"/>
          <w:sz w:val="24"/>
          <w:szCs w:val="24"/>
        </w:rPr>
        <w:t xml:space="preserve"> volatility in prices such as oil industries</w:t>
      </w:r>
      <w:r w:rsidR="002D0422">
        <w:rPr>
          <w:rFonts w:ascii="Times New Roman" w:hAnsi="Times New Roman" w:cs="Times New Roman"/>
          <w:sz w:val="24"/>
          <w:szCs w:val="24"/>
        </w:rPr>
        <w:t xml:space="preserve"> (CFI, 2024).</w:t>
      </w:r>
      <w:r w:rsidR="00BF6F60" w:rsidRPr="00BF6F60">
        <w:rPr>
          <w:rFonts w:ascii="Times New Roman" w:hAnsi="Times New Roman" w:cs="Times New Roman"/>
          <w:sz w:val="24"/>
          <w:szCs w:val="24"/>
        </w:rPr>
        <w:t xml:space="preserve"> </w:t>
      </w:r>
      <w:r w:rsidR="00AB76E9">
        <w:rPr>
          <w:rFonts w:ascii="Times New Roman" w:hAnsi="Times New Roman" w:cs="Times New Roman"/>
          <w:sz w:val="24"/>
          <w:szCs w:val="24"/>
        </w:rPr>
        <w:t>In conclusion, t</w:t>
      </w:r>
      <w:r w:rsidR="00D00CE3">
        <w:rPr>
          <w:rFonts w:ascii="Times New Roman" w:hAnsi="Times New Roman" w:cs="Times New Roman"/>
          <w:sz w:val="24"/>
          <w:szCs w:val="24"/>
        </w:rPr>
        <w:t xml:space="preserve">his strategy </w:t>
      </w:r>
      <w:r w:rsidR="00124088">
        <w:rPr>
          <w:rFonts w:ascii="Times New Roman" w:hAnsi="Times New Roman" w:cs="Times New Roman"/>
          <w:sz w:val="24"/>
          <w:szCs w:val="24"/>
        </w:rPr>
        <w:t>can</w:t>
      </w:r>
      <w:r w:rsidR="00D00CE3">
        <w:rPr>
          <w:rFonts w:ascii="Times New Roman" w:hAnsi="Times New Roman" w:cs="Times New Roman"/>
          <w:sz w:val="24"/>
          <w:szCs w:val="24"/>
        </w:rPr>
        <w:t xml:space="preserve"> help </w:t>
      </w:r>
      <w:r w:rsidR="00107BEB">
        <w:rPr>
          <w:rFonts w:ascii="Times New Roman" w:hAnsi="Times New Roman" w:cs="Times New Roman"/>
          <w:sz w:val="24"/>
          <w:szCs w:val="24"/>
        </w:rPr>
        <w:t>the multinational companies</w:t>
      </w:r>
      <w:r w:rsidR="00D00CE3">
        <w:rPr>
          <w:rFonts w:ascii="Times New Roman" w:hAnsi="Times New Roman" w:cs="Times New Roman"/>
          <w:sz w:val="24"/>
          <w:szCs w:val="24"/>
        </w:rPr>
        <w:t xml:space="preserve"> to ensure </w:t>
      </w:r>
      <w:r w:rsidR="00D52B91">
        <w:rPr>
          <w:rFonts w:ascii="Times New Roman" w:hAnsi="Times New Roman" w:cs="Times New Roman"/>
          <w:sz w:val="24"/>
          <w:szCs w:val="24"/>
        </w:rPr>
        <w:t>they know the exact exchange rate for a future date</w:t>
      </w:r>
      <w:r w:rsidR="002D0422">
        <w:rPr>
          <w:rFonts w:ascii="Times New Roman" w:hAnsi="Times New Roman" w:cs="Times New Roman"/>
          <w:sz w:val="24"/>
          <w:szCs w:val="24"/>
        </w:rPr>
        <w:t xml:space="preserve"> therefore</w:t>
      </w:r>
      <w:r w:rsidR="00107BEB">
        <w:rPr>
          <w:rFonts w:ascii="Times New Roman" w:hAnsi="Times New Roman" w:cs="Times New Roman"/>
          <w:sz w:val="24"/>
          <w:szCs w:val="24"/>
        </w:rPr>
        <w:t xml:space="preserve"> allowing them to</w:t>
      </w:r>
      <w:r w:rsidR="00D52B91">
        <w:rPr>
          <w:rFonts w:ascii="Times New Roman" w:hAnsi="Times New Roman" w:cs="Times New Roman"/>
          <w:sz w:val="24"/>
          <w:szCs w:val="24"/>
        </w:rPr>
        <w:t xml:space="preserve"> reduc</w:t>
      </w:r>
      <w:r w:rsidR="00107BEB">
        <w:rPr>
          <w:rFonts w:ascii="Times New Roman" w:hAnsi="Times New Roman" w:cs="Times New Roman"/>
          <w:sz w:val="24"/>
          <w:szCs w:val="24"/>
        </w:rPr>
        <w:t>e the</w:t>
      </w:r>
      <w:r w:rsidR="00D52B91">
        <w:rPr>
          <w:rFonts w:ascii="Times New Roman" w:hAnsi="Times New Roman" w:cs="Times New Roman"/>
          <w:sz w:val="24"/>
          <w:szCs w:val="24"/>
        </w:rPr>
        <w:t xml:space="preserve"> uncertainty</w:t>
      </w:r>
      <w:r w:rsidR="002D0422">
        <w:rPr>
          <w:rFonts w:ascii="Times New Roman" w:hAnsi="Times New Roman" w:cs="Times New Roman"/>
          <w:sz w:val="24"/>
          <w:szCs w:val="24"/>
        </w:rPr>
        <w:t xml:space="preserve"> and future potential loss. </w:t>
      </w:r>
    </w:p>
    <w:p w14:paraId="71458262" w14:textId="3EAFF444" w:rsidR="006C20A2" w:rsidRDefault="001031F2" w:rsidP="006C20A2">
      <w:pPr>
        <w:spacing w:line="360" w:lineRule="auto"/>
        <w:jc w:val="both"/>
        <w:rPr>
          <w:rFonts w:ascii="Times New Roman" w:hAnsi="Times New Roman" w:cs="Times New Roman"/>
          <w:sz w:val="24"/>
          <w:szCs w:val="24"/>
        </w:rPr>
      </w:pPr>
      <w:r w:rsidRPr="006C20A2">
        <w:rPr>
          <w:rFonts w:ascii="Times New Roman" w:hAnsi="Times New Roman" w:cs="Times New Roman"/>
          <w:sz w:val="24"/>
          <w:szCs w:val="24"/>
        </w:rPr>
        <w:lastRenderedPageBreak/>
        <w:t xml:space="preserve">Another </w:t>
      </w:r>
      <w:r w:rsidR="00107BEB">
        <w:rPr>
          <w:rFonts w:ascii="Times New Roman" w:hAnsi="Times New Roman" w:cs="Times New Roman"/>
          <w:sz w:val="24"/>
          <w:szCs w:val="24"/>
        </w:rPr>
        <w:t xml:space="preserve">common </w:t>
      </w:r>
      <w:r w:rsidR="00446DE8">
        <w:rPr>
          <w:rFonts w:ascii="Times New Roman" w:hAnsi="Times New Roman" w:cs="Times New Roman"/>
          <w:sz w:val="24"/>
          <w:szCs w:val="24"/>
        </w:rPr>
        <w:t>hedging t</w:t>
      </w:r>
      <w:r w:rsidR="00107BEB">
        <w:rPr>
          <w:rFonts w:ascii="Times New Roman" w:hAnsi="Times New Roman" w:cs="Times New Roman"/>
          <w:sz w:val="24"/>
          <w:szCs w:val="24"/>
        </w:rPr>
        <w:t>ype</w:t>
      </w:r>
      <w:r w:rsidR="000C0085" w:rsidRPr="006C20A2">
        <w:rPr>
          <w:rFonts w:ascii="Times New Roman" w:hAnsi="Times New Roman" w:cs="Times New Roman"/>
          <w:sz w:val="24"/>
          <w:szCs w:val="24"/>
        </w:rPr>
        <w:t xml:space="preserve"> </w:t>
      </w:r>
      <w:r w:rsidR="00107BEB">
        <w:rPr>
          <w:rFonts w:ascii="Times New Roman" w:hAnsi="Times New Roman" w:cs="Times New Roman"/>
          <w:sz w:val="24"/>
          <w:szCs w:val="24"/>
        </w:rPr>
        <w:t xml:space="preserve">used </w:t>
      </w:r>
      <w:r w:rsidR="00983D3D" w:rsidRPr="006C20A2">
        <w:rPr>
          <w:rFonts w:ascii="Times New Roman" w:hAnsi="Times New Roman" w:cs="Times New Roman"/>
          <w:sz w:val="24"/>
          <w:szCs w:val="24"/>
        </w:rPr>
        <w:t xml:space="preserve">is </w:t>
      </w:r>
      <w:r w:rsidR="00983D3D" w:rsidRPr="00491E3E">
        <w:rPr>
          <w:rFonts w:ascii="Times New Roman" w:hAnsi="Times New Roman" w:cs="Times New Roman"/>
          <w:b/>
          <w:bCs/>
          <w:i/>
          <w:iCs/>
          <w:sz w:val="24"/>
          <w:szCs w:val="24"/>
        </w:rPr>
        <w:t>futures contracts</w:t>
      </w:r>
      <w:r w:rsidR="00983D3D" w:rsidRPr="00491E3E">
        <w:rPr>
          <w:rFonts w:ascii="Times New Roman" w:hAnsi="Times New Roman" w:cs="Times New Roman"/>
          <w:i/>
          <w:iCs/>
          <w:sz w:val="24"/>
          <w:szCs w:val="24"/>
        </w:rPr>
        <w:t>.</w:t>
      </w:r>
      <w:r w:rsidR="00983D3D" w:rsidRPr="006C20A2">
        <w:rPr>
          <w:rFonts w:ascii="Times New Roman" w:hAnsi="Times New Roman" w:cs="Times New Roman"/>
          <w:sz w:val="24"/>
          <w:szCs w:val="24"/>
        </w:rPr>
        <w:t xml:space="preserve"> A future</w:t>
      </w:r>
      <w:r w:rsidR="006C20A2" w:rsidRPr="006C20A2">
        <w:rPr>
          <w:rFonts w:ascii="Times New Roman" w:hAnsi="Times New Roman" w:cs="Times New Roman"/>
          <w:sz w:val="24"/>
          <w:szCs w:val="24"/>
        </w:rPr>
        <w:t>s</w:t>
      </w:r>
      <w:r w:rsidR="00983D3D" w:rsidRPr="006C20A2">
        <w:rPr>
          <w:rFonts w:ascii="Times New Roman" w:hAnsi="Times New Roman" w:cs="Times New Roman"/>
          <w:sz w:val="24"/>
          <w:szCs w:val="24"/>
        </w:rPr>
        <w:t xml:space="preserve"> contract refers to the </w:t>
      </w:r>
      <w:r w:rsidR="00547CD1">
        <w:rPr>
          <w:rFonts w:ascii="Times New Roman" w:hAnsi="Times New Roman" w:cs="Times New Roman"/>
          <w:sz w:val="24"/>
          <w:szCs w:val="24"/>
        </w:rPr>
        <w:t>‘’</w:t>
      </w:r>
      <w:r w:rsidR="00983D3D" w:rsidRPr="006C20A2">
        <w:rPr>
          <w:rFonts w:ascii="Times New Roman" w:hAnsi="Times New Roman" w:cs="Times New Roman"/>
          <w:sz w:val="24"/>
          <w:szCs w:val="24"/>
        </w:rPr>
        <w:t xml:space="preserve">agreement to buy or sell a fixed quantity of a particular currency, </w:t>
      </w:r>
      <w:r w:rsidR="00F1078F" w:rsidRPr="006C20A2">
        <w:rPr>
          <w:rFonts w:ascii="Times New Roman" w:hAnsi="Times New Roman" w:cs="Times New Roman"/>
          <w:sz w:val="24"/>
          <w:szCs w:val="24"/>
        </w:rPr>
        <w:t>commodity,</w:t>
      </w:r>
      <w:r w:rsidR="00983D3D" w:rsidRPr="006C20A2">
        <w:rPr>
          <w:rFonts w:ascii="Times New Roman" w:hAnsi="Times New Roman" w:cs="Times New Roman"/>
          <w:sz w:val="24"/>
          <w:szCs w:val="24"/>
        </w:rPr>
        <w:t xml:space="preserve"> or security for delivery at a fixed date in the future at a fixed price agreed at the date the agreement was reached</w:t>
      </w:r>
      <w:r w:rsidR="00547CD1">
        <w:rPr>
          <w:rFonts w:ascii="Times New Roman" w:hAnsi="Times New Roman" w:cs="Times New Roman"/>
          <w:sz w:val="24"/>
          <w:szCs w:val="24"/>
        </w:rPr>
        <w:t>’’</w:t>
      </w:r>
      <w:r w:rsidR="00983D3D" w:rsidRPr="006C20A2">
        <w:rPr>
          <w:rFonts w:ascii="Times New Roman" w:hAnsi="Times New Roman" w:cs="Times New Roman"/>
          <w:sz w:val="24"/>
          <w:szCs w:val="24"/>
        </w:rPr>
        <w:t xml:space="preserve"> (GOV, 2024).</w:t>
      </w:r>
      <w:r w:rsidR="006C20A2" w:rsidRPr="006C20A2">
        <w:rPr>
          <w:rFonts w:ascii="Times New Roman" w:hAnsi="Times New Roman" w:cs="Times New Roman"/>
          <w:sz w:val="24"/>
          <w:szCs w:val="24"/>
        </w:rPr>
        <w:t xml:space="preserve"> </w:t>
      </w:r>
      <w:r w:rsidR="00547CD1">
        <w:rPr>
          <w:rFonts w:ascii="Times New Roman" w:hAnsi="Times New Roman" w:cs="Times New Roman"/>
          <w:sz w:val="24"/>
          <w:szCs w:val="24"/>
        </w:rPr>
        <w:t>These contracts help companies and investors to manage their exposure to currency fluctuations by locking in exchange rates in advance</w:t>
      </w:r>
      <w:r w:rsidR="00FE3FE8">
        <w:rPr>
          <w:rFonts w:ascii="Times New Roman" w:hAnsi="Times New Roman" w:cs="Times New Roman"/>
          <w:sz w:val="24"/>
          <w:szCs w:val="24"/>
        </w:rPr>
        <w:t xml:space="preserve"> </w:t>
      </w:r>
      <w:r w:rsidR="002F69ED">
        <w:rPr>
          <w:rFonts w:ascii="Times New Roman" w:hAnsi="Times New Roman" w:cs="Times New Roman"/>
          <w:sz w:val="24"/>
          <w:szCs w:val="24"/>
        </w:rPr>
        <w:t>(CFI, 2024).</w:t>
      </w:r>
      <w:r w:rsidR="00FE3FE8">
        <w:rPr>
          <w:rFonts w:ascii="Times New Roman" w:hAnsi="Times New Roman" w:cs="Times New Roman"/>
          <w:sz w:val="24"/>
          <w:szCs w:val="24"/>
        </w:rPr>
        <w:t xml:space="preserve"> In comparison to forward contracts, futures are marked to the market </w:t>
      </w:r>
      <w:r w:rsidR="00BB0862">
        <w:rPr>
          <w:rFonts w:ascii="Times New Roman" w:hAnsi="Times New Roman" w:cs="Times New Roman"/>
          <w:sz w:val="24"/>
          <w:szCs w:val="24"/>
        </w:rPr>
        <w:t>daily</w:t>
      </w:r>
      <w:r w:rsidR="00FE3FE8">
        <w:rPr>
          <w:rFonts w:ascii="Times New Roman" w:hAnsi="Times New Roman" w:cs="Times New Roman"/>
          <w:sz w:val="24"/>
          <w:szCs w:val="24"/>
        </w:rPr>
        <w:t xml:space="preserve"> which if the market moves against the position it can lead to margin calls. </w:t>
      </w:r>
    </w:p>
    <w:p w14:paraId="701BECAD" w14:textId="7B928DBE" w:rsidR="009A27AF" w:rsidRDefault="007D0208" w:rsidP="006C20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CFI (2024), </w:t>
      </w:r>
      <w:r w:rsidRPr="007D0208">
        <w:rPr>
          <w:rFonts w:ascii="Times New Roman" w:hAnsi="Times New Roman" w:cs="Times New Roman"/>
          <w:b/>
          <w:bCs/>
          <w:sz w:val="24"/>
          <w:szCs w:val="24"/>
        </w:rPr>
        <w:t xml:space="preserve">a </w:t>
      </w:r>
      <w:r w:rsidRPr="007D0208">
        <w:rPr>
          <w:rFonts w:ascii="Times New Roman" w:hAnsi="Times New Roman" w:cs="Times New Roman"/>
          <w:b/>
          <w:bCs/>
          <w:sz w:val="24"/>
          <w:szCs w:val="24"/>
        </w:rPr>
        <w:t>swap</w:t>
      </w:r>
      <w:r w:rsidRPr="007D0208">
        <w:rPr>
          <w:rFonts w:ascii="Times New Roman" w:hAnsi="Times New Roman" w:cs="Times New Roman"/>
          <w:sz w:val="24"/>
          <w:szCs w:val="24"/>
        </w:rPr>
        <w:t xml:space="preserve"> is a derivative contract</w:t>
      </w:r>
      <w:r>
        <w:rPr>
          <w:rFonts w:ascii="Times New Roman" w:hAnsi="Times New Roman" w:cs="Times New Roman"/>
          <w:sz w:val="24"/>
          <w:szCs w:val="24"/>
        </w:rPr>
        <w:t xml:space="preserve"> where two parties agree to exchange the predetermined cash flow of two financial instruments. There are few types of swaps such as interest rate swap, currency swap, commodity swap and credit default swap. In this report we are refiring to the impact of currency swaps. </w:t>
      </w:r>
      <w:r w:rsidR="009A27AF">
        <w:rPr>
          <w:rFonts w:ascii="Times New Roman" w:hAnsi="Times New Roman" w:cs="Times New Roman"/>
          <w:sz w:val="24"/>
          <w:szCs w:val="24"/>
        </w:rPr>
        <w:t xml:space="preserve">According to Hill and Hult (2019), a </w:t>
      </w:r>
      <w:r w:rsidR="009A27AF" w:rsidRPr="00BD3AF5">
        <w:rPr>
          <w:rFonts w:ascii="Times New Roman" w:hAnsi="Times New Roman" w:cs="Times New Roman"/>
          <w:sz w:val="24"/>
          <w:szCs w:val="24"/>
        </w:rPr>
        <w:t xml:space="preserve">currency </w:t>
      </w:r>
      <w:r w:rsidR="009A27AF" w:rsidRPr="00BD3AF5">
        <w:rPr>
          <w:rFonts w:ascii="Times New Roman" w:hAnsi="Times New Roman" w:cs="Times New Roman"/>
          <w:b/>
          <w:bCs/>
          <w:sz w:val="24"/>
          <w:szCs w:val="24"/>
        </w:rPr>
        <w:t>swap</w:t>
      </w:r>
      <w:r w:rsidR="009A27AF">
        <w:rPr>
          <w:rFonts w:ascii="Times New Roman" w:hAnsi="Times New Roman" w:cs="Times New Roman"/>
          <w:b/>
          <w:bCs/>
          <w:sz w:val="24"/>
          <w:szCs w:val="24"/>
        </w:rPr>
        <w:t xml:space="preserve"> </w:t>
      </w:r>
      <w:r w:rsidR="009A27AF" w:rsidRPr="00BD3AF5">
        <w:rPr>
          <w:rFonts w:ascii="Times New Roman" w:hAnsi="Times New Roman" w:cs="Times New Roman"/>
          <w:sz w:val="24"/>
          <w:szCs w:val="24"/>
        </w:rPr>
        <w:t>is the simultaneous</w:t>
      </w:r>
      <w:r w:rsidR="009A27AF">
        <w:rPr>
          <w:rFonts w:ascii="Times New Roman" w:hAnsi="Times New Roman" w:cs="Times New Roman"/>
          <w:b/>
          <w:bCs/>
          <w:sz w:val="24"/>
          <w:szCs w:val="24"/>
        </w:rPr>
        <w:t xml:space="preserve"> </w:t>
      </w:r>
      <w:r w:rsidR="009A27AF" w:rsidRPr="00BD3AF5">
        <w:rPr>
          <w:rFonts w:ascii="Times New Roman" w:hAnsi="Times New Roman" w:cs="Times New Roman"/>
          <w:sz w:val="24"/>
          <w:szCs w:val="24"/>
        </w:rPr>
        <w:t>purchase and sale of a given amount of foreign exchange for two different value dates.</w:t>
      </w:r>
      <w:r w:rsidR="009A27AF">
        <w:rPr>
          <w:rFonts w:ascii="Times New Roman" w:hAnsi="Times New Roman" w:cs="Times New Roman"/>
          <w:b/>
          <w:bCs/>
          <w:sz w:val="24"/>
          <w:szCs w:val="24"/>
        </w:rPr>
        <w:t xml:space="preserve"> </w:t>
      </w:r>
    </w:p>
    <w:p w14:paraId="3263B5E9" w14:textId="5B4E88A5" w:rsidR="0017324B" w:rsidRDefault="0017324B" w:rsidP="006C20A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literature sources are arguing that </w:t>
      </w:r>
      <w:r>
        <w:rPr>
          <w:rFonts w:ascii="Times New Roman" w:hAnsi="Times New Roman" w:cs="Times New Roman"/>
          <w:b/>
          <w:bCs/>
          <w:i/>
          <w:iCs/>
          <w:sz w:val="24"/>
          <w:szCs w:val="24"/>
        </w:rPr>
        <w:t>o</w:t>
      </w:r>
      <w:r w:rsidRPr="0017324B">
        <w:rPr>
          <w:rFonts w:ascii="Times New Roman" w:hAnsi="Times New Roman" w:cs="Times New Roman"/>
          <w:b/>
          <w:bCs/>
          <w:i/>
          <w:iCs/>
          <w:sz w:val="24"/>
          <w:szCs w:val="24"/>
        </w:rPr>
        <w:t xml:space="preserve">ptions </w:t>
      </w:r>
      <w:r w:rsidRPr="0017324B">
        <w:rPr>
          <w:rFonts w:ascii="Times New Roman" w:hAnsi="Times New Roman" w:cs="Times New Roman"/>
          <w:sz w:val="24"/>
          <w:szCs w:val="24"/>
        </w:rPr>
        <w:t>are more appropriate than forward and future for hedging contingent exposures due to their unique features and flexibility.</w:t>
      </w:r>
      <w:r>
        <w:rPr>
          <w:rFonts w:ascii="Times New Roman" w:hAnsi="Times New Roman" w:cs="Times New Roman"/>
          <w:b/>
          <w:bCs/>
          <w:sz w:val="24"/>
          <w:szCs w:val="24"/>
        </w:rPr>
        <w:t xml:space="preserve"> </w:t>
      </w:r>
      <w:r w:rsidR="00623D34" w:rsidRPr="00623D34">
        <w:rPr>
          <w:rFonts w:ascii="Times New Roman" w:hAnsi="Times New Roman" w:cs="Times New Roman"/>
          <w:sz w:val="24"/>
          <w:szCs w:val="24"/>
        </w:rPr>
        <w:t xml:space="preserve">According to ACCA (2024), options are </w:t>
      </w:r>
      <w:r w:rsidR="00A32264">
        <w:rPr>
          <w:rFonts w:ascii="Times New Roman" w:hAnsi="Times New Roman" w:cs="Times New Roman"/>
          <w:sz w:val="24"/>
          <w:szCs w:val="24"/>
        </w:rPr>
        <w:t xml:space="preserve">‘‘a </w:t>
      </w:r>
      <w:r w:rsidR="00623D34" w:rsidRPr="00623D34">
        <w:rPr>
          <w:rFonts w:ascii="Times New Roman" w:hAnsi="Times New Roman" w:cs="Times New Roman"/>
          <w:sz w:val="24"/>
          <w:szCs w:val="24"/>
        </w:rPr>
        <w:t>for</w:t>
      </w:r>
      <w:r w:rsidR="00A32264">
        <w:rPr>
          <w:rFonts w:ascii="Times New Roman" w:hAnsi="Times New Roman" w:cs="Times New Roman"/>
          <w:sz w:val="24"/>
          <w:szCs w:val="24"/>
        </w:rPr>
        <w:t>m</w:t>
      </w:r>
      <w:r w:rsidR="00A32264" w:rsidRPr="00A32264">
        <w:rPr>
          <w:rFonts w:ascii="Times New Roman" w:hAnsi="Times New Roman" w:cs="Times New Roman"/>
          <w:sz w:val="24"/>
          <w:szCs w:val="24"/>
        </w:rPr>
        <w:t xml:space="preserve"> of derivative financial instrument in which two parties contractually agree to transact an asset at a specified price before a future date</w:t>
      </w:r>
      <w:r w:rsidR="00A32264">
        <w:rPr>
          <w:rFonts w:ascii="Times New Roman" w:hAnsi="Times New Roman" w:cs="Times New Roman"/>
          <w:sz w:val="24"/>
          <w:szCs w:val="24"/>
        </w:rPr>
        <w:t>’’</w:t>
      </w:r>
      <w:r w:rsidR="00A32264" w:rsidRPr="00A32264">
        <w:rPr>
          <w:rFonts w:ascii="Times New Roman" w:hAnsi="Times New Roman" w:cs="Times New Roman"/>
          <w:sz w:val="24"/>
          <w:szCs w:val="24"/>
        </w:rPr>
        <w:t>.</w:t>
      </w:r>
      <w:r w:rsidR="00A32264">
        <w:rPr>
          <w:rFonts w:ascii="Times New Roman" w:hAnsi="Times New Roman" w:cs="Times New Roman"/>
          <w:sz w:val="24"/>
          <w:szCs w:val="24"/>
        </w:rPr>
        <w:t xml:space="preserve"> </w:t>
      </w:r>
      <w:r w:rsidR="00BB0862">
        <w:rPr>
          <w:rFonts w:ascii="Times New Roman" w:hAnsi="Times New Roman" w:cs="Times New Roman"/>
          <w:sz w:val="24"/>
          <w:szCs w:val="24"/>
        </w:rPr>
        <w:t xml:space="preserve">An advantage of the options is that they </w:t>
      </w:r>
      <w:r w:rsidR="00A32264">
        <w:rPr>
          <w:rFonts w:ascii="Times New Roman" w:hAnsi="Times New Roman" w:cs="Times New Roman"/>
          <w:sz w:val="24"/>
          <w:szCs w:val="24"/>
        </w:rPr>
        <w:t xml:space="preserve">give the holder the right but not the obligation to buy or sell </w:t>
      </w:r>
      <w:r w:rsidR="00BB0862">
        <w:rPr>
          <w:rFonts w:ascii="Times New Roman" w:hAnsi="Times New Roman" w:cs="Times New Roman"/>
          <w:sz w:val="24"/>
          <w:szCs w:val="24"/>
        </w:rPr>
        <w:t xml:space="preserve">at a predetermined price </w:t>
      </w:r>
      <w:r w:rsidR="00A32264">
        <w:rPr>
          <w:rFonts w:ascii="Times New Roman" w:hAnsi="Times New Roman" w:cs="Times New Roman"/>
          <w:sz w:val="24"/>
          <w:szCs w:val="24"/>
        </w:rPr>
        <w:t>an asset</w:t>
      </w:r>
      <w:r w:rsidR="00BB0862">
        <w:rPr>
          <w:rFonts w:ascii="Times New Roman" w:hAnsi="Times New Roman" w:cs="Times New Roman"/>
          <w:sz w:val="24"/>
          <w:szCs w:val="24"/>
        </w:rPr>
        <w:t xml:space="preserve">. </w:t>
      </w:r>
    </w:p>
    <w:p w14:paraId="50EFACF5" w14:textId="3A4B85A2" w:rsidR="00D341A5" w:rsidRDefault="002F69ED" w:rsidP="00D341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Besides hedging, another strategy </w:t>
      </w:r>
      <w:r w:rsidR="00BD188D">
        <w:rPr>
          <w:rFonts w:ascii="Times New Roman" w:hAnsi="Times New Roman" w:cs="Times New Roman"/>
          <w:sz w:val="24"/>
          <w:szCs w:val="24"/>
        </w:rPr>
        <w:t xml:space="preserve">which can be used is the </w:t>
      </w:r>
      <w:r w:rsidR="00BD188D" w:rsidRPr="00491E3E">
        <w:rPr>
          <w:rFonts w:ascii="Times New Roman" w:hAnsi="Times New Roman" w:cs="Times New Roman"/>
          <w:b/>
          <w:bCs/>
          <w:sz w:val="24"/>
          <w:szCs w:val="24"/>
        </w:rPr>
        <w:t>operational strategy.</w:t>
      </w:r>
      <w:r w:rsidR="00BD188D">
        <w:rPr>
          <w:rFonts w:ascii="Times New Roman" w:hAnsi="Times New Roman" w:cs="Times New Roman"/>
          <w:sz w:val="24"/>
          <w:szCs w:val="24"/>
        </w:rPr>
        <w:t xml:space="preserve"> This strategy includes techniques such as natural hedging, diversification, pr</w:t>
      </w:r>
      <w:r w:rsidR="00CF7C1B">
        <w:rPr>
          <w:rFonts w:ascii="Times New Roman" w:hAnsi="Times New Roman" w:cs="Times New Roman"/>
          <w:sz w:val="24"/>
          <w:szCs w:val="24"/>
        </w:rPr>
        <w:t xml:space="preserve">icing strategies and local production. In the next section it will be discussed the natural hedging and diversification. </w:t>
      </w:r>
      <w:r w:rsidR="00D341A5">
        <w:rPr>
          <w:rFonts w:ascii="Times New Roman" w:hAnsi="Times New Roman" w:cs="Times New Roman"/>
          <w:sz w:val="24"/>
          <w:szCs w:val="24"/>
        </w:rPr>
        <w:t xml:space="preserve">According to CFI (2024), </w:t>
      </w:r>
      <w:r w:rsidR="00B53ED1">
        <w:rPr>
          <w:rFonts w:ascii="Times New Roman" w:hAnsi="Times New Roman" w:cs="Times New Roman"/>
          <w:sz w:val="24"/>
          <w:szCs w:val="24"/>
        </w:rPr>
        <w:t>‘‘</w:t>
      </w:r>
      <w:r w:rsidR="00D341A5">
        <w:rPr>
          <w:rFonts w:ascii="Times New Roman" w:hAnsi="Times New Roman" w:cs="Times New Roman"/>
          <w:sz w:val="24"/>
          <w:szCs w:val="24"/>
        </w:rPr>
        <w:t xml:space="preserve">a </w:t>
      </w:r>
      <w:r w:rsidR="00D341A5" w:rsidRPr="001D7899">
        <w:rPr>
          <w:rFonts w:ascii="Times New Roman" w:hAnsi="Times New Roman" w:cs="Times New Roman"/>
          <w:b/>
          <w:bCs/>
          <w:i/>
          <w:iCs/>
          <w:sz w:val="24"/>
          <w:szCs w:val="24"/>
        </w:rPr>
        <w:t>natural hedge</w:t>
      </w:r>
      <w:r w:rsidR="00D341A5" w:rsidRPr="00D341A5">
        <w:rPr>
          <w:rFonts w:ascii="Times New Roman" w:hAnsi="Times New Roman" w:cs="Times New Roman"/>
          <w:sz w:val="24"/>
          <w:szCs w:val="24"/>
        </w:rPr>
        <w:t xml:space="preserve"> refers to a strategy that reduces financial risks in the normal operation of an institution</w:t>
      </w:r>
      <w:r w:rsidR="00B53ED1">
        <w:rPr>
          <w:rFonts w:ascii="Times New Roman" w:hAnsi="Times New Roman" w:cs="Times New Roman"/>
          <w:sz w:val="24"/>
          <w:szCs w:val="24"/>
        </w:rPr>
        <w:t>’’</w:t>
      </w:r>
      <w:r w:rsidR="00D341A5" w:rsidRPr="00D341A5">
        <w:rPr>
          <w:rFonts w:ascii="Times New Roman" w:hAnsi="Times New Roman" w:cs="Times New Roman"/>
          <w:sz w:val="24"/>
          <w:szCs w:val="24"/>
        </w:rPr>
        <w:t>.</w:t>
      </w:r>
      <w:r w:rsidR="00D341A5">
        <w:rPr>
          <w:rFonts w:ascii="Times New Roman" w:hAnsi="Times New Roman" w:cs="Times New Roman"/>
          <w:sz w:val="24"/>
          <w:szCs w:val="24"/>
        </w:rPr>
        <w:t xml:space="preserve"> </w:t>
      </w:r>
      <w:r w:rsidR="00D341A5" w:rsidRPr="00D341A5">
        <w:rPr>
          <w:rFonts w:ascii="Times New Roman" w:hAnsi="Times New Roman" w:cs="Times New Roman"/>
          <w:sz w:val="24"/>
          <w:szCs w:val="24"/>
        </w:rPr>
        <w:t xml:space="preserve">Natural hedges are </w:t>
      </w:r>
      <w:r w:rsidR="00B53ED1">
        <w:rPr>
          <w:rFonts w:ascii="Times New Roman" w:hAnsi="Times New Roman" w:cs="Times New Roman"/>
          <w:sz w:val="24"/>
          <w:szCs w:val="24"/>
        </w:rPr>
        <w:t xml:space="preserve">frequently employed to manage </w:t>
      </w:r>
      <w:r w:rsidR="00D341A5" w:rsidRPr="00D341A5">
        <w:rPr>
          <w:rFonts w:ascii="Times New Roman" w:hAnsi="Times New Roman" w:cs="Times New Roman"/>
          <w:sz w:val="24"/>
          <w:szCs w:val="24"/>
        </w:rPr>
        <w:t xml:space="preserve">currency risks in business operations, </w:t>
      </w:r>
      <w:r w:rsidR="00B53ED1">
        <w:rPr>
          <w:rFonts w:ascii="Times New Roman" w:hAnsi="Times New Roman" w:cs="Times New Roman"/>
          <w:sz w:val="24"/>
          <w:szCs w:val="24"/>
        </w:rPr>
        <w:t>through strategies such as matching revenue and costs</w:t>
      </w:r>
      <w:r w:rsidR="00D341A5" w:rsidRPr="00D341A5">
        <w:rPr>
          <w:rFonts w:ascii="Times New Roman" w:hAnsi="Times New Roman" w:cs="Times New Roman"/>
          <w:sz w:val="24"/>
          <w:szCs w:val="24"/>
        </w:rPr>
        <w:t xml:space="preserve">, </w:t>
      </w:r>
      <w:r w:rsidR="00B53ED1">
        <w:rPr>
          <w:rFonts w:ascii="Times New Roman" w:hAnsi="Times New Roman" w:cs="Times New Roman"/>
          <w:sz w:val="24"/>
          <w:szCs w:val="24"/>
        </w:rPr>
        <w:t xml:space="preserve">utilizing </w:t>
      </w:r>
      <w:r w:rsidR="00D341A5" w:rsidRPr="00D341A5">
        <w:rPr>
          <w:rFonts w:ascii="Times New Roman" w:hAnsi="Times New Roman" w:cs="Times New Roman"/>
          <w:sz w:val="24"/>
          <w:szCs w:val="24"/>
        </w:rPr>
        <w:t>re-invoicing centres, and multi-currency loan facilities.</w:t>
      </w:r>
      <w:r w:rsidR="001D7899">
        <w:rPr>
          <w:rFonts w:ascii="Times New Roman" w:hAnsi="Times New Roman" w:cs="Times New Roman"/>
          <w:sz w:val="24"/>
          <w:szCs w:val="24"/>
        </w:rPr>
        <w:t xml:space="preserve"> In comparison with the financial hedges discussed </w:t>
      </w:r>
      <w:r w:rsidR="00DB05DF">
        <w:rPr>
          <w:rFonts w:ascii="Times New Roman" w:hAnsi="Times New Roman" w:cs="Times New Roman"/>
          <w:sz w:val="24"/>
          <w:szCs w:val="24"/>
        </w:rPr>
        <w:t>earlier in the report</w:t>
      </w:r>
      <w:r w:rsidR="001D7899">
        <w:rPr>
          <w:rFonts w:ascii="Times New Roman" w:hAnsi="Times New Roman" w:cs="Times New Roman"/>
          <w:sz w:val="24"/>
          <w:szCs w:val="24"/>
        </w:rPr>
        <w:t xml:space="preserve">, the natural hedges are less costly but also, they are less flexible. </w:t>
      </w:r>
      <w:r w:rsidR="00DB05DF">
        <w:rPr>
          <w:rFonts w:ascii="Times New Roman" w:hAnsi="Times New Roman" w:cs="Times New Roman"/>
          <w:sz w:val="24"/>
          <w:szCs w:val="24"/>
        </w:rPr>
        <w:t xml:space="preserve">The less flexibility refers to the fact that </w:t>
      </w:r>
      <w:r w:rsidR="000F484B">
        <w:rPr>
          <w:rFonts w:ascii="Times New Roman" w:hAnsi="Times New Roman" w:cs="Times New Roman"/>
          <w:sz w:val="24"/>
          <w:szCs w:val="24"/>
        </w:rPr>
        <w:t>to</w:t>
      </w:r>
      <w:r w:rsidR="00DB05DF" w:rsidRPr="00DB05DF">
        <w:rPr>
          <w:rFonts w:ascii="Times New Roman" w:hAnsi="Times New Roman" w:cs="Times New Roman"/>
          <w:sz w:val="24"/>
          <w:szCs w:val="24"/>
        </w:rPr>
        <w:t xml:space="preserve"> </w:t>
      </w:r>
      <w:r w:rsidR="00B53ED1">
        <w:rPr>
          <w:rFonts w:ascii="Times New Roman" w:hAnsi="Times New Roman" w:cs="Times New Roman"/>
          <w:sz w:val="24"/>
          <w:szCs w:val="24"/>
        </w:rPr>
        <w:t xml:space="preserve">achieve </w:t>
      </w:r>
      <w:r w:rsidR="00DB05DF" w:rsidRPr="00DB05DF">
        <w:rPr>
          <w:rFonts w:ascii="Times New Roman" w:hAnsi="Times New Roman" w:cs="Times New Roman"/>
          <w:sz w:val="24"/>
          <w:szCs w:val="24"/>
        </w:rPr>
        <w:t>a natural hedge</w:t>
      </w:r>
      <w:r w:rsidR="00B53ED1">
        <w:rPr>
          <w:rFonts w:ascii="Times New Roman" w:hAnsi="Times New Roman" w:cs="Times New Roman"/>
          <w:sz w:val="24"/>
          <w:szCs w:val="24"/>
        </w:rPr>
        <w:t>,</w:t>
      </w:r>
      <w:r w:rsidR="00DB05DF">
        <w:rPr>
          <w:rFonts w:ascii="Times New Roman" w:hAnsi="Times New Roman" w:cs="Times New Roman"/>
          <w:sz w:val="24"/>
          <w:szCs w:val="24"/>
        </w:rPr>
        <w:t xml:space="preserve"> a </w:t>
      </w:r>
      <w:r w:rsidR="00DB05DF" w:rsidRPr="00DB05DF">
        <w:rPr>
          <w:rFonts w:ascii="Times New Roman" w:hAnsi="Times New Roman" w:cs="Times New Roman"/>
          <w:sz w:val="24"/>
          <w:szCs w:val="24"/>
        </w:rPr>
        <w:t xml:space="preserve">company </w:t>
      </w:r>
      <w:r w:rsidR="00B53ED1">
        <w:rPr>
          <w:rFonts w:ascii="Times New Roman" w:hAnsi="Times New Roman" w:cs="Times New Roman"/>
          <w:sz w:val="24"/>
          <w:szCs w:val="24"/>
        </w:rPr>
        <w:t xml:space="preserve">may </w:t>
      </w:r>
      <w:r w:rsidR="00B53ED1" w:rsidRPr="00DB05DF">
        <w:rPr>
          <w:rFonts w:ascii="Times New Roman" w:hAnsi="Times New Roman" w:cs="Times New Roman"/>
          <w:sz w:val="24"/>
          <w:szCs w:val="24"/>
        </w:rPr>
        <w:t>need</w:t>
      </w:r>
      <w:r w:rsidR="00DB05DF" w:rsidRPr="00DB05DF">
        <w:rPr>
          <w:rFonts w:ascii="Times New Roman" w:hAnsi="Times New Roman" w:cs="Times New Roman"/>
          <w:sz w:val="24"/>
          <w:szCs w:val="24"/>
        </w:rPr>
        <w:t xml:space="preserve"> to </w:t>
      </w:r>
      <w:r w:rsidR="00B53ED1">
        <w:rPr>
          <w:rFonts w:ascii="Times New Roman" w:hAnsi="Times New Roman" w:cs="Times New Roman"/>
          <w:sz w:val="24"/>
          <w:szCs w:val="24"/>
        </w:rPr>
        <w:t>alter</w:t>
      </w:r>
      <w:r w:rsidR="00DB05DF" w:rsidRPr="00DB05DF">
        <w:rPr>
          <w:rFonts w:ascii="Times New Roman" w:hAnsi="Times New Roman" w:cs="Times New Roman"/>
          <w:sz w:val="24"/>
          <w:szCs w:val="24"/>
        </w:rPr>
        <w:t xml:space="preserve"> its </w:t>
      </w:r>
      <w:r w:rsidR="00B53ED1">
        <w:rPr>
          <w:rFonts w:ascii="Times New Roman" w:hAnsi="Times New Roman" w:cs="Times New Roman"/>
          <w:sz w:val="24"/>
          <w:szCs w:val="24"/>
        </w:rPr>
        <w:t>usual</w:t>
      </w:r>
      <w:r w:rsidR="00DB05DF" w:rsidRPr="00DB05DF">
        <w:rPr>
          <w:rFonts w:ascii="Times New Roman" w:hAnsi="Times New Roman" w:cs="Times New Roman"/>
          <w:sz w:val="24"/>
          <w:szCs w:val="24"/>
        </w:rPr>
        <w:t xml:space="preserve"> operating procedures</w:t>
      </w:r>
      <w:r w:rsidR="00DB05DF">
        <w:rPr>
          <w:rFonts w:ascii="Times New Roman" w:hAnsi="Times New Roman" w:cs="Times New Roman"/>
          <w:sz w:val="24"/>
          <w:szCs w:val="24"/>
        </w:rPr>
        <w:t xml:space="preserve"> but th</w:t>
      </w:r>
      <w:r w:rsidR="00DB05DF" w:rsidRPr="00DB05DF">
        <w:rPr>
          <w:rFonts w:ascii="Times New Roman" w:hAnsi="Times New Roman" w:cs="Times New Roman"/>
          <w:sz w:val="24"/>
          <w:szCs w:val="24"/>
        </w:rPr>
        <w:t xml:space="preserve">e new operation </w:t>
      </w:r>
      <w:r w:rsidR="00F6408E">
        <w:rPr>
          <w:rFonts w:ascii="Times New Roman" w:hAnsi="Times New Roman" w:cs="Times New Roman"/>
          <w:sz w:val="24"/>
          <w:szCs w:val="24"/>
        </w:rPr>
        <w:t>practices</w:t>
      </w:r>
      <w:r w:rsidR="00DB05DF" w:rsidRPr="00DB05DF">
        <w:rPr>
          <w:rFonts w:ascii="Times New Roman" w:hAnsi="Times New Roman" w:cs="Times New Roman"/>
          <w:sz w:val="24"/>
          <w:szCs w:val="24"/>
        </w:rPr>
        <w:t xml:space="preserve"> </w:t>
      </w:r>
      <w:r w:rsidR="00B53ED1">
        <w:rPr>
          <w:rFonts w:ascii="Times New Roman" w:hAnsi="Times New Roman" w:cs="Times New Roman"/>
          <w:sz w:val="24"/>
          <w:szCs w:val="24"/>
        </w:rPr>
        <w:t>could possibly be agains</w:t>
      </w:r>
      <w:r w:rsidR="000F484B">
        <w:rPr>
          <w:rFonts w:ascii="Times New Roman" w:hAnsi="Times New Roman" w:cs="Times New Roman"/>
          <w:sz w:val="24"/>
          <w:szCs w:val="24"/>
        </w:rPr>
        <w:t>t</w:t>
      </w:r>
      <w:r w:rsidR="00DB05DF" w:rsidRPr="00DB05DF">
        <w:rPr>
          <w:rFonts w:ascii="Times New Roman" w:hAnsi="Times New Roman" w:cs="Times New Roman"/>
          <w:sz w:val="24"/>
          <w:szCs w:val="24"/>
        </w:rPr>
        <w:t xml:space="preserve"> the company’s </w:t>
      </w:r>
      <w:r w:rsidR="00F6408E">
        <w:rPr>
          <w:rFonts w:ascii="Times New Roman" w:hAnsi="Times New Roman" w:cs="Times New Roman"/>
          <w:sz w:val="24"/>
          <w:szCs w:val="24"/>
        </w:rPr>
        <w:t xml:space="preserve">initial </w:t>
      </w:r>
      <w:r w:rsidR="00DB05DF" w:rsidRPr="00DB05DF">
        <w:rPr>
          <w:rFonts w:ascii="Times New Roman" w:hAnsi="Times New Roman" w:cs="Times New Roman"/>
          <w:sz w:val="24"/>
          <w:szCs w:val="24"/>
        </w:rPr>
        <w:t>business strategy</w:t>
      </w:r>
      <w:r w:rsidR="00DB05DF">
        <w:rPr>
          <w:rFonts w:ascii="Times New Roman" w:hAnsi="Times New Roman" w:cs="Times New Roman"/>
          <w:sz w:val="24"/>
          <w:szCs w:val="24"/>
        </w:rPr>
        <w:t xml:space="preserve"> (CFI, 2024). </w:t>
      </w:r>
      <w:r w:rsidR="0040793F">
        <w:rPr>
          <w:rFonts w:ascii="Times New Roman" w:hAnsi="Times New Roman" w:cs="Times New Roman"/>
          <w:sz w:val="24"/>
          <w:szCs w:val="24"/>
        </w:rPr>
        <w:t xml:space="preserve">In some cases, </w:t>
      </w:r>
      <w:r w:rsidR="0040793F" w:rsidRPr="0040793F">
        <w:rPr>
          <w:rFonts w:ascii="Times New Roman" w:hAnsi="Times New Roman" w:cs="Times New Roman"/>
          <w:sz w:val="24"/>
          <w:szCs w:val="24"/>
        </w:rPr>
        <w:t>to maximize the</w:t>
      </w:r>
      <w:r w:rsidR="0040793F">
        <w:rPr>
          <w:rFonts w:ascii="Times New Roman" w:hAnsi="Times New Roman" w:cs="Times New Roman"/>
          <w:sz w:val="24"/>
          <w:szCs w:val="24"/>
        </w:rPr>
        <w:t>ir</w:t>
      </w:r>
      <w:r w:rsidR="0040793F" w:rsidRPr="0040793F">
        <w:rPr>
          <w:rFonts w:ascii="Times New Roman" w:hAnsi="Times New Roman" w:cs="Times New Roman"/>
          <w:sz w:val="24"/>
          <w:szCs w:val="24"/>
        </w:rPr>
        <w:t xml:space="preserve"> hedging benefit</w:t>
      </w:r>
      <w:r w:rsidR="0040793F">
        <w:rPr>
          <w:rFonts w:ascii="Times New Roman" w:hAnsi="Times New Roman" w:cs="Times New Roman"/>
          <w:sz w:val="24"/>
          <w:szCs w:val="24"/>
        </w:rPr>
        <w:t xml:space="preserve">, multinational companies may choose to use the </w:t>
      </w:r>
      <w:r w:rsidR="00CC4BCD">
        <w:rPr>
          <w:rFonts w:ascii="Times New Roman" w:hAnsi="Times New Roman" w:cs="Times New Roman"/>
          <w:sz w:val="24"/>
          <w:szCs w:val="24"/>
        </w:rPr>
        <w:t>both types.</w:t>
      </w:r>
    </w:p>
    <w:p w14:paraId="3835960E" w14:textId="00B4D7F4" w:rsidR="00A37636" w:rsidRPr="008C0553" w:rsidRDefault="008918EE" w:rsidP="008C0553">
      <w:pPr>
        <w:spacing w:line="360" w:lineRule="auto"/>
        <w:jc w:val="both"/>
        <w:rPr>
          <w:rFonts w:ascii="Times New Roman" w:hAnsi="Times New Roman" w:cs="Times New Roman"/>
          <w:sz w:val="24"/>
          <w:szCs w:val="24"/>
        </w:rPr>
      </w:pPr>
      <w:r w:rsidRPr="008918EE">
        <w:rPr>
          <w:rFonts w:ascii="Times New Roman" w:hAnsi="Times New Roman" w:cs="Times New Roman"/>
          <w:b/>
          <w:bCs/>
          <w:i/>
          <w:iCs/>
          <w:sz w:val="24"/>
          <w:szCs w:val="24"/>
        </w:rPr>
        <w:lastRenderedPageBreak/>
        <w:t xml:space="preserve">Diversification </w:t>
      </w:r>
      <w:r>
        <w:rPr>
          <w:rFonts w:ascii="Times New Roman" w:hAnsi="Times New Roman" w:cs="Times New Roman"/>
          <w:sz w:val="24"/>
          <w:szCs w:val="24"/>
        </w:rPr>
        <w:t>is a strategic approach used by multinational companies to mitigate risks and enhance opportunities by spreading investments, operations and activities across different regions, products, markets, or currencies</w:t>
      </w:r>
      <w:r w:rsidR="00811B64">
        <w:rPr>
          <w:rFonts w:ascii="Times New Roman" w:hAnsi="Times New Roman" w:cs="Times New Roman"/>
          <w:sz w:val="24"/>
          <w:szCs w:val="24"/>
        </w:rPr>
        <w:t xml:space="preserve"> (Ebert and Griffin, 2013).</w:t>
      </w:r>
      <w:r>
        <w:rPr>
          <w:rFonts w:ascii="Times New Roman" w:hAnsi="Times New Roman" w:cs="Times New Roman"/>
          <w:sz w:val="24"/>
          <w:szCs w:val="24"/>
        </w:rPr>
        <w:t xml:space="preserve"> It serves as a protection against economic, political and currency fluctuations in particular markets. </w:t>
      </w:r>
      <w:r w:rsidR="006F04BD">
        <w:rPr>
          <w:rFonts w:ascii="Times New Roman" w:hAnsi="Times New Roman" w:cs="Times New Roman"/>
          <w:sz w:val="24"/>
          <w:szCs w:val="24"/>
        </w:rPr>
        <w:t xml:space="preserve">There are different types of diversification such as geographic diversification, product diversification, currency diversifications, market, supply chain, investment, and operational diversification. </w:t>
      </w:r>
      <w:r w:rsidR="00DB5498">
        <w:rPr>
          <w:rFonts w:ascii="Times New Roman" w:hAnsi="Times New Roman" w:cs="Times New Roman"/>
          <w:sz w:val="24"/>
          <w:szCs w:val="24"/>
        </w:rPr>
        <w:t xml:space="preserve">One of the </w:t>
      </w:r>
      <w:r w:rsidR="005D177D">
        <w:rPr>
          <w:rFonts w:ascii="Times New Roman" w:hAnsi="Times New Roman" w:cs="Times New Roman"/>
          <w:sz w:val="24"/>
          <w:szCs w:val="24"/>
        </w:rPr>
        <w:t>benefits</w:t>
      </w:r>
      <w:r w:rsidR="00DB5498">
        <w:rPr>
          <w:rFonts w:ascii="Times New Roman" w:hAnsi="Times New Roman" w:cs="Times New Roman"/>
          <w:sz w:val="24"/>
          <w:szCs w:val="24"/>
        </w:rPr>
        <w:t xml:space="preserve"> of diversification is that by spreading operations, investments, and revenue sources across different areas, multinational companies reduce the impact of adverse conditions in any one area</w:t>
      </w:r>
      <w:r w:rsidR="00EF24F2">
        <w:rPr>
          <w:rFonts w:ascii="Times New Roman" w:hAnsi="Times New Roman" w:cs="Times New Roman"/>
          <w:sz w:val="24"/>
          <w:szCs w:val="24"/>
        </w:rPr>
        <w:t xml:space="preserve"> (CFI, 2024). </w:t>
      </w:r>
      <w:r w:rsidR="00DB5498">
        <w:rPr>
          <w:rFonts w:ascii="Times New Roman" w:hAnsi="Times New Roman" w:cs="Times New Roman"/>
          <w:sz w:val="24"/>
          <w:szCs w:val="24"/>
        </w:rPr>
        <w:t xml:space="preserve">Another benefit </w:t>
      </w:r>
      <w:r w:rsidR="005D177D">
        <w:rPr>
          <w:rFonts w:ascii="Times New Roman" w:hAnsi="Times New Roman" w:cs="Times New Roman"/>
          <w:sz w:val="24"/>
          <w:szCs w:val="24"/>
        </w:rPr>
        <w:t xml:space="preserve">is that diversification provides access to new markets, new customer bases and revenue streams, therefore enhancing the company’s growth </w:t>
      </w:r>
      <w:r w:rsidR="00217DB3">
        <w:rPr>
          <w:rFonts w:ascii="Times New Roman" w:hAnsi="Times New Roman" w:cs="Times New Roman"/>
          <w:sz w:val="24"/>
          <w:szCs w:val="24"/>
        </w:rPr>
        <w:t>opportunities</w:t>
      </w:r>
      <w:r w:rsidR="005D177D">
        <w:rPr>
          <w:rFonts w:ascii="Times New Roman" w:hAnsi="Times New Roman" w:cs="Times New Roman"/>
          <w:sz w:val="24"/>
          <w:szCs w:val="24"/>
        </w:rPr>
        <w:t xml:space="preserve">. </w:t>
      </w:r>
      <w:r w:rsidR="00217DB3">
        <w:rPr>
          <w:rFonts w:ascii="Times New Roman" w:hAnsi="Times New Roman" w:cs="Times New Roman"/>
          <w:sz w:val="24"/>
          <w:szCs w:val="24"/>
        </w:rPr>
        <w:t>And lastly, a well-diversified company is likely to experience more stable financial performance as the gains in one area Cn offset the losses in another.</w:t>
      </w:r>
      <w:bookmarkStart w:id="5" w:name="_Toc173876536"/>
    </w:p>
    <w:p w14:paraId="29B81833" w14:textId="593A9A12" w:rsidR="00EB2AF0" w:rsidRDefault="00EB2AF0" w:rsidP="00EB2AF0">
      <w:pPr>
        <w:pStyle w:val="Heading1"/>
        <w:spacing w:line="360" w:lineRule="auto"/>
        <w:jc w:val="both"/>
        <w:rPr>
          <w:rFonts w:ascii="Times New Roman" w:hAnsi="Times New Roman" w:cs="Times New Roman"/>
          <w:sz w:val="24"/>
          <w:szCs w:val="24"/>
        </w:rPr>
      </w:pPr>
      <w:r w:rsidRPr="00EB2AF0">
        <w:rPr>
          <w:rFonts w:ascii="Times New Roman" w:hAnsi="Times New Roman" w:cs="Times New Roman"/>
          <w:sz w:val="24"/>
          <w:szCs w:val="24"/>
        </w:rPr>
        <w:t>Conclusion</w:t>
      </w:r>
      <w:bookmarkEnd w:id="5"/>
    </w:p>
    <w:p w14:paraId="738AF11D" w14:textId="4A0808CF" w:rsidR="00936486" w:rsidRDefault="004D1291" w:rsidP="00DB05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discussed the foreign exchange risks faces by multinational companies. There was discussed two main strategies which can be used to mitigate this risk, the hedging strategy, and the operational strategy. </w:t>
      </w:r>
      <w:r w:rsidR="00DB05DF" w:rsidRPr="00DB05DF">
        <w:rPr>
          <w:rFonts w:ascii="Times New Roman" w:hAnsi="Times New Roman" w:cs="Times New Roman"/>
          <w:sz w:val="24"/>
          <w:szCs w:val="24"/>
        </w:rPr>
        <w:t>Th</w:t>
      </w:r>
      <w:r>
        <w:rPr>
          <w:rFonts w:ascii="Times New Roman" w:hAnsi="Times New Roman" w:cs="Times New Roman"/>
          <w:sz w:val="24"/>
          <w:szCs w:val="24"/>
        </w:rPr>
        <w:t xml:space="preserve">is assessment identified that these </w:t>
      </w:r>
      <w:r w:rsidR="00DB05DF" w:rsidRPr="00DB05DF">
        <w:rPr>
          <w:rFonts w:ascii="Times New Roman" w:hAnsi="Times New Roman" w:cs="Times New Roman"/>
          <w:sz w:val="24"/>
          <w:szCs w:val="24"/>
        </w:rPr>
        <w:t xml:space="preserve">strategies </w:t>
      </w:r>
      <w:r w:rsidR="004137E3">
        <w:rPr>
          <w:rFonts w:ascii="Times New Roman" w:hAnsi="Times New Roman" w:cs="Times New Roman"/>
          <w:sz w:val="24"/>
          <w:szCs w:val="24"/>
        </w:rPr>
        <w:t xml:space="preserve">are crucial for multinational companies because they can help protect against the financial impact of currency fluctuations. </w:t>
      </w:r>
      <w:r>
        <w:rPr>
          <w:rFonts w:ascii="Times New Roman" w:hAnsi="Times New Roman" w:cs="Times New Roman"/>
          <w:sz w:val="24"/>
          <w:szCs w:val="24"/>
        </w:rPr>
        <w:t xml:space="preserve">Depending on the multinational company’s exposure, its market conditions and its risk tolerance, these strategies </w:t>
      </w:r>
      <w:r w:rsidR="00DB05DF" w:rsidRPr="00DB05DF">
        <w:rPr>
          <w:rFonts w:ascii="Times New Roman" w:hAnsi="Times New Roman" w:cs="Times New Roman"/>
          <w:sz w:val="24"/>
          <w:szCs w:val="24"/>
        </w:rPr>
        <w:t xml:space="preserve">can be used </w:t>
      </w:r>
      <w:r>
        <w:rPr>
          <w:rFonts w:ascii="Times New Roman" w:hAnsi="Times New Roman" w:cs="Times New Roman"/>
          <w:sz w:val="24"/>
          <w:szCs w:val="24"/>
        </w:rPr>
        <w:t xml:space="preserve">either </w:t>
      </w:r>
      <w:r w:rsidR="00DB05DF" w:rsidRPr="00DB05DF">
        <w:rPr>
          <w:rFonts w:ascii="Times New Roman" w:hAnsi="Times New Roman" w:cs="Times New Roman"/>
          <w:sz w:val="24"/>
          <w:szCs w:val="24"/>
        </w:rPr>
        <w:t xml:space="preserve">individually or in combination. </w:t>
      </w:r>
      <w:r>
        <w:rPr>
          <w:rFonts w:ascii="Times New Roman" w:hAnsi="Times New Roman" w:cs="Times New Roman"/>
          <w:sz w:val="24"/>
          <w:szCs w:val="24"/>
        </w:rPr>
        <w:t xml:space="preserve">Combining these strategies can sometimes prove to be difficult however not impossible. Despite the strategy chosen, </w:t>
      </w:r>
      <w:r w:rsidR="00811B64">
        <w:rPr>
          <w:rFonts w:ascii="Times New Roman" w:hAnsi="Times New Roman" w:cs="Times New Roman"/>
          <w:sz w:val="24"/>
          <w:szCs w:val="24"/>
        </w:rPr>
        <w:t xml:space="preserve">if </w:t>
      </w:r>
      <w:r>
        <w:rPr>
          <w:rFonts w:ascii="Times New Roman" w:hAnsi="Times New Roman" w:cs="Times New Roman"/>
          <w:sz w:val="24"/>
          <w:szCs w:val="24"/>
        </w:rPr>
        <w:t xml:space="preserve">applied correctly it can help multinational companies </w:t>
      </w:r>
      <w:r w:rsidR="00936486">
        <w:rPr>
          <w:rFonts w:ascii="Times New Roman" w:hAnsi="Times New Roman" w:cs="Times New Roman"/>
          <w:sz w:val="24"/>
          <w:szCs w:val="24"/>
        </w:rPr>
        <w:t>not only</w:t>
      </w:r>
      <w:r>
        <w:rPr>
          <w:rFonts w:ascii="Times New Roman" w:hAnsi="Times New Roman" w:cs="Times New Roman"/>
          <w:sz w:val="24"/>
          <w:szCs w:val="24"/>
        </w:rPr>
        <w:t xml:space="preserve"> to</w:t>
      </w:r>
      <w:r w:rsidR="00936486">
        <w:rPr>
          <w:rFonts w:ascii="Times New Roman" w:hAnsi="Times New Roman" w:cs="Times New Roman"/>
          <w:sz w:val="24"/>
          <w:szCs w:val="24"/>
        </w:rPr>
        <w:t xml:space="preserve"> protect their financial health but also</w:t>
      </w:r>
      <w:r>
        <w:rPr>
          <w:rFonts w:ascii="Times New Roman" w:hAnsi="Times New Roman" w:cs="Times New Roman"/>
          <w:sz w:val="24"/>
          <w:szCs w:val="24"/>
        </w:rPr>
        <w:t xml:space="preserve"> to</w:t>
      </w:r>
      <w:r w:rsidR="00936486">
        <w:rPr>
          <w:rFonts w:ascii="Times New Roman" w:hAnsi="Times New Roman" w:cs="Times New Roman"/>
          <w:sz w:val="24"/>
          <w:szCs w:val="24"/>
        </w:rPr>
        <w:t xml:space="preserve"> maintain </w:t>
      </w:r>
      <w:r>
        <w:rPr>
          <w:rFonts w:ascii="Times New Roman" w:hAnsi="Times New Roman" w:cs="Times New Roman"/>
          <w:sz w:val="24"/>
          <w:szCs w:val="24"/>
        </w:rPr>
        <w:t xml:space="preserve">their </w:t>
      </w:r>
      <w:r w:rsidR="00936486">
        <w:rPr>
          <w:rFonts w:ascii="Times New Roman" w:hAnsi="Times New Roman" w:cs="Times New Roman"/>
          <w:sz w:val="24"/>
          <w:szCs w:val="24"/>
        </w:rPr>
        <w:t xml:space="preserve">profitability, </w:t>
      </w:r>
      <w:r>
        <w:rPr>
          <w:rFonts w:ascii="Times New Roman" w:hAnsi="Times New Roman" w:cs="Times New Roman"/>
          <w:sz w:val="24"/>
          <w:szCs w:val="24"/>
        </w:rPr>
        <w:t xml:space="preserve">to </w:t>
      </w:r>
      <w:r w:rsidR="00936486">
        <w:rPr>
          <w:rFonts w:ascii="Times New Roman" w:hAnsi="Times New Roman" w:cs="Times New Roman"/>
          <w:sz w:val="24"/>
          <w:szCs w:val="24"/>
        </w:rPr>
        <w:t xml:space="preserve">enhance </w:t>
      </w:r>
      <w:r>
        <w:rPr>
          <w:rFonts w:ascii="Times New Roman" w:hAnsi="Times New Roman" w:cs="Times New Roman"/>
          <w:sz w:val="24"/>
          <w:szCs w:val="24"/>
        </w:rPr>
        <w:t xml:space="preserve">their </w:t>
      </w:r>
      <w:r w:rsidR="00936486">
        <w:rPr>
          <w:rFonts w:ascii="Times New Roman" w:hAnsi="Times New Roman" w:cs="Times New Roman"/>
          <w:sz w:val="24"/>
          <w:szCs w:val="24"/>
        </w:rPr>
        <w:t>competitive advantage, and</w:t>
      </w:r>
      <w:r>
        <w:rPr>
          <w:rFonts w:ascii="Times New Roman" w:hAnsi="Times New Roman" w:cs="Times New Roman"/>
          <w:sz w:val="24"/>
          <w:szCs w:val="24"/>
        </w:rPr>
        <w:t xml:space="preserve"> furthermore to</w:t>
      </w:r>
      <w:r w:rsidR="00936486">
        <w:rPr>
          <w:rFonts w:ascii="Times New Roman" w:hAnsi="Times New Roman" w:cs="Times New Roman"/>
          <w:sz w:val="24"/>
          <w:szCs w:val="24"/>
        </w:rPr>
        <w:t xml:space="preserve"> operate efficiently across global markets. </w:t>
      </w:r>
      <w:r>
        <w:rPr>
          <w:rFonts w:ascii="Times New Roman" w:hAnsi="Times New Roman" w:cs="Times New Roman"/>
          <w:sz w:val="24"/>
          <w:szCs w:val="24"/>
        </w:rPr>
        <w:t>In summary, t</w:t>
      </w:r>
      <w:r w:rsidR="00936486">
        <w:rPr>
          <w:rFonts w:ascii="Times New Roman" w:hAnsi="Times New Roman" w:cs="Times New Roman"/>
          <w:sz w:val="24"/>
          <w:szCs w:val="24"/>
        </w:rPr>
        <w:t>hese strategies are i</w:t>
      </w:r>
      <w:r>
        <w:rPr>
          <w:rFonts w:ascii="Times New Roman" w:hAnsi="Times New Roman" w:cs="Times New Roman"/>
          <w:sz w:val="24"/>
          <w:szCs w:val="24"/>
        </w:rPr>
        <w:t>mportant</w:t>
      </w:r>
      <w:r w:rsidR="00936486">
        <w:rPr>
          <w:rFonts w:ascii="Times New Roman" w:hAnsi="Times New Roman" w:cs="Times New Roman"/>
          <w:sz w:val="24"/>
          <w:szCs w:val="24"/>
        </w:rPr>
        <w:t xml:space="preserve"> to the long-term success and </w:t>
      </w:r>
      <w:r>
        <w:rPr>
          <w:rFonts w:ascii="Times New Roman" w:hAnsi="Times New Roman" w:cs="Times New Roman"/>
          <w:sz w:val="24"/>
          <w:szCs w:val="24"/>
        </w:rPr>
        <w:t>the stability</w:t>
      </w:r>
      <w:r w:rsidR="00936486">
        <w:rPr>
          <w:rFonts w:ascii="Times New Roman" w:hAnsi="Times New Roman" w:cs="Times New Roman"/>
          <w:sz w:val="24"/>
          <w:szCs w:val="24"/>
        </w:rPr>
        <w:t xml:space="preserve"> of the multinational companies in an increasingly interconnected and volatile global economy</w:t>
      </w:r>
      <w:r w:rsidR="00FF55BC">
        <w:rPr>
          <w:rFonts w:ascii="Times New Roman" w:hAnsi="Times New Roman" w:cs="Times New Roman"/>
          <w:sz w:val="24"/>
          <w:szCs w:val="24"/>
        </w:rPr>
        <w:t>.</w:t>
      </w:r>
    </w:p>
    <w:p w14:paraId="63317CEF" w14:textId="77777777" w:rsidR="001A065C" w:rsidRDefault="001A065C" w:rsidP="003F530E">
      <w:pPr>
        <w:spacing w:line="360" w:lineRule="auto"/>
        <w:jc w:val="both"/>
        <w:rPr>
          <w:rFonts w:ascii="Times New Roman" w:hAnsi="Times New Roman" w:cs="Times New Roman"/>
          <w:sz w:val="24"/>
          <w:szCs w:val="24"/>
        </w:rPr>
      </w:pPr>
    </w:p>
    <w:p w14:paraId="695F30C0" w14:textId="77777777" w:rsidR="00FC2112" w:rsidRDefault="00FC2112">
      <w:pPr>
        <w:rPr>
          <w:rFonts w:ascii="Times New Roman" w:eastAsiaTheme="majorEastAsia" w:hAnsi="Times New Roman" w:cs="Times New Roman"/>
          <w:color w:val="2F5496" w:themeColor="accent1" w:themeShade="BF"/>
          <w:sz w:val="24"/>
          <w:szCs w:val="24"/>
        </w:rPr>
      </w:pPr>
      <w:bookmarkStart w:id="6" w:name="_Toc173876537"/>
      <w:r>
        <w:rPr>
          <w:rFonts w:ascii="Times New Roman" w:hAnsi="Times New Roman" w:cs="Times New Roman"/>
          <w:sz w:val="24"/>
          <w:szCs w:val="24"/>
        </w:rPr>
        <w:br w:type="page"/>
      </w:r>
    </w:p>
    <w:p w14:paraId="0F8F416E" w14:textId="55B7059D" w:rsidR="008E4D81" w:rsidRPr="001A065C" w:rsidRDefault="008E4D81" w:rsidP="001A065C">
      <w:pPr>
        <w:pStyle w:val="Heading1"/>
        <w:spacing w:line="360" w:lineRule="auto"/>
        <w:rPr>
          <w:rFonts w:ascii="Times New Roman" w:hAnsi="Times New Roman" w:cs="Times New Roman"/>
          <w:sz w:val="24"/>
          <w:szCs w:val="24"/>
        </w:rPr>
      </w:pPr>
      <w:r w:rsidRPr="001A065C">
        <w:rPr>
          <w:rFonts w:ascii="Times New Roman" w:hAnsi="Times New Roman" w:cs="Times New Roman"/>
          <w:sz w:val="24"/>
          <w:szCs w:val="24"/>
        </w:rPr>
        <w:lastRenderedPageBreak/>
        <w:t>References</w:t>
      </w:r>
      <w:bookmarkEnd w:id="6"/>
    </w:p>
    <w:p w14:paraId="24E02FE7" w14:textId="77777777" w:rsidR="00983CDE" w:rsidRDefault="00983CDE" w:rsidP="006C20A2">
      <w:pPr>
        <w:pStyle w:val="ListParagraph"/>
        <w:numPr>
          <w:ilvl w:val="0"/>
          <w:numId w:val="3"/>
        </w:numPr>
        <w:spacing w:line="276" w:lineRule="auto"/>
        <w:jc w:val="both"/>
        <w:rPr>
          <w:rFonts w:ascii="Times New Roman" w:hAnsi="Times New Roman" w:cs="Times New Roman"/>
          <w:sz w:val="24"/>
          <w:szCs w:val="24"/>
        </w:rPr>
      </w:pPr>
      <w:r w:rsidRPr="0097759F">
        <w:rPr>
          <w:rFonts w:ascii="Times New Roman" w:hAnsi="Times New Roman" w:cs="Times New Roman"/>
          <w:sz w:val="24"/>
          <w:szCs w:val="24"/>
        </w:rPr>
        <w:t xml:space="preserve">ACCA, </w:t>
      </w:r>
      <w:r>
        <w:rPr>
          <w:rFonts w:ascii="Times New Roman" w:hAnsi="Times New Roman" w:cs="Times New Roman"/>
          <w:sz w:val="24"/>
          <w:szCs w:val="24"/>
        </w:rPr>
        <w:t>(</w:t>
      </w:r>
      <w:r w:rsidRPr="0097759F">
        <w:rPr>
          <w:rFonts w:ascii="Times New Roman" w:hAnsi="Times New Roman" w:cs="Times New Roman"/>
          <w:sz w:val="24"/>
          <w:szCs w:val="24"/>
        </w:rPr>
        <w:t>2024</w:t>
      </w:r>
      <w:r>
        <w:rPr>
          <w:rFonts w:ascii="Times New Roman" w:hAnsi="Times New Roman" w:cs="Times New Roman"/>
          <w:sz w:val="24"/>
          <w:szCs w:val="24"/>
        </w:rPr>
        <w:t>)</w:t>
      </w:r>
      <w:r w:rsidRPr="0097759F">
        <w:rPr>
          <w:rFonts w:ascii="Times New Roman" w:hAnsi="Times New Roman" w:cs="Times New Roman"/>
          <w:sz w:val="24"/>
          <w:szCs w:val="24"/>
        </w:rPr>
        <w:t xml:space="preserve">. </w:t>
      </w:r>
      <w:r w:rsidRPr="0097759F">
        <w:rPr>
          <w:rFonts w:ascii="Times New Roman" w:hAnsi="Times New Roman" w:cs="Times New Roman"/>
          <w:i/>
          <w:iCs/>
          <w:sz w:val="24"/>
          <w:szCs w:val="24"/>
        </w:rPr>
        <w:t>Foreign currency risk and its management.</w:t>
      </w:r>
      <w:r w:rsidRPr="0097759F">
        <w:rPr>
          <w:rFonts w:ascii="Times New Roman" w:hAnsi="Times New Roman" w:cs="Times New Roman"/>
          <w:sz w:val="24"/>
          <w:szCs w:val="24"/>
        </w:rPr>
        <w:t xml:space="preserve"> Available at </w:t>
      </w:r>
      <w:hyperlink r:id="rId9" w:history="1">
        <w:r w:rsidRPr="0097759F">
          <w:rPr>
            <w:rStyle w:val="Hyperlink"/>
            <w:rFonts w:ascii="Times New Roman" w:hAnsi="Times New Roman" w:cs="Times New Roman"/>
            <w:sz w:val="24"/>
            <w:szCs w:val="24"/>
          </w:rPr>
          <w:t>www.accaglobal.com/uk/en/student/exam-support-resources/fundamentals-exams-study-resources/f9/technical-articles/forex.html</w:t>
        </w:r>
      </w:hyperlink>
      <w:r w:rsidRPr="0097759F">
        <w:rPr>
          <w:rFonts w:ascii="Times New Roman" w:hAnsi="Times New Roman" w:cs="Times New Roman"/>
          <w:sz w:val="24"/>
          <w:szCs w:val="24"/>
        </w:rPr>
        <w:t xml:space="preserve"> (Accessed 5 August 2024)</w:t>
      </w:r>
    </w:p>
    <w:p w14:paraId="479A6871" w14:textId="77777777" w:rsidR="00983CDE" w:rsidRPr="0097759F" w:rsidRDefault="00983CDE" w:rsidP="006C20A2">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ACCA, (2024). </w:t>
      </w:r>
      <w:r w:rsidRPr="000F2977">
        <w:rPr>
          <w:rFonts w:ascii="Times New Roman" w:hAnsi="Times New Roman" w:cs="Times New Roman"/>
          <w:i/>
          <w:iCs/>
          <w:sz w:val="24"/>
          <w:szCs w:val="24"/>
        </w:rPr>
        <w:t>Options.</w:t>
      </w:r>
      <w:r>
        <w:rPr>
          <w:rFonts w:ascii="Times New Roman" w:hAnsi="Times New Roman" w:cs="Times New Roman"/>
          <w:sz w:val="24"/>
          <w:szCs w:val="24"/>
        </w:rPr>
        <w:t xml:space="preserve"> Available at </w:t>
      </w:r>
      <w:hyperlink r:id="rId10" w:anchor=":~:text=Options%20are%20a%20form%20of,buy%20or%20sell)%20the%20option" w:history="1">
        <w:r w:rsidRPr="00147BBC">
          <w:rPr>
            <w:rStyle w:val="Hyperlink"/>
            <w:rFonts w:ascii="Times New Roman" w:hAnsi="Times New Roman" w:cs="Times New Roman"/>
            <w:sz w:val="24"/>
            <w:szCs w:val="24"/>
          </w:rPr>
          <w:t>www.accaglobal.com/uk/en/business-finance/types-finance/options.html#:~:text=Options%20are%20a%20form%20of,buy%20or%20sell)%20the%20option</w:t>
        </w:r>
      </w:hyperlink>
      <w:r w:rsidRPr="000F2977">
        <w:rPr>
          <w:rFonts w:ascii="Times New Roman" w:hAnsi="Times New Roman" w:cs="Times New Roman"/>
          <w:sz w:val="24"/>
          <w:szCs w:val="24"/>
        </w:rPr>
        <w:t>.</w:t>
      </w:r>
      <w:r>
        <w:rPr>
          <w:rFonts w:ascii="Times New Roman" w:hAnsi="Times New Roman" w:cs="Times New Roman"/>
          <w:sz w:val="24"/>
          <w:szCs w:val="24"/>
        </w:rPr>
        <w:t xml:space="preserve"> (Accessed 10 August 2024)</w:t>
      </w:r>
    </w:p>
    <w:p w14:paraId="09A58162" w14:textId="77777777" w:rsidR="00983CDE" w:rsidRPr="0097759F" w:rsidRDefault="00983CDE" w:rsidP="006C20A2">
      <w:pPr>
        <w:pStyle w:val="ListParagraph"/>
        <w:numPr>
          <w:ilvl w:val="0"/>
          <w:numId w:val="3"/>
        </w:numPr>
        <w:spacing w:line="276" w:lineRule="auto"/>
        <w:jc w:val="both"/>
        <w:rPr>
          <w:rFonts w:ascii="Times New Roman" w:hAnsi="Times New Roman" w:cs="Times New Roman"/>
          <w:sz w:val="24"/>
          <w:szCs w:val="24"/>
        </w:rPr>
      </w:pPr>
      <w:r w:rsidRPr="0097759F">
        <w:rPr>
          <w:rFonts w:ascii="Times New Roman" w:hAnsi="Times New Roman" w:cs="Times New Roman"/>
          <w:sz w:val="24"/>
          <w:szCs w:val="24"/>
        </w:rPr>
        <w:t xml:space="preserve">CFI, </w:t>
      </w:r>
      <w:r>
        <w:rPr>
          <w:rFonts w:ascii="Times New Roman" w:hAnsi="Times New Roman" w:cs="Times New Roman"/>
          <w:sz w:val="24"/>
          <w:szCs w:val="24"/>
        </w:rPr>
        <w:t>(</w:t>
      </w:r>
      <w:r w:rsidRPr="0097759F">
        <w:rPr>
          <w:rFonts w:ascii="Times New Roman" w:hAnsi="Times New Roman" w:cs="Times New Roman"/>
          <w:sz w:val="24"/>
          <w:szCs w:val="24"/>
        </w:rPr>
        <w:t>2024</w:t>
      </w:r>
      <w:r>
        <w:rPr>
          <w:rFonts w:ascii="Times New Roman" w:hAnsi="Times New Roman" w:cs="Times New Roman"/>
          <w:sz w:val="24"/>
          <w:szCs w:val="24"/>
        </w:rPr>
        <w:t>)</w:t>
      </w:r>
      <w:r w:rsidRPr="0097759F">
        <w:rPr>
          <w:rFonts w:ascii="Times New Roman" w:hAnsi="Times New Roman" w:cs="Times New Roman"/>
          <w:sz w:val="24"/>
          <w:szCs w:val="24"/>
        </w:rPr>
        <w:t xml:space="preserve">. </w:t>
      </w:r>
      <w:r w:rsidRPr="0097759F">
        <w:rPr>
          <w:rFonts w:ascii="Times New Roman" w:hAnsi="Times New Roman" w:cs="Times New Roman"/>
          <w:i/>
          <w:iCs/>
          <w:sz w:val="24"/>
          <w:szCs w:val="24"/>
        </w:rPr>
        <w:t>Foreign exchange risk.</w:t>
      </w:r>
      <w:r w:rsidRPr="0097759F">
        <w:rPr>
          <w:rFonts w:ascii="Times New Roman" w:hAnsi="Times New Roman" w:cs="Times New Roman"/>
          <w:sz w:val="24"/>
          <w:szCs w:val="24"/>
        </w:rPr>
        <w:t xml:space="preserve"> Available at </w:t>
      </w:r>
      <w:hyperlink r:id="rId11" w:history="1">
        <w:r w:rsidRPr="0097759F">
          <w:rPr>
            <w:rStyle w:val="Hyperlink"/>
            <w:rFonts w:ascii="Times New Roman" w:hAnsi="Times New Roman" w:cs="Times New Roman"/>
            <w:sz w:val="24"/>
            <w:szCs w:val="24"/>
          </w:rPr>
          <w:t>http://corporatefinanceinstitute.com/resources/foreign-exchange/foreign-exchange-risk/</w:t>
        </w:r>
      </w:hyperlink>
      <w:r w:rsidRPr="0097759F">
        <w:rPr>
          <w:rFonts w:ascii="Times New Roman" w:hAnsi="Times New Roman" w:cs="Times New Roman"/>
          <w:sz w:val="24"/>
          <w:szCs w:val="24"/>
        </w:rPr>
        <w:t xml:space="preserve"> (Accessed 5 August 2024)</w:t>
      </w:r>
    </w:p>
    <w:p w14:paraId="2D614746" w14:textId="77777777" w:rsidR="00983CDE" w:rsidRDefault="00983CDE" w:rsidP="006C20A2">
      <w:pPr>
        <w:pStyle w:val="ListParagraph"/>
        <w:numPr>
          <w:ilvl w:val="0"/>
          <w:numId w:val="3"/>
        </w:numPr>
        <w:spacing w:line="276" w:lineRule="auto"/>
        <w:jc w:val="both"/>
        <w:rPr>
          <w:rFonts w:ascii="Times New Roman" w:hAnsi="Times New Roman" w:cs="Times New Roman"/>
          <w:sz w:val="24"/>
          <w:szCs w:val="24"/>
        </w:rPr>
      </w:pPr>
      <w:r w:rsidRPr="0097759F">
        <w:rPr>
          <w:rFonts w:ascii="Times New Roman" w:hAnsi="Times New Roman" w:cs="Times New Roman"/>
          <w:sz w:val="24"/>
          <w:szCs w:val="24"/>
        </w:rPr>
        <w:t xml:space="preserve">CFI, </w:t>
      </w:r>
      <w:r>
        <w:rPr>
          <w:rFonts w:ascii="Times New Roman" w:hAnsi="Times New Roman" w:cs="Times New Roman"/>
          <w:sz w:val="24"/>
          <w:szCs w:val="24"/>
        </w:rPr>
        <w:t>(</w:t>
      </w:r>
      <w:r w:rsidRPr="0097759F">
        <w:rPr>
          <w:rFonts w:ascii="Times New Roman" w:hAnsi="Times New Roman" w:cs="Times New Roman"/>
          <w:sz w:val="24"/>
          <w:szCs w:val="24"/>
        </w:rPr>
        <w:t>2024</w:t>
      </w:r>
      <w:r>
        <w:rPr>
          <w:rFonts w:ascii="Times New Roman" w:hAnsi="Times New Roman" w:cs="Times New Roman"/>
          <w:sz w:val="24"/>
          <w:szCs w:val="24"/>
        </w:rPr>
        <w:t>)</w:t>
      </w:r>
      <w:r w:rsidRPr="0097759F">
        <w:rPr>
          <w:rFonts w:ascii="Times New Roman" w:hAnsi="Times New Roman" w:cs="Times New Roman"/>
          <w:sz w:val="24"/>
          <w:szCs w:val="24"/>
        </w:rPr>
        <w:t xml:space="preserve">. </w:t>
      </w:r>
      <w:r w:rsidRPr="0097759F">
        <w:rPr>
          <w:rFonts w:ascii="Times New Roman" w:hAnsi="Times New Roman" w:cs="Times New Roman"/>
          <w:i/>
          <w:iCs/>
          <w:sz w:val="24"/>
          <w:szCs w:val="24"/>
        </w:rPr>
        <w:t>Forward contracts.</w:t>
      </w:r>
      <w:r w:rsidRPr="0097759F">
        <w:rPr>
          <w:rFonts w:ascii="Times New Roman" w:hAnsi="Times New Roman" w:cs="Times New Roman"/>
          <w:sz w:val="24"/>
          <w:szCs w:val="24"/>
        </w:rPr>
        <w:t xml:space="preserve">  Available at </w:t>
      </w:r>
      <w:hyperlink r:id="rId12" w:history="1">
        <w:r w:rsidRPr="0097759F">
          <w:rPr>
            <w:rStyle w:val="Hyperlink"/>
            <w:rFonts w:ascii="Times New Roman" w:hAnsi="Times New Roman" w:cs="Times New Roman"/>
            <w:sz w:val="24"/>
            <w:szCs w:val="24"/>
          </w:rPr>
          <w:t>http://corporatefinanceinstitute.com/resources/derivatives/forward-contract/</w:t>
        </w:r>
      </w:hyperlink>
      <w:r w:rsidRPr="0097759F">
        <w:rPr>
          <w:rFonts w:ascii="Times New Roman" w:hAnsi="Times New Roman" w:cs="Times New Roman"/>
          <w:sz w:val="24"/>
          <w:szCs w:val="24"/>
        </w:rPr>
        <w:t xml:space="preserve"> (Accessed 6 August 224)</w:t>
      </w:r>
    </w:p>
    <w:p w14:paraId="07F80487" w14:textId="77777777" w:rsidR="00983CDE" w:rsidRPr="00503E8B" w:rsidRDefault="00983CDE" w:rsidP="006C20A2">
      <w:pPr>
        <w:pStyle w:val="ListParagraph"/>
        <w:numPr>
          <w:ilvl w:val="0"/>
          <w:numId w:val="3"/>
        </w:num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CFI, (2024). </w:t>
      </w:r>
      <w:r w:rsidRPr="006C20A2">
        <w:rPr>
          <w:rFonts w:ascii="Times New Roman" w:hAnsi="Times New Roman" w:cs="Times New Roman"/>
          <w:i/>
          <w:iCs/>
          <w:sz w:val="24"/>
          <w:szCs w:val="24"/>
        </w:rPr>
        <w:t>Futures Contract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4325E8">
          <w:rPr>
            <w:rStyle w:val="Hyperlink"/>
            <w:rFonts w:ascii="Times New Roman" w:hAnsi="Times New Roman" w:cs="Times New Roman"/>
            <w:sz w:val="24"/>
            <w:szCs w:val="24"/>
          </w:rPr>
          <w:t>http://corporatefinanceinstitute.com/resources/derivatives/futures-contract/</w:t>
        </w:r>
      </w:hyperlink>
      <w:r>
        <w:rPr>
          <w:rFonts w:ascii="Times New Roman" w:hAnsi="Times New Roman" w:cs="Times New Roman"/>
          <w:sz w:val="24"/>
          <w:szCs w:val="24"/>
        </w:rPr>
        <w:t xml:space="preserve"> (Accessed 7 August 2024)</w:t>
      </w:r>
    </w:p>
    <w:p w14:paraId="50D25614" w14:textId="77777777" w:rsidR="00983CDE" w:rsidRPr="00690819" w:rsidRDefault="00983CDE" w:rsidP="00690819">
      <w:pPr>
        <w:pStyle w:val="ListParagraph"/>
        <w:numPr>
          <w:ilvl w:val="0"/>
          <w:numId w:val="3"/>
        </w:num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CFI, (2024). </w:t>
      </w:r>
      <w:r w:rsidRPr="00690819">
        <w:rPr>
          <w:rFonts w:ascii="Times New Roman" w:hAnsi="Times New Roman" w:cs="Times New Roman"/>
          <w:i/>
          <w:iCs/>
          <w:sz w:val="24"/>
          <w:szCs w:val="24"/>
        </w:rPr>
        <w:t>Hedging Arrangement.</w:t>
      </w:r>
      <w:r w:rsidRPr="00690819">
        <w:rPr>
          <w:rFonts w:ascii="Times New Roman" w:hAnsi="Times New Roman" w:cs="Times New Roman"/>
          <w:sz w:val="24"/>
          <w:szCs w:val="24"/>
        </w:rPr>
        <w:t xml:space="preserve"> Available at </w:t>
      </w:r>
      <w:hyperlink r:id="rId14" w:history="1">
        <w:r w:rsidRPr="00690819">
          <w:rPr>
            <w:rStyle w:val="Hyperlink"/>
            <w:rFonts w:ascii="Times New Roman" w:hAnsi="Times New Roman" w:cs="Times New Roman"/>
            <w:sz w:val="24"/>
            <w:szCs w:val="24"/>
          </w:rPr>
          <w:t>http://corporatefinanceinstitute.com/resources/derivatives/hedging-arrangement/</w:t>
        </w:r>
      </w:hyperlink>
      <w:r w:rsidRPr="00690819">
        <w:rPr>
          <w:rFonts w:ascii="Times New Roman" w:hAnsi="Times New Roman" w:cs="Times New Roman"/>
          <w:sz w:val="24"/>
          <w:szCs w:val="24"/>
        </w:rPr>
        <w:t xml:space="preserve"> </w:t>
      </w:r>
      <w:r>
        <w:rPr>
          <w:rFonts w:ascii="Times New Roman" w:hAnsi="Times New Roman" w:cs="Times New Roman"/>
          <w:sz w:val="24"/>
          <w:szCs w:val="24"/>
        </w:rPr>
        <w:t>(Accessed 7 August 2024)</w:t>
      </w:r>
    </w:p>
    <w:p w14:paraId="303D2F75" w14:textId="77777777" w:rsidR="00983CDE" w:rsidRPr="00690819" w:rsidRDefault="00983CDE" w:rsidP="00503E8B">
      <w:pPr>
        <w:pStyle w:val="ListParagraph"/>
        <w:numPr>
          <w:ilvl w:val="0"/>
          <w:numId w:val="3"/>
        </w:num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CFI, (2024). </w:t>
      </w:r>
      <w:r w:rsidRPr="00503E8B">
        <w:rPr>
          <w:rFonts w:ascii="Times New Roman" w:hAnsi="Times New Roman" w:cs="Times New Roman"/>
          <w:i/>
          <w:iCs/>
          <w:sz w:val="24"/>
          <w:szCs w:val="24"/>
        </w:rPr>
        <w:t>Natural Hedge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history="1">
        <w:r w:rsidRPr="004325E8">
          <w:rPr>
            <w:rStyle w:val="Hyperlink"/>
            <w:rFonts w:ascii="Times New Roman" w:hAnsi="Times New Roman" w:cs="Times New Roman"/>
            <w:sz w:val="24"/>
            <w:szCs w:val="24"/>
          </w:rPr>
          <w:t>http://corporatefinanceinstitute.com/resources/capital-markets/natural-hedge/</w:t>
        </w:r>
      </w:hyperlink>
      <w:r>
        <w:rPr>
          <w:rFonts w:ascii="Times New Roman" w:hAnsi="Times New Roman" w:cs="Times New Roman"/>
          <w:sz w:val="24"/>
          <w:szCs w:val="24"/>
        </w:rPr>
        <w:t xml:space="preserve"> (Accessed 10 August 2024)</w:t>
      </w:r>
    </w:p>
    <w:p w14:paraId="36526E73" w14:textId="77777777" w:rsidR="00983CDE" w:rsidRPr="00EA6A1F" w:rsidRDefault="00983CDE" w:rsidP="00983CDE">
      <w:pPr>
        <w:pStyle w:val="ListParagraph"/>
        <w:numPr>
          <w:ilvl w:val="0"/>
          <w:numId w:val="3"/>
        </w:numPr>
        <w:spacing w:line="276" w:lineRule="auto"/>
        <w:jc w:val="both"/>
        <w:rPr>
          <w:rFonts w:ascii="Times New Roman" w:hAnsi="Times New Roman" w:cs="Times New Roman"/>
          <w:sz w:val="24"/>
          <w:szCs w:val="24"/>
        </w:rPr>
      </w:pPr>
      <w:r w:rsidRPr="00EA6A1F">
        <w:rPr>
          <w:rFonts w:ascii="Times New Roman" w:hAnsi="Times New Roman" w:cs="Times New Roman"/>
          <w:sz w:val="24"/>
          <w:szCs w:val="24"/>
        </w:rPr>
        <w:t xml:space="preserve">Ebert, R.J. and Griffin, R.W., (2013). </w:t>
      </w:r>
      <w:r w:rsidRPr="00EA6A1F">
        <w:rPr>
          <w:rFonts w:ascii="Times New Roman" w:hAnsi="Times New Roman" w:cs="Times New Roman"/>
          <w:i/>
          <w:iCs/>
          <w:sz w:val="24"/>
          <w:szCs w:val="24"/>
        </w:rPr>
        <w:t>Business essentials</w:t>
      </w:r>
      <w:r w:rsidRPr="00EA6A1F">
        <w:rPr>
          <w:rFonts w:ascii="Times New Roman" w:hAnsi="Times New Roman" w:cs="Times New Roman"/>
          <w:sz w:val="24"/>
          <w:szCs w:val="24"/>
        </w:rPr>
        <w:t>. 9</w:t>
      </w:r>
      <w:r w:rsidRPr="00EA6A1F">
        <w:rPr>
          <w:rFonts w:ascii="Times New Roman" w:hAnsi="Times New Roman" w:cs="Times New Roman"/>
          <w:sz w:val="24"/>
          <w:szCs w:val="24"/>
          <w:vertAlign w:val="superscript"/>
        </w:rPr>
        <w:t>th</w:t>
      </w:r>
      <w:r w:rsidRPr="00EA6A1F">
        <w:rPr>
          <w:rFonts w:ascii="Times New Roman" w:hAnsi="Times New Roman" w:cs="Times New Roman"/>
          <w:sz w:val="24"/>
          <w:szCs w:val="24"/>
        </w:rPr>
        <w:t xml:space="preserve"> </w:t>
      </w:r>
      <w:proofErr w:type="spellStart"/>
      <w:r w:rsidRPr="00EA6A1F">
        <w:rPr>
          <w:rFonts w:ascii="Times New Roman" w:hAnsi="Times New Roman" w:cs="Times New Roman"/>
          <w:sz w:val="24"/>
          <w:szCs w:val="24"/>
        </w:rPr>
        <w:t>Edn</w:t>
      </w:r>
      <w:proofErr w:type="spellEnd"/>
      <w:r w:rsidRPr="00EA6A1F">
        <w:rPr>
          <w:rFonts w:ascii="Times New Roman" w:hAnsi="Times New Roman" w:cs="Times New Roman"/>
          <w:sz w:val="24"/>
          <w:szCs w:val="24"/>
        </w:rPr>
        <w:t>. Edinburg Gate, Harlow: Pearson Education.</w:t>
      </w:r>
    </w:p>
    <w:p w14:paraId="13640E8B" w14:textId="77777777" w:rsidR="00983CDE" w:rsidRPr="0097759F" w:rsidRDefault="00983CDE" w:rsidP="006C20A2">
      <w:pPr>
        <w:pStyle w:val="ListParagraph"/>
        <w:numPr>
          <w:ilvl w:val="0"/>
          <w:numId w:val="3"/>
        </w:numPr>
        <w:spacing w:line="276" w:lineRule="auto"/>
        <w:jc w:val="both"/>
        <w:rPr>
          <w:rFonts w:ascii="Times New Roman" w:hAnsi="Times New Roman" w:cs="Times New Roman"/>
          <w:sz w:val="24"/>
          <w:szCs w:val="24"/>
        </w:rPr>
      </w:pPr>
      <w:r w:rsidRPr="0097759F">
        <w:rPr>
          <w:rFonts w:ascii="Times New Roman" w:hAnsi="Times New Roman" w:cs="Times New Roman"/>
          <w:sz w:val="24"/>
          <w:szCs w:val="24"/>
        </w:rPr>
        <w:t xml:space="preserve">Erel, Isil and Jang, </w:t>
      </w:r>
      <w:proofErr w:type="spellStart"/>
      <w:r w:rsidRPr="0097759F">
        <w:rPr>
          <w:rFonts w:ascii="Times New Roman" w:hAnsi="Times New Roman" w:cs="Times New Roman"/>
          <w:sz w:val="24"/>
          <w:szCs w:val="24"/>
        </w:rPr>
        <w:t>Yeejin</w:t>
      </w:r>
      <w:proofErr w:type="spellEnd"/>
      <w:r w:rsidRPr="0097759F">
        <w:rPr>
          <w:rFonts w:ascii="Times New Roman" w:hAnsi="Times New Roman" w:cs="Times New Roman"/>
          <w:sz w:val="24"/>
          <w:szCs w:val="24"/>
        </w:rPr>
        <w:t xml:space="preserve"> and Weisbach, Michael S., The Corporate Finance of Multinational Firms (2020). Fisher College of Business Working Paper No. 2020-03-001, Charles A. Dice Centre Working Paper No. 2020-1. Available at SSRN: </w:t>
      </w:r>
      <w:hyperlink r:id="rId16" w:history="1">
        <w:r w:rsidRPr="0097759F">
          <w:rPr>
            <w:rStyle w:val="Hyperlink"/>
            <w:rFonts w:ascii="Times New Roman" w:hAnsi="Times New Roman" w:cs="Times New Roman"/>
            <w:sz w:val="24"/>
            <w:szCs w:val="24"/>
          </w:rPr>
          <w:t>https://ssrn.com/abstract=3535761</w:t>
        </w:r>
      </w:hyperlink>
      <w:r w:rsidRPr="0097759F">
        <w:rPr>
          <w:rFonts w:ascii="Times New Roman" w:hAnsi="Times New Roman" w:cs="Times New Roman"/>
          <w:sz w:val="24"/>
          <w:szCs w:val="24"/>
        </w:rPr>
        <w:t xml:space="preserve">  (Accessed 5 August 2024)</w:t>
      </w:r>
    </w:p>
    <w:p w14:paraId="008E9908" w14:textId="77777777" w:rsidR="00983CDE" w:rsidRPr="0097759F" w:rsidRDefault="00983CDE" w:rsidP="006C20A2">
      <w:pPr>
        <w:pStyle w:val="ListParagraph"/>
        <w:numPr>
          <w:ilvl w:val="0"/>
          <w:numId w:val="3"/>
        </w:numPr>
        <w:spacing w:line="276" w:lineRule="auto"/>
        <w:jc w:val="both"/>
        <w:rPr>
          <w:rFonts w:ascii="Times New Roman" w:hAnsi="Times New Roman" w:cs="Times New Roman"/>
          <w:b/>
          <w:bCs/>
          <w:sz w:val="24"/>
          <w:szCs w:val="24"/>
        </w:rPr>
      </w:pPr>
      <w:r w:rsidRPr="0097759F">
        <w:rPr>
          <w:rFonts w:ascii="Times New Roman" w:hAnsi="Times New Roman" w:cs="Times New Roman"/>
          <w:sz w:val="24"/>
          <w:szCs w:val="24"/>
        </w:rPr>
        <w:t xml:space="preserve">GOV, </w:t>
      </w:r>
      <w:r>
        <w:rPr>
          <w:rFonts w:ascii="Times New Roman" w:hAnsi="Times New Roman" w:cs="Times New Roman"/>
          <w:sz w:val="24"/>
          <w:szCs w:val="24"/>
        </w:rPr>
        <w:t>(</w:t>
      </w:r>
      <w:r w:rsidRPr="0097759F">
        <w:rPr>
          <w:rFonts w:ascii="Times New Roman" w:hAnsi="Times New Roman" w:cs="Times New Roman"/>
          <w:sz w:val="24"/>
          <w:szCs w:val="24"/>
        </w:rPr>
        <w:t>2024</w:t>
      </w:r>
      <w:r>
        <w:rPr>
          <w:rFonts w:ascii="Times New Roman" w:hAnsi="Times New Roman" w:cs="Times New Roman"/>
          <w:sz w:val="24"/>
          <w:szCs w:val="24"/>
        </w:rPr>
        <w:t>)</w:t>
      </w:r>
      <w:r w:rsidRPr="0097759F">
        <w:rPr>
          <w:rFonts w:ascii="Times New Roman" w:hAnsi="Times New Roman" w:cs="Times New Roman"/>
          <w:sz w:val="24"/>
          <w:szCs w:val="24"/>
        </w:rPr>
        <w:t xml:space="preserve">. </w:t>
      </w:r>
      <w:r w:rsidRPr="0097759F">
        <w:rPr>
          <w:rFonts w:ascii="Times New Roman" w:hAnsi="Times New Roman" w:cs="Times New Roman"/>
          <w:i/>
          <w:iCs/>
          <w:sz w:val="24"/>
          <w:szCs w:val="24"/>
        </w:rPr>
        <w:t>Financial derivatives: futures contracts.</w:t>
      </w:r>
      <w:r w:rsidRPr="0097759F">
        <w:rPr>
          <w:rFonts w:ascii="Times New Roman" w:hAnsi="Times New Roman" w:cs="Times New Roman"/>
          <w:sz w:val="24"/>
          <w:szCs w:val="24"/>
        </w:rPr>
        <w:t xml:space="preserve"> Available at </w:t>
      </w:r>
      <w:hyperlink r:id="rId17" w:history="1">
        <w:r w:rsidRPr="0097759F">
          <w:rPr>
            <w:rStyle w:val="Hyperlink"/>
            <w:rFonts w:ascii="Times New Roman" w:hAnsi="Times New Roman" w:cs="Times New Roman"/>
            <w:sz w:val="24"/>
            <w:szCs w:val="24"/>
          </w:rPr>
          <w:t>www.gov.uk/hmrc-internal-manuals/vat-finance-manual/vatfin6200</w:t>
        </w:r>
      </w:hyperlink>
      <w:r w:rsidRPr="0097759F">
        <w:rPr>
          <w:rFonts w:ascii="Times New Roman" w:hAnsi="Times New Roman" w:cs="Times New Roman"/>
          <w:sz w:val="24"/>
          <w:szCs w:val="24"/>
        </w:rPr>
        <w:t xml:space="preserve"> (Accessed 7 August 2024)</w:t>
      </w:r>
    </w:p>
    <w:p w14:paraId="799173A9" w14:textId="77777777" w:rsidR="00983CDE" w:rsidRPr="0097759F" w:rsidRDefault="00983CDE" w:rsidP="006C20A2">
      <w:pPr>
        <w:pStyle w:val="ListParagraph"/>
        <w:numPr>
          <w:ilvl w:val="0"/>
          <w:numId w:val="3"/>
        </w:numPr>
        <w:spacing w:line="276" w:lineRule="auto"/>
        <w:jc w:val="both"/>
        <w:rPr>
          <w:rFonts w:ascii="Times New Roman" w:hAnsi="Times New Roman" w:cs="Times New Roman"/>
          <w:b/>
          <w:bCs/>
          <w:sz w:val="24"/>
          <w:szCs w:val="24"/>
        </w:rPr>
      </w:pPr>
      <w:r w:rsidRPr="0097759F">
        <w:rPr>
          <w:rFonts w:ascii="Times New Roman" w:hAnsi="Times New Roman" w:cs="Times New Roman"/>
          <w:sz w:val="24"/>
          <w:szCs w:val="24"/>
        </w:rPr>
        <w:t xml:space="preserve">GOV, </w:t>
      </w:r>
      <w:r>
        <w:rPr>
          <w:rFonts w:ascii="Times New Roman" w:hAnsi="Times New Roman" w:cs="Times New Roman"/>
          <w:sz w:val="24"/>
          <w:szCs w:val="24"/>
        </w:rPr>
        <w:t>(</w:t>
      </w:r>
      <w:r w:rsidRPr="0097759F">
        <w:rPr>
          <w:rFonts w:ascii="Times New Roman" w:hAnsi="Times New Roman" w:cs="Times New Roman"/>
          <w:sz w:val="24"/>
          <w:szCs w:val="24"/>
        </w:rPr>
        <w:t>2024</w:t>
      </w:r>
      <w:r>
        <w:rPr>
          <w:rFonts w:ascii="Times New Roman" w:hAnsi="Times New Roman" w:cs="Times New Roman"/>
          <w:sz w:val="24"/>
          <w:szCs w:val="24"/>
        </w:rPr>
        <w:t>)</w:t>
      </w:r>
      <w:r w:rsidRPr="0097759F">
        <w:rPr>
          <w:rFonts w:ascii="Times New Roman" w:hAnsi="Times New Roman" w:cs="Times New Roman"/>
          <w:sz w:val="24"/>
          <w:szCs w:val="24"/>
        </w:rPr>
        <w:t xml:space="preserve">. </w:t>
      </w:r>
      <w:r w:rsidRPr="0097759F">
        <w:rPr>
          <w:rFonts w:ascii="Times New Roman" w:hAnsi="Times New Roman" w:cs="Times New Roman"/>
          <w:i/>
          <w:iCs/>
          <w:sz w:val="24"/>
          <w:szCs w:val="24"/>
        </w:rPr>
        <w:t xml:space="preserve">Understanding corporate finance: derivatives: forward contracts. </w:t>
      </w:r>
      <w:r w:rsidRPr="0097759F">
        <w:rPr>
          <w:rFonts w:ascii="Times New Roman" w:hAnsi="Times New Roman" w:cs="Times New Roman"/>
          <w:sz w:val="24"/>
          <w:szCs w:val="24"/>
        </w:rPr>
        <w:t xml:space="preserve">Available at </w:t>
      </w:r>
      <w:hyperlink r:id="rId18" w:history="1">
        <w:r w:rsidRPr="0097759F">
          <w:rPr>
            <w:rStyle w:val="Hyperlink"/>
            <w:rFonts w:ascii="Times New Roman" w:hAnsi="Times New Roman" w:cs="Times New Roman"/>
            <w:sz w:val="24"/>
            <w:szCs w:val="24"/>
          </w:rPr>
          <w:t>www.gov.uk/hmrc-internal-manuals/corporate-finance-manual/cfm13140</w:t>
        </w:r>
      </w:hyperlink>
      <w:r w:rsidRPr="0097759F">
        <w:rPr>
          <w:rFonts w:ascii="Times New Roman" w:hAnsi="Times New Roman" w:cs="Times New Roman"/>
          <w:i/>
          <w:iCs/>
          <w:sz w:val="24"/>
          <w:szCs w:val="24"/>
        </w:rPr>
        <w:t xml:space="preserve"> </w:t>
      </w:r>
      <w:r w:rsidRPr="0097759F">
        <w:rPr>
          <w:rFonts w:ascii="Times New Roman" w:hAnsi="Times New Roman" w:cs="Times New Roman"/>
          <w:sz w:val="24"/>
          <w:szCs w:val="24"/>
        </w:rPr>
        <w:t>(Accessed 6August 2024)</w:t>
      </w:r>
    </w:p>
    <w:p w14:paraId="5C0F1D98" w14:textId="77777777" w:rsidR="00983CDE" w:rsidRPr="00EA6A1F" w:rsidRDefault="00983CDE" w:rsidP="00983CDE">
      <w:pPr>
        <w:pStyle w:val="ListParagraph"/>
        <w:numPr>
          <w:ilvl w:val="0"/>
          <w:numId w:val="3"/>
        </w:numPr>
        <w:spacing w:line="276" w:lineRule="auto"/>
        <w:jc w:val="both"/>
        <w:rPr>
          <w:rFonts w:ascii="Times New Roman" w:hAnsi="Times New Roman" w:cs="Times New Roman"/>
          <w:sz w:val="24"/>
          <w:szCs w:val="24"/>
        </w:rPr>
      </w:pPr>
      <w:r w:rsidRPr="00EA6A1F">
        <w:rPr>
          <w:rFonts w:ascii="Times New Roman" w:hAnsi="Times New Roman" w:cs="Times New Roman"/>
          <w:sz w:val="24"/>
          <w:szCs w:val="24"/>
        </w:rPr>
        <w:t xml:space="preserve">Hall D., Jones R., Raffo C. and Anderton A., (2008). </w:t>
      </w:r>
      <w:r w:rsidRPr="00EA6A1F">
        <w:rPr>
          <w:rFonts w:ascii="Times New Roman" w:hAnsi="Times New Roman" w:cs="Times New Roman"/>
          <w:i/>
          <w:iCs/>
          <w:sz w:val="24"/>
          <w:szCs w:val="24"/>
        </w:rPr>
        <w:t>Business studies</w:t>
      </w:r>
      <w:r w:rsidRPr="00EA6A1F">
        <w:rPr>
          <w:rFonts w:ascii="Times New Roman" w:hAnsi="Times New Roman" w:cs="Times New Roman"/>
          <w:sz w:val="24"/>
          <w:szCs w:val="24"/>
        </w:rPr>
        <w:t>. 4</w:t>
      </w:r>
      <w:r w:rsidRPr="00EA6A1F">
        <w:rPr>
          <w:rFonts w:ascii="Times New Roman" w:hAnsi="Times New Roman" w:cs="Times New Roman"/>
          <w:sz w:val="24"/>
          <w:szCs w:val="24"/>
          <w:vertAlign w:val="superscript"/>
        </w:rPr>
        <w:t>th</w:t>
      </w:r>
      <w:r w:rsidRPr="00EA6A1F">
        <w:rPr>
          <w:rFonts w:ascii="Times New Roman" w:hAnsi="Times New Roman" w:cs="Times New Roman"/>
          <w:sz w:val="24"/>
          <w:szCs w:val="24"/>
        </w:rPr>
        <w:t xml:space="preserve"> </w:t>
      </w:r>
      <w:proofErr w:type="spellStart"/>
      <w:r w:rsidRPr="00EA6A1F">
        <w:rPr>
          <w:rFonts w:ascii="Times New Roman" w:hAnsi="Times New Roman" w:cs="Times New Roman"/>
          <w:sz w:val="24"/>
          <w:szCs w:val="24"/>
        </w:rPr>
        <w:t>Edn</w:t>
      </w:r>
      <w:proofErr w:type="spellEnd"/>
      <w:r w:rsidRPr="00EA6A1F">
        <w:rPr>
          <w:rFonts w:ascii="Times New Roman" w:hAnsi="Times New Roman" w:cs="Times New Roman"/>
          <w:sz w:val="24"/>
          <w:szCs w:val="24"/>
        </w:rPr>
        <w:t>. Edinburg Gate, Harlow: Pearson Education.</w:t>
      </w:r>
    </w:p>
    <w:p w14:paraId="4AEF37B2" w14:textId="77777777" w:rsidR="00983CDE" w:rsidRDefault="00983CDE" w:rsidP="006C20A2">
      <w:pPr>
        <w:pStyle w:val="ListParagraph"/>
        <w:numPr>
          <w:ilvl w:val="0"/>
          <w:numId w:val="3"/>
        </w:numPr>
        <w:spacing w:line="276" w:lineRule="auto"/>
        <w:jc w:val="both"/>
        <w:rPr>
          <w:rFonts w:ascii="Times New Roman" w:hAnsi="Times New Roman" w:cs="Times New Roman"/>
          <w:sz w:val="24"/>
          <w:szCs w:val="24"/>
        </w:rPr>
      </w:pPr>
      <w:hyperlink r:id="rId19" w:history="1">
        <w:r w:rsidRPr="00FD4551">
          <w:rPr>
            <w:rStyle w:val="Hyperlink"/>
            <w:rFonts w:ascii="Times New Roman" w:hAnsi="Times New Roman" w:cs="Times New Roman"/>
            <w:color w:val="auto"/>
            <w:sz w:val="24"/>
            <w:szCs w:val="24"/>
            <w:u w:val="none"/>
          </w:rPr>
          <w:t>Hill, C. and Hult, T., (2021).</w:t>
        </w:r>
        <w:r w:rsidRPr="001756A5">
          <w:rPr>
            <w:rStyle w:val="Hyperlink"/>
            <w:rFonts w:ascii="Times New Roman" w:hAnsi="Times New Roman" w:cs="Times New Roman"/>
            <w:i/>
            <w:iCs/>
            <w:color w:val="auto"/>
            <w:sz w:val="24"/>
            <w:szCs w:val="24"/>
            <w:u w:val="none"/>
          </w:rPr>
          <w:t xml:space="preserve"> International Business: Competing in the Global Marketplace.</w:t>
        </w:r>
        <w:r w:rsidRPr="00FD4551">
          <w:rPr>
            <w:rStyle w:val="Hyperlink"/>
            <w:rFonts w:ascii="Times New Roman" w:hAnsi="Times New Roman" w:cs="Times New Roman"/>
            <w:color w:val="auto"/>
            <w:sz w:val="24"/>
            <w:szCs w:val="24"/>
            <w:u w:val="none"/>
          </w:rPr>
          <w:t xml:space="preserve"> 12th Ed. NY: McGraw Hill Education</w:t>
        </w:r>
      </w:hyperlink>
    </w:p>
    <w:p w14:paraId="25414FE3" w14:textId="77777777" w:rsidR="00653A51" w:rsidRPr="00983CDE" w:rsidRDefault="00653A51" w:rsidP="00983CDE">
      <w:pPr>
        <w:spacing w:line="276" w:lineRule="auto"/>
        <w:ind w:left="720"/>
        <w:jc w:val="both"/>
        <w:rPr>
          <w:rFonts w:ascii="Times New Roman" w:hAnsi="Times New Roman" w:cs="Times New Roman"/>
          <w:sz w:val="24"/>
          <w:szCs w:val="24"/>
        </w:rPr>
      </w:pPr>
    </w:p>
    <w:p w14:paraId="186F9E70" w14:textId="77777777" w:rsidR="003F530E" w:rsidRPr="003F530E" w:rsidRDefault="003F530E" w:rsidP="003F530E">
      <w:pPr>
        <w:spacing w:line="360" w:lineRule="auto"/>
        <w:jc w:val="both"/>
        <w:rPr>
          <w:rFonts w:ascii="Times New Roman" w:hAnsi="Times New Roman" w:cs="Times New Roman"/>
          <w:sz w:val="24"/>
          <w:szCs w:val="24"/>
        </w:rPr>
      </w:pPr>
    </w:p>
    <w:sectPr w:rsidR="003F530E" w:rsidRPr="003F5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FB3B22"/>
    <w:multiLevelType w:val="multilevel"/>
    <w:tmpl w:val="9AC27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F2A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94353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FF625E4"/>
    <w:multiLevelType w:val="hybridMultilevel"/>
    <w:tmpl w:val="8578B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CF4A8A"/>
    <w:multiLevelType w:val="hybridMultilevel"/>
    <w:tmpl w:val="A904ABA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38918642">
    <w:abstractNumId w:val="3"/>
  </w:num>
  <w:num w:numId="2" w16cid:durableId="1234663370">
    <w:abstractNumId w:val="2"/>
  </w:num>
  <w:num w:numId="3" w16cid:durableId="1855924792">
    <w:abstractNumId w:val="4"/>
  </w:num>
  <w:num w:numId="4" w16cid:durableId="1959867921">
    <w:abstractNumId w:val="0"/>
  </w:num>
  <w:num w:numId="5" w16cid:durableId="1117412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82C"/>
    <w:rsid w:val="00023CDE"/>
    <w:rsid w:val="00064B5F"/>
    <w:rsid w:val="00084697"/>
    <w:rsid w:val="000A3CA4"/>
    <w:rsid w:val="000B53D4"/>
    <w:rsid w:val="000C0085"/>
    <w:rsid w:val="000F2977"/>
    <w:rsid w:val="000F484B"/>
    <w:rsid w:val="000F769D"/>
    <w:rsid w:val="001031F2"/>
    <w:rsid w:val="001076D3"/>
    <w:rsid w:val="00107BEB"/>
    <w:rsid w:val="00124088"/>
    <w:rsid w:val="00145097"/>
    <w:rsid w:val="0017324B"/>
    <w:rsid w:val="001756A5"/>
    <w:rsid w:val="001A065C"/>
    <w:rsid w:val="001A59FF"/>
    <w:rsid w:val="001D7899"/>
    <w:rsid w:val="001E3DDD"/>
    <w:rsid w:val="001F187D"/>
    <w:rsid w:val="00217DB3"/>
    <w:rsid w:val="00231ACF"/>
    <w:rsid w:val="00237FD8"/>
    <w:rsid w:val="002A3B73"/>
    <w:rsid w:val="002B0BA9"/>
    <w:rsid w:val="002D0422"/>
    <w:rsid w:val="002F0042"/>
    <w:rsid w:val="002F69ED"/>
    <w:rsid w:val="00300983"/>
    <w:rsid w:val="00340D4C"/>
    <w:rsid w:val="00351D1E"/>
    <w:rsid w:val="003548E2"/>
    <w:rsid w:val="0035695A"/>
    <w:rsid w:val="00360D53"/>
    <w:rsid w:val="003E4A73"/>
    <w:rsid w:val="003F530E"/>
    <w:rsid w:val="0040793F"/>
    <w:rsid w:val="004137E3"/>
    <w:rsid w:val="00420FB2"/>
    <w:rsid w:val="00446DE8"/>
    <w:rsid w:val="00467259"/>
    <w:rsid w:val="00471617"/>
    <w:rsid w:val="00476B78"/>
    <w:rsid w:val="004909E4"/>
    <w:rsid w:val="00491E3E"/>
    <w:rsid w:val="004D1011"/>
    <w:rsid w:val="004D1291"/>
    <w:rsid w:val="004E388F"/>
    <w:rsid w:val="004F2EA5"/>
    <w:rsid w:val="00503E8B"/>
    <w:rsid w:val="00547CD1"/>
    <w:rsid w:val="00587649"/>
    <w:rsid w:val="005D177D"/>
    <w:rsid w:val="005D19C0"/>
    <w:rsid w:val="005D49BA"/>
    <w:rsid w:val="005F24D3"/>
    <w:rsid w:val="00623D34"/>
    <w:rsid w:val="0065296F"/>
    <w:rsid w:val="00653A51"/>
    <w:rsid w:val="00673EF8"/>
    <w:rsid w:val="00675F45"/>
    <w:rsid w:val="00687015"/>
    <w:rsid w:val="00690819"/>
    <w:rsid w:val="006927B5"/>
    <w:rsid w:val="006A26AE"/>
    <w:rsid w:val="006C20A2"/>
    <w:rsid w:val="006F04BD"/>
    <w:rsid w:val="007417A8"/>
    <w:rsid w:val="00752752"/>
    <w:rsid w:val="0077257B"/>
    <w:rsid w:val="007D0208"/>
    <w:rsid w:val="00811B64"/>
    <w:rsid w:val="00812AD7"/>
    <w:rsid w:val="00813CF2"/>
    <w:rsid w:val="00814D6D"/>
    <w:rsid w:val="008340F9"/>
    <w:rsid w:val="00836CF6"/>
    <w:rsid w:val="008918EE"/>
    <w:rsid w:val="008C0553"/>
    <w:rsid w:val="008D508A"/>
    <w:rsid w:val="008E4D81"/>
    <w:rsid w:val="00904861"/>
    <w:rsid w:val="00936486"/>
    <w:rsid w:val="00955C5B"/>
    <w:rsid w:val="0097759F"/>
    <w:rsid w:val="00983CDE"/>
    <w:rsid w:val="00983D3D"/>
    <w:rsid w:val="009A27AF"/>
    <w:rsid w:val="009E3CE9"/>
    <w:rsid w:val="009F04E0"/>
    <w:rsid w:val="00A10970"/>
    <w:rsid w:val="00A12B50"/>
    <w:rsid w:val="00A32264"/>
    <w:rsid w:val="00A37636"/>
    <w:rsid w:val="00A73C93"/>
    <w:rsid w:val="00A855DE"/>
    <w:rsid w:val="00AB76E9"/>
    <w:rsid w:val="00AD0706"/>
    <w:rsid w:val="00AE6CDC"/>
    <w:rsid w:val="00B13ECD"/>
    <w:rsid w:val="00B22277"/>
    <w:rsid w:val="00B53ED1"/>
    <w:rsid w:val="00B70903"/>
    <w:rsid w:val="00B7264B"/>
    <w:rsid w:val="00B85019"/>
    <w:rsid w:val="00BB0862"/>
    <w:rsid w:val="00BD188D"/>
    <w:rsid w:val="00BD3AF5"/>
    <w:rsid w:val="00BF6F60"/>
    <w:rsid w:val="00C7684A"/>
    <w:rsid w:val="00CB0418"/>
    <w:rsid w:val="00CC4BCD"/>
    <w:rsid w:val="00CC66CC"/>
    <w:rsid w:val="00CF4C7C"/>
    <w:rsid w:val="00CF7C1B"/>
    <w:rsid w:val="00D006F0"/>
    <w:rsid w:val="00D00CE3"/>
    <w:rsid w:val="00D341A5"/>
    <w:rsid w:val="00D4682C"/>
    <w:rsid w:val="00D52B91"/>
    <w:rsid w:val="00D615C3"/>
    <w:rsid w:val="00DA4858"/>
    <w:rsid w:val="00DB05DF"/>
    <w:rsid w:val="00DB5498"/>
    <w:rsid w:val="00DF07F7"/>
    <w:rsid w:val="00E05801"/>
    <w:rsid w:val="00E20FE3"/>
    <w:rsid w:val="00E97CF4"/>
    <w:rsid w:val="00EA4A74"/>
    <w:rsid w:val="00EB2AF0"/>
    <w:rsid w:val="00EC3149"/>
    <w:rsid w:val="00EC573D"/>
    <w:rsid w:val="00EE0096"/>
    <w:rsid w:val="00EE4AF8"/>
    <w:rsid w:val="00EF0CEE"/>
    <w:rsid w:val="00EF24F2"/>
    <w:rsid w:val="00EF56C3"/>
    <w:rsid w:val="00EF7F3A"/>
    <w:rsid w:val="00F1078F"/>
    <w:rsid w:val="00F34393"/>
    <w:rsid w:val="00F4242E"/>
    <w:rsid w:val="00F5565E"/>
    <w:rsid w:val="00F60555"/>
    <w:rsid w:val="00F6408E"/>
    <w:rsid w:val="00F87ABD"/>
    <w:rsid w:val="00FC2112"/>
    <w:rsid w:val="00FD4551"/>
    <w:rsid w:val="00FE3FE8"/>
    <w:rsid w:val="00FF0CB2"/>
    <w:rsid w:val="00FF5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FBA07"/>
  <w15:chartTrackingRefBased/>
  <w15:docId w15:val="{6E76DB17-D964-4E06-89C9-2D3FCF2B0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A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4D81"/>
    <w:pPr>
      <w:ind w:left="720"/>
      <w:contextualSpacing/>
    </w:pPr>
  </w:style>
  <w:style w:type="character" w:styleId="Hyperlink">
    <w:name w:val="Hyperlink"/>
    <w:basedOn w:val="DefaultParagraphFont"/>
    <w:uiPriority w:val="99"/>
    <w:unhideWhenUsed/>
    <w:rsid w:val="008E4D81"/>
    <w:rPr>
      <w:color w:val="0563C1" w:themeColor="hyperlink"/>
      <w:u w:val="single"/>
    </w:rPr>
  </w:style>
  <w:style w:type="character" w:styleId="UnresolvedMention">
    <w:name w:val="Unresolved Mention"/>
    <w:basedOn w:val="DefaultParagraphFont"/>
    <w:uiPriority w:val="99"/>
    <w:semiHidden/>
    <w:unhideWhenUsed/>
    <w:rsid w:val="008E4D81"/>
    <w:rPr>
      <w:color w:val="605E5C"/>
      <w:shd w:val="clear" w:color="auto" w:fill="E1DFDD"/>
    </w:rPr>
  </w:style>
  <w:style w:type="character" w:styleId="FollowedHyperlink">
    <w:name w:val="FollowedHyperlink"/>
    <w:basedOn w:val="DefaultParagraphFont"/>
    <w:uiPriority w:val="99"/>
    <w:semiHidden/>
    <w:unhideWhenUsed/>
    <w:rsid w:val="00EC3149"/>
    <w:rPr>
      <w:color w:val="954F72" w:themeColor="followedHyperlink"/>
      <w:u w:val="single"/>
    </w:rPr>
  </w:style>
  <w:style w:type="character" w:customStyle="1" w:styleId="Heading2Char">
    <w:name w:val="Heading 2 Char"/>
    <w:basedOn w:val="DefaultParagraphFont"/>
    <w:link w:val="Heading2"/>
    <w:uiPriority w:val="9"/>
    <w:rsid w:val="00EB2AF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B2A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3CA4"/>
    <w:pPr>
      <w:outlineLvl w:val="9"/>
    </w:pPr>
    <w:rPr>
      <w:kern w:val="0"/>
      <w:lang w:val="en-US"/>
      <w14:ligatures w14:val="none"/>
    </w:rPr>
  </w:style>
  <w:style w:type="paragraph" w:styleId="TOC1">
    <w:name w:val="toc 1"/>
    <w:basedOn w:val="Normal"/>
    <w:next w:val="Normal"/>
    <w:autoRedefine/>
    <w:uiPriority w:val="39"/>
    <w:unhideWhenUsed/>
    <w:rsid w:val="000A3CA4"/>
    <w:pPr>
      <w:spacing w:after="100"/>
    </w:pPr>
  </w:style>
  <w:style w:type="paragraph" w:styleId="TOC2">
    <w:name w:val="toc 2"/>
    <w:basedOn w:val="Normal"/>
    <w:next w:val="Normal"/>
    <w:autoRedefine/>
    <w:uiPriority w:val="39"/>
    <w:unhideWhenUsed/>
    <w:rsid w:val="000A3CA4"/>
    <w:pPr>
      <w:spacing w:after="100"/>
      <w:ind w:left="220"/>
    </w:pPr>
  </w:style>
  <w:style w:type="paragraph" w:styleId="NormalWeb">
    <w:name w:val="Normal (Web)"/>
    <w:basedOn w:val="Normal"/>
    <w:uiPriority w:val="99"/>
    <w:semiHidden/>
    <w:unhideWhenUsed/>
    <w:rsid w:val="006C20A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1D7899"/>
    <w:rPr>
      <w:sz w:val="16"/>
      <w:szCs w:val="16"/>
    </w:rPr>
  </w:style>
  <w:style w:type="paragraph" w:styleId="CommentText">
    <w:name w:val="annotation text"/>
    <w:basedOn w:val="Normal"/>
    <w:link w:val="CommentTextChar"/>
    <w:uiPriority w:val="99"/>
    <w:semiHidden/>
    <w:unhideWhenUsed/>
    <w:rsid w:val="001D7899"/>
    <w:pPr>
      <w:spacing w:line="240" w:lineRule="auto"/>
    </w:pPr>
    <w:rPr>
      <w:sz w:val="20"/>
      <w:szCs w:val="20"/>
    </w:rPr>
  </w:style>
  <w:style w:type="character" w:customStyle="1" w:styleId="CommentTextChar">
    <w:name w:val="Comment Text Char"/>
    <w:basedOn w:val="DefaultParagraphFont"/>
    <w:link w:val="CommentText"/>
    <w:uiPriority w:val="99"/>
    <w:semiHidden/>
    <w:rsid w:val="001D7899"/>
    <w:rPr>
      <w:sz w:val="20"/>
      <w:szCs w:val="20"/>
    </w:rPr>
  </w:style>
  <w:style w:type="paragraph" w:styleId="CommentSubject">
    <w:name w:val="annotation subject"/>
    <w:basedOn w:val="CommentText"/>
    <w:next w:val="CommentText"/>
    <w:link w:val="CommentSubjectChar"/>
    <w:uiPriority w:val="99"/>
    <w:semiHidden/>
    <w:unhideWhenUsed/>
    <w:rsid w:val="001D7899"/>
    <w:rPr>
      <w:b/>
      <w:bCs/>
    </w:rPr>
  </w:style>
  <w:style w:type="character" w:customStyle="1" w:styleId="CommentSubjectChar">
    <w:name w:val="Comment Subject Char"/>
    <w:basedOn w:val="CommentTextChar"/>
    <w:link w:val="CommentSubject"/>
    <w:uiPriority w:val="99"/>
    <w:semiHidden/>
    <w:rsid w:val="001D789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428291">
      <w:bodyDiv w:val="1"/>
      <w:marLeft w:val="0"/>
      <w:marRight w:val="0"/>
      <w:marTop w:val="0"/>
      <w:marBottom w:val="0"/>
      <w:divBdr>
        <w:top w:val="none" w:sz="0" w:space="0" w:color="auto"/>
        <w:left w:val="none" w:sz="0" w:space="0" w:color="auto"/>
        <w:bottom w:val="none" w:sz="0" w:space="0" w:color="auto"/>
        <w:right w:val="none" w:sz="0" w:space="0" w:color="auto"/>
      </w:divBdr>
    </w:div>
    <w:div w:id="125465585">
      <w:bodyDiv w:val="1"/>
      <w:marLeft w:val="0"/>
      <w:marRight w:val="0"/>
      <w:marTop w:val="0"/>
      <w:marBottom w:val="0"/>
      <w:divBdr>
        <w:top w:val="none" w:sz="0" w:space="0" w:color="auto"/>
        <w:left w:val="none" w:sz="0" w:space="0" w:color="auto"/>
        <w:bottom w:val="none" w:sz="0" w:space="0" w:color="auto"/>
        <w:right w:val="none" w:sz="0" w:space="0" w:color="auto"/>
      </w:divBdr>
    </w:div>
    <w:div w:id="205799168">
      <w:bodyDiv w:val="1"/>
      <w:marLeft w:val="0"/>
      <w:marRight w:val="0"/>
      <w:marTop w:val="0"/>
      <w:marBottom w:val="0"/>
      <w:divBdr>
        <w:top w:val="none" w:sz="0" w:space="0" w:color="auto"/>
        <w:left w:val="none" w:sz="0" w:space="0" w:color="auto"/>
        <w:bottom w:val="none" w:sz="0" w:space="0" w:color="auto"/>
        <w:right w:val="none" w:sz="0" w:space="0" w:color="auto"/>
      </w:divBdr>
    </w:div>
    <w:div w:id="215046952">
      <w:bodyDiv w:val="1"/>
      <w:marLeft w:val="0"/>
      <w:marRight w:val="0"/>
      <w:marTop w:val="0"/>
      <w:marBottom w:val="0"/>
      <w:divBdr>
        <w:top w:val="none" w:sz="0" w:space="0" w:color="auto"/>
        <w:left w:val="none" w:sz="0" w:space="0" w:color="auto"/>
        <w:bottom w:val="none" w:sz="0" w:space="0" w:color="auto"/>
        <w:right w:val="none" w:sz="0" w:space="0" w:color="auto"/>
      </w:divBdr>
    </w:div>
    <w:div w:id="297078711">
      <w:bodyDiv w:val="1"/>
      <w:marLeft w:val="0"/>
      <w:marRight w:val="0"/>
      <w:marTop w:val="0"/>
      <w:marBottom w:val="0"/>
      <w:divBdr>
        <w:top w:val="none" w:sz="0" w:space="0" w:color="auto"/>
        <w:left w:val="none" w:sz="0" w:space="0" w:color="auto"/>
        <w:bottom w:val="none" w:sz="0" w:space="0" w:color="auto"/>
        <w:right w:val="none" w:sz="0" w:space="0" w:color="auto"/>
      </w:divBdr>
    </w:div>
    <w:div w:id="570891305">
      <w:bodyDiv w:val="1"/>
      <w:marLeft w:val="0"/>
      <w:marRight w:val="0"/>
      <w:marTop w:val="0"/>
      <w:marBottom w:val="0"/>
      <w:divBdr>
        <w:top w:val="none" w:sz="0" w:space="0" w:color="auto"/>
        <w:left w:val="none" w:sz="0" w:space="0" w:color="auto"/>
        <w:bottom w:val="none" w:sz="0" w:space="0" w:color="auto"/>
        <w:right w:val="none" w:sz="0" w:space="0" w:color="auto"/>
      </w:divBdr>
    </w:div>
    <w:div w:id="757866358">
      <w:bodyDiv w:val="1"/>
      <w:marLeft w:val="0"/>
      <w:marRight w:val="0"/>
      <w:marTop w:val="0"/>
      <w:marBottom w:val="0"/>
      <w:divBdr>
        <w:top w:val="none" w:sz="0" w:space="0" w:color="auto"/>
        <w:left w:val="none" w:sz="0" w:space="0" w:color="auto"/>
        <w:bottom w:val="none" w:sz="0" w:space="0" w:color="auto"/>
        <w:right w:val="none" w:sz="0" w:space="0" w:color="auto"/>
      </w:divBdr>
    </w:div>
    <w:div w:id="1051731457">
      <w:bodyDiv w:val="1"/>
      <w:marLeft w:val="0"/>
      <w:marRight w:val="0"/>
      <w:marTop w:val="0"/>
      <w:marBottom w:val="0"/>
      <w:divBdr>
        <w:top w:val="none" w:sz="0" w:space="0" w:color="auto"/>
        <w:left w:val="none" w:sz="0" w:space="0" w:color="auto"/>
        <w:bottom w:val="none" w:sz="0" w:space="0" w:color="auto"/>
        <w:right w:val="none" w:sz="0" w:space="0" w:color="auto"/>
      </w:divBdr>
    </w:div>
    <w:div w:id="1152408611">
      <w:bodyDiv w:val="1"/>
      <w:marLeft w:val="0"/>
      <w:marRight w:val="0"/>
      <w:marTop w:val="0"/>
      <w:marBottom w:val="0"/>
      <w:divBdr>
        <w:top w:val="none" w:sz="0" w:space="0" w:color="auto"/>
        <w:left w:val="none" w:sz="0" w:space="0" w:color="auto"/>
        <w:bottom w:val="none" w:sz="0" w:space="0" w:color="auto"/>
        <w:right w:val="none" w:sz="0" w:space="0" w:color="auto"/>
      </w:divBdr>
    </w:div>
    <w:div w:id="1188520588">
      <w:bodyDiv w:val="1"/>
      <w:marLeft w:val="0"/>
      <w:marRight w:val="0"/>
      <w:marTop w:val="0"/>
      <w:marBottom w:val="0"/>
      <w:divBdr>
        <w:top w:val="none" w:sz="0" w:space="0" w:color="auto"/>
        <w:left w:val="none" w:sz="0" w:space="0" w:color="auto"/>
        <w:bottom w:val="none" w:sz="0" w:space="0" w:color="auto"/>
        <w:right w:val="none" w:sz="0" w:space="0" w:color="auto"/>
      </w:divBdr>
    </w:div>
    <w:div w:id="1199851997">
      <w:bodyDiv w:val="1"/>
      <w:marLeft w:val="0"/>
      <w:marRight w:val="0"/>
      <w:marTop w:val="0"/>
      <w:marBottom w:val="0"/>
      <w:divBdr>
        <w:top w:val="none" w:sz="0" w:space="0" w:color="auto"/>
        <w:left w:val="none" w:sz="0" w:space="0" w:color="auto"/>
        <w:bottom w:val="none" w:sz="0" w:space="0" w:color="auto"/>
        <w:right w:val="none" w:sz="0" w:space="0" w:color="auto"/>
      </w:divBdr>
    </w:div>
    <w:div w:id="1204748599">
      <w:bodyDiv w:val="1"/>
      <w:marLeft w:val="0"/>
      <w:marRight w:val="0"/>
      <w:marTop w:val="0"/>
      <w:marBottom w:val="0"/>
      <w:divBdr>
        <w:top w:val="none" w:sz="0" w:space="0" w:color="auto"/>
        <w:left w:val="none" w:sz="0" w:space="0" w:color="auto"/>
        <w:bottom w:val="none" w:sz="0" w:space="0" w:color="auto"/>
        <w:right w:val="none" w:sz="0" w:space="0" w:color="auto"/>
      </w:divBdr>
    </w:div>
    <w:div w:id="1701661657">
      <w:bodyDiv w:val="1"/>
      <w:marLeft w:val="0"/>
      <w:marRight w:val="0"/>
      <w:marTop w:val="0"/>
      <w:marBottom w:val="0"/>
      <w:divBdr>
        <w:top w:val="none" w:sz="0" w:space="0" w:color="auto"/>
        <w:left w:val="none" w:sz="0" w:space="0" w:color="auto"/>
        <w:bottom w:val="none" w:sz="0" w:space="0" w:color="auto"/>
        <w:right w:val="none" w:sz="0" w:space="0" w:color="auto"/>
      </w:divBdr>
    </w:div>
    <w:div w:id="1708874995">
      <w:bodyDiv w:val="1"/>
      <w:marLeft w:val="0"/>
      <w:marRight w:val="0"/>
      <w:marTop w:val="0"/>
      <w:marBottom w:val="0"/>
      <w:divBdr>
        <w:top w:val="none" w:sz="0" w:space="0" w:color="auto"/>
        <w:left w:val="none" w:sz="0" w:space="0" w:color="auto"/>
        <w:bottom w:val="none" w:sz="0" w:space="0" w:color="auto"/>
        <w:right w:val="none" w:sz="0" w:space="0" w:color="auto"/>
      </w:divBdr>
    </w:div>
    <w:div w:id="1752504089">
      <w:bodyDiv w:val="1"/>
      <w:marLeft w:val="0"/>
      <w:marRight w:val="0"/>
      <w:marTop w:val="0"/>
      <w:marBottom w:val="0"/>
      <w:divBdr>
        <w:top w:val="none" w:sz="0" w:space="0" w:color="auto"/>
        <w:left w:val="none" w:sz="0" w:space="0" w:color="auto"/>
        <w:bottom w:val="none" w:sz="0" w:space="0" w:color="auto"/>
        <w:right w:val="none" w:sz="0" w:space="0" w:color="auto"/>
      </w:divBdr>
    </w:div>
    <w:div w:id="1797141882">
      <w:bodyDiv w:val="1"/>
      <w:marLeft w:val="0"/>
      <w:marRight w:val="0"/>
      <w:marTop w:val="0"/>
      <w:marBottom w:val="0"/>
      <w:divBdr>
        <w:top w:val="none" w:sz="0" w:space="0" w:color="auto"/>
        <w:left w:val="none" w:sz="0" w:space="0" w:color="auto"/>
        <w:bottom w:val="none" w:sz="0" w:space="0" w:color="auto"/>
        <w:right w:val="none" w:sz="0" w:space="0" w:color="auto"/>
      </w:divBdr>
    </w:div>
    <w:div w:id="1828662879">
      <w:bodyDiv w:val="1"/>
      <w:marLeft w:val="0"/>
      <w:marRight w:val="0"/>
      <w:marTop w:val="0"/>
      <w:marBottom w:val="0"/>
      <w:divBdr>
        <w:top w:val="none" w:sz="0" w:space="0" w:color="auto"/>
        <w:left w:val="none" w:sz="0" w:space="0" w:color="auto"/>
        <w:bottom w:val="none" w:sz="0" w:space="0" w:color="auto"/>
        <w:right w:val="none" w:sz="0" w:space="0" w:color="auto"/>
      </w:divBdr>
    </w:div>
    <w:div w:id="1842428219">
      <w:bodyDiv w:val="1"/>
      <w:marLeft w:val="0"/>
      <w:marRight w:val="0"/>
      <w:marTop w:val="0"/>
      <w:marBottom w:val="0"/>
      <w:divBdr>
        <w:top w:val="none" w:sz="0" w:space="0" w:color="auto"/>
        <w:left w:val="none" w:sz="0" w:space="0" w:color="auto"/>
        <w:bottom w:val="none" w:sz="0" w:space="0" w:color="auto"/>
        <w:right w:val="none" w:sz="0" w:space="0" w:color="auto"/>
      </w:divBdr>
    </w:div>
    <w:div w:id="1878815983">
      <w:bodyDiv w:val="1"/>
      <w:marLeft w:val="0"/>
      <w:marRight w:val="0"/>
      <w:marTop w:val="0"/>
      <w:marBottom w:val="0"/>
      <w:divBdr>
        <w:top w:val="none" w:sz="0" w:space="0" w:color="auto"/>
        <w:left w:val="none" w:sz="0" w:space="0" w:color="auto"/>
        <w:bottom w:val="none" w:sz="0" w:space="0" w:color="auto"/>
        <w:right w:val="none" w:sz="0" w:space="0" w:color="auto"/>
      </w:divBdr>
    </w:div>
    <w:div w:id="2048556946">
      <w:bodyDiv w:val="1"/>
      <w:marLeft w:val="0"/>
      <w:marRight w:val="0"/>
      <w:marTop w:val="0"/>
      <w:marBottom w:val="0"/>
      <w:divBdr>
        <w:top w:val="none" w:sz="0" w:space="0" w:color="auto"/>
        <w:left w:val="none" w:sz="0" w:space="0" w:color="auto"/>
        <w:bottom w:val="none" w:sz="0" w:space="0" w:color="auto"/>
        <w:right w:val="none" w:sz="0" w:space="0" w:color="auto"/>
      </w:divBdr>
    </w:div>
    <w:div w:id="208025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poratefinanceinstitute.com" TargetMode="External"/><Relationship Id="rId13" Type="http://schemas.openxmlformats.org/officeDocument/2006/relationships/hyperlink" Target="http://corporatefinanceinstitute.com/resources/derivatives/futures-contract/" TargetMode="External"/><Relationship Id="rId18" Type="http://schemas.openxmlformats.org/officeDocument/2006/relationships/hyperlink" Target="http://www.gov.uk/hmrc-internal-manuals/corporate-finance-manual/cfm1314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corporatefinanceinstitute.com/resources/derivatives/forward-contract/" TargetMode="External"/><Relationship Id="rId17" Type="http://schemas.openxmlformats.org/officeDocument/2006/relationships/hyperlink" Target="http://www.gov.uk/hmrc-internal-manuals/vat-finance-manual/vatfin6200" TargetMode="External"/><Relationship Id="rId2" Type="http://schemas.openxmlformats.org/officeDocument/2006/relationships/numbering" Target="numbering.xml"/><Relationship Id="rId16" Type="http://schemas.openxmlformats.org/officeDocument/2006/relationships/hyperlink" Target="https://ssrn.com/abstract=353576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corporatefinanceinstitute.com/resources/foreign-exchange/foreign-exchange-risk/" TargetMode="External"/><Relationship Id="rId5" Type="http://schemas.openxmlformats.org/officeDocument/2006/relationships/webSettings" Target="webSettings.xml"/><Relationship Id="rId15" Type="http://schemas.openxmlformats.org/officeDocument/2006/relationships/hyperlink" Target="http://corporatefinanceinstitute.com/resources/capital-markets/natural-hedge/" TargetMode="External"/><Relationship Id="rId10" Type="http://schemas.openxmlformats.org/officeDocument/2006/relationships/hyperlink" Target="http://www.accaglobal.com/uk/en/business-finance/types-finance/options.html" TargetMode="External"/><Relationship Id="rId19" Type="http://schemas.openxmlformats.org/officeDocument/2006/relationships/hyperlink" Target="https://www.google.com/search?sca_esv=379de29fcd43356e&amp;sca_upv=1&amp;q=Hill,+C.+and+Hult,+T.,+(2021).+International+Business:+Competing+in+the+Global+Marketplace.+12th+Ed.+NY:+McGraw+Hill+Education&amp;spell=1&amp;sa=X&amp;ved=2ahUKEwjHkuzb542IAxX-gf0HHeApDSsQBSgAegQICxAB" TargetMode="External"/><Relationship Id="rId4" Type="http://schemas.openxmlformats.org/officeDocument/2006/relationships/settings" Target="settings.xml"/><Relationship Id="rId9" Type="http://schemas.openxmlformats.org/officeDocument/2006/relationships/hyperlink" Target="http://www.accaglobal.com/uk/en/student/exam-support-resources/fundamentals-exams-study-resources/f9/technical-articles/forex.html" TargetMode="External"/><Relationship Id="rId14" Type="http://schemas.openxmlformats.org/officeDocument/2006/relationships/hyperlink" Target="http://corporatefinanceinstitute.com/resources/derivatives/hedging-arran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C0870-E2EF-4E7A-AF05-D7D4E6698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8</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Golding</dc:creator>
  <cp:keywords/>
  <dc:description/>
  <cp:lastModifiedBy>Alina Golding</cp:lastModifiedBy>
  <cp:revision>116</cp:revision>
  <dcterms:created xsi:type="dcterms:W3CDTF">2024-08-06T15:05:00Z</dcterms:created>
  <dcterms:modified xsi:type="dcterms:W3CDTF">2024-08-24T14:52:00Z</dcterms:modified>
</cp:coreProperties>
</file>