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 xml:space="preserve">Outline - 1,500 words - 150 can be quotes </w:t>
      </w:r>
    </w:p>
    <w:p>
      <w:pPr>
        <w:pStyle w:val="Body"/>
        <w:bidi w:val="0"/>
      </w:pPr>
    </w:p>
    <w:p>
      <w:pPr>
        <w:pStyle w:val="Body"/>
        <w:bidi w:val="0"/>
      </w:pPr>
      <w:r>
        <w:rPr>
          <w:rtl w:val="0"/>
        </w:rPr>
        <w:tab/>
        <w:t>Michael Hoskin</w:t>
      </w:r>
      <w:r>
        <w:rPr>
          <w:rtl w:val="0"/>
        </w:rPr>
        <w:t>’</w:t>
      </w:r>
      <w:r>
        <w:rPr>
          <w:rtl w:val="0"/>
        </w:rPr>
        <w:t xml:space="preserve">s </w:t>
      </w:r>
      <w:r>
        <w:rPr>
          <w:rtl w:val="0"/>
        </w:rPr>
        <w:t>‘</w:t>
      </w:r>
      <w:r>
        <w:rPr>
          <w:rtl w:val="0"/>
        </w:rPr>
        <w:t>S</w:t>
      </w:r>
      <w:r>
        <w:rPr>
          <w:rtl w:val="0"/>
        </w:rPr>
        <w:t>tudies in Iberian Archaeoastronomy (5) Orientations of Megalithic Tombs of Northern and Western Iberia</w:t>
      </w:r>
      <w:r>
        <w:rPr>
          <w:rtl w:val="0"/>
        </w:rPr>
        <w:t xml:space="preserve">” </w:t>
      </w:r>
      <w:r>
        <w:rPr>
          <w:rtl w:val="0"/>
        </w:rPr>
        <w:t>Archaeoastronomy 23 (JHA xxix): S39-S48</w:t>
      </w:r>
      <w:r>
        <w:rPr>
          <w:rtl w:val="0"/>
        </w:rPr>
        <w:t xml:space="preserve">’ </w:t>
      </w:r>
      <w:r>
        <w:rPr>
          <w:rtl w:val="0"/>
        </w:rPr>
        <w:t xml:space="preserve">surveyed the </w:t>
      </w:r>
      <w:r>
        <w:rPr>
          <w:rtl w:val="0"/>
        </w:rPr>
        <w:t>‘</w:t>
      </w:r>
      <w:r>
        <w:rPr>
          <w:rtl w:val="0"/>
        </w:rPr>
        <w:t>orientations of megalithic tombs</w:t>
      </w:r>
      <w:r>
        <w:rPr>
          <w:rtl w:val="0"/>
        </w:rPr>
        <w:t xml:space="preserve">’ </w:t>
      </w:r>
      <w:r>
        <w:rPr>
          <w:rtl w:val="0"/>
        </w:rPr>
        <w:t xml:space="preserve">along northern and western iberia, as published in 1998 in </w:t>
      </w:r>
      <w:r>
        <w:rPr>
          <w:i w:val="1"/>
          <w:iCs w:val="1"/>
          <w:rtl w:val="0"/>
          <w:lang w:val="en-US"/>
        </w:rPr>
        <w:t>Archaeoastronomy</w:t>
      </w:r>
      <w:r>
        <w:rPr>
          <w:rtl w:val="0"/>
        </w:rPr>
        <w:t xml:space="preserve"> (now contained within the </w:t>
      </w:r>
      <w:r>
        <w:rPr>
          <w:i w:val="1"/>
          <w:iCs w:val="1"/>
          <w:rtl w:val="0"/>
          <w:lang w:val="en-US"/>
        </w:rPr>
        <w:t>Journal for Historic Astronomy</w:t>
      </w:r>
      <w:r>
        <w:rPr>
          <w:rtl w:val="0"/>
        </w:rPr>
        <w:t>). Published in 2015, Fabio Silva</w:t>
      </w:r>
      <w:r>
        <w:rPr>
          <w:rtl w:val="0"/>
        </w:rPr>
        <w:t>’</w:t>
      </w:r>
      <w:r>
        <w:rPr>
          <w:rtl w:val="0"/>
        </w:rPr>
        <w:t xml:space="preserve">s </w:t>
      </w:r>
      <w:r>
        <w:rPr>
          <w:rtl w:val="0"/>
        </w:rPr>
        <w:t xml:space="preserve">"The View from Within: a </w:t>
      </w:r>
      <w:r>
        <w:rPr>
          <w:rtl w:val="0"/>
        </w:rPr>
        <w:t>‘</w:t>
      </w:r>
      <w:r>
        <w:rPr>
          <w:rtl w:val="0"/>
        </w:rPr>
        <w:t>time-space-action</w:t>
      </w:r>
      <w:r>
        <w:rPr>
          <w:rtl w:val="0"/>
        </w:rPr>
        <w:t xml:space="preserve">’ </w:t>
      </w:r>
      <w:r>
        <w:rPr>
          <w:rtl w:val="0"/>
        </w:rPr>
        <w:t>approach to Megalithism in Central Portugal". In Fabio Silva and Nick Campion (2015, eds) Skyscapes: The Role and Importance of the Sky in Archaeology. Oxford: Oxbow Book</w:t>
      </w:r>
      <w:r>
        <w:rPr>
          <w:rtl w:val="0"/>
        </w:rPr>
        <w:t>s</w:t>
      </w:r>
      <w:r>
        <w:rPr>
          <w:rtl w:val="0"/>
        </w:rPr>
        <w:t xml:space="preserve">” </w:t>
      </w:r>
      <w:r>
        <w:rPr>
          <w:rtl w:val="0"/>
        </w:rPr>
        <w:t xml:space="preserve">focuses on one of the same surveyed locations. Both of these papers are located within the discipline of archaeoastronomy, which Clive Ruggles defines as </w:t>
      </w:r>
      <w:r>
        <w:rPr>
          <w:rtl w:val="0"/>
        </w:rPr>
        <w:t>‘</w:t>
      </w:r>
      <w:r>
        <w:rPr>
          <w:rtl w:val="0"/>
        </w:rPr>
        <w:t>the study of beliefs and practices concerning the sky in the past, particularly in the absence of written records, and the uses to which people</w:t>
      </w:r>
      <w:r>
        <w:rPr>
          <w:rtl w:val="0"/>
        </w:rPr>
        <w:t>’</w:t>
      </w:r>
      <w:r>
        <w:rPr>
          <w:rtl w:val="0"/>
        </w:rPr>
        <w:t>s understanding of the sky was put.</w:t>
      </w:r>
      <w:r>
        <w:rPr>
          <w:rtl w:val="0"/>
        </w:rPr>
        <w:t>’</w:t>
      </w:r>
      <w:r>
        <w:rPr>
          <w:rFonts w:ascii="Helvetica Neue" w:cs="Helvetica Neue" w:hAnsi="Helvetica Neue" w:eastAsia="Helvetica Neue"/>
          <w:b w:val="0"/>
          <w:bCs w:val="0"/>
          <w:i w:val="0"/>
          <w:iCs w:val="0"/>
          <w:vertAlign w:val="superscript"/>
        </w:rPr>
        <w:footnoteReference w:id="1"/>
      </w:r>
      <w:r>
        <w:rPr>
          <w:rtl w:val="0"/>
        </w:rPr>
        <w:t xml:space="preserve"> This paper will critically review Hoskin and Silva</w:t>
      </w:r>
      <w:r>
        <w:rPr>
          <w:rtl w:val="0"/>
        </w:rPr>
        <w:t>’</w:t>
      </w:r>
      <w:r>
        <w:rPr>
          <w:rtl w:val="0"/>
        </w:rPr>
        <w:t>s papers with regard to the papers</w:t>
      </w:r>
      <w:r>
        <w:rPr>
          <w:rtl w:val="0"/>
        </w:rPr>
        <w:t xml:space="preserve">’ </w:t>
      </w:r>
      <w:r>
        <w:rPr>
          <w:rtl w:val="0"/>
        </w:rPr>
        <w:t>methodology + structure, location in academic conversation, and analysis of the papers</w:t>
      </w:r>
      <w:r>
        <w:rPr>
          <w:rtl w:val="0"/>
        </w:rPr>
        <w:t xml:space="preserve">’ </w:t>
      </w:r>
      <w:r>
        <w:rPr>
          <w:rtl w:val="0"/>
        </w:rPr>
        <w:t xml:space="preserve">achievements. </w:t>
      </w:r>
    </w:p>
    <w:p>
      <w:pPr>
        <w:pStyle w:val="Body"/>
        <w:bidi w:val="0"/>
      </w:pPr>
    </w:p>
    <w:p>
      <w:pPr>
        <w:pStyle w:val="Body"/>
        <w:bidi w:val="0"/>
      </w:pPr>
    </w:p>
    <w:p>
      <w:pPr>
        <w:pStyle w:val="Body"/>
        <w:rPr>
          <w:color w:val="017000"/>
        </w:rPr>
      </w:pPr>
      <w:r>
        <w:rPr>
          <w:color w:val="017000"/>
          <w:rtl w:val="0"/>
          <w:lang w:val="en-US"/>
        </w:rPr>
        <w:t>BODY 1: Methodology + Structure</w:t>
      </w:r>
    </w:p>
    <w:p>
      <w:pPr>
        <w:pStyle w:val="Body"/>
        <w:rPr>
          <w:color w:val="017000"/>
        </w:rPr>
      </w:pPr>
    </w:p>
    <w:p>
      <w:pPr>
        <w:pStyle w:val="Body"/>
        <w:rPr>
          <w:color w:val="017000"/>
        </w:rPr>
      </w:pPr>
      <w:r>
        <w:rPr>
          <w:color w:val="017000"/>
          <w:rtl w:val="0"/>
          <w:lang w:val="en-US"/>
        </w:rPr>
        <w:t xml:space="preserve">HOSKIN: </w:t>
      </w:r>
    </w:p>
    <w:p>
      <w:pPr>
        <w:pStyle w:val="Body"/>
        <w:rPr>
          <w:color w:val="017000"/>
        </w:rPr>
      </w:pPr>
      <w:r>
        <w:rPr>
          <w:color w:val="017000"/>
          <w:rtl w:val="0"/>
        </w:rPr>
        <w:tab/>
        <w:t>methodology:</w:t>
      </w:r>
    </w:p>
    <w:p>
      <w:pPr>
        <w:pStyle w:val="Body"/>
        <w:rPr>
          <w:color w:val="017000"/>
        </w:rPr>
      </w:pPr>
    </w:p>
    <w:p>
      <w:pPr>
        <w:pStyle w:val="Body"/>
        <w:rPr>
          <w:color w:val="017000"/>
        </w:rPr>
      </w:pPr>
      <w:r>
        <w:rPr>
          <w:color w:val="017000"/>
          <w:rtl w:val="0"/>
          <w:lang w:val="en-US"/>
        </w:rPr>
        <w:t xml:space="preserve">structure: </w:t>
      </w:r>
      <w:r>
        <w:rPr>
          <w:color w:val="017000"/>
          <w:rtl w:val="0"/>
          <w:lang w:val="en-US"/>
        </w:rPr>
        <w:t>Goes from most relevant and filled out to least;</w:t>
      </w:r>
    </w:p>
    <w:p>
      <w:pPr>
        <w:pStyle w:val="Body"/>
        <w:rPr>
          <w:color w:val="017000"/>
        </w:rPr>
      </w:pPr>
    </w:p>
    <w:p>
      <w:pPr>
        <w:pStyle w:val="Body"/>
        <w:rPr>
          <w:color w:val="017000"/>
        </w:rPr>
      </w:pPr>
      <w:r>
        <w:rPr>
          <w:color w:val="017000"/>
          <w:rtl w:val="0"/>
        </w:rPr>
        <w:tab/>
        <w:t>I. Intro - geographical context; remarks on past papers, noting an extended study</w:t>
      </w:r>
      <w:r>
        <w:rPr>
          <w:color w:val="017000"/>
          <w:vertAlign w:val="superscript"/>
        </w:rPr>
        <w:footnoteReference w:id="2"/>
      </w:r>
    </w:p>
    <w:p>
      <w:pPr>
        <w:pStyle w:val="Body"/>
        <w:rPr>
          <w:color w:val="017000"/>
        </w:rPr>
      </w:pPr>
      <w:r>
        <w:rPr>
          <w:color w:val="017000"/>
          <w:rtl w:val="0"/>
        </w:rPr>
        <w:tab/>
        <w:t xml:space="preserve">Methodology + aim are presented; </w:t>
      </w:r>
    </w:p>
    <w:p>
      <w:pPr>
        <w:pStyle w:val="Body"/>
        <w:rPr>
          <w:color w:val="017000"/>
        </w:rPr>
      </w:pPr>
    </w:p>
    <w:p>
      <w:pPr>
        <w:pStyle w:val="Body"/>
        <w:rPr>
          <w:color w:val="017000"/>
        </w:rPr>
      </w:pPr>
      <w:r>
        <w:rPr>
          <w:color w:val="017000"/>
          <w:rtl w:val="0"/>
        </w:rPr>
        <w:tab/>
        <w:t xml:space="preserve">* LUCK is key in making this study possible:  </w:t>
      </w:r>
      <w:r>
        <w:rPr>
          <w:color w:val="017000"/>
          <w:vertAlign w:val="superscript"/>
        </w:rPr>
        <w:footnoteReference w:id="3"/>
      </w:r>
    </w:p>
    <w:p>
      <w:pPr>
        <w:pStyle w:val="Body"/>
        <w:rPr>
          <w:color w:val="017000"/>
        </w:rPr>
      </w:pPr>
      <w:r>
        <w:rPr>
          <w:color w:val="017000"/>
          <w:rtl w:val="0"/>
        </w:rPr>
        <w:tab/>
        <w:tab/>
        <w:t>‘</w:t>
      </w:r>
      <w:r>
        <w:rPr>
          <w:color w:val="017000"/>
          <w:rtl w:val="0"/>
          <w:lang w:val="en-US"/>
        </w:rPr>
        <w:t xml:space="preserve">Nearly everywhere the first author was fortunate to enjoy the collaboration of </w:t>
      </w:r>
      <w:r>
        <w:rPr>
          <w:color w:val="017000"/>
        </w:rPr>
        <w:tab/>
        <w:tab/>
        <w:tab/>
        <w:tab/>
      </w:r>
      <w:r>
        <w:rPr>
          <w:color w:val="017000"/>
          <w:rtl w:val="0"/>
          <w:lang w:val="en-US"/>
        </w:rPr>
        <w:t xml:space="preserve">local archaeologists, who not only took him to many tombs that would have </w:t>
      </w:r>
      <w:r>
        <w:rPr>
          <w:color w:val="017000"/>
        </w:rPr>
        <w:tab/>
        <w:tab/>
        <w:tab/>
        <w:tab/>
      </w:r>
      <w:r>
        <w:rPr>
          <w:color w:val="017000"/>
          <w:rtl w:val="0"/>
          <w:lang w:val="en-US"/>
        </w:rPr>
        <w:t xml:space="preserve">been difficult if not imposesible to locate without their help, but who participated </w:t>
      </w:r>
      <w:r>
        <w:rPr>
          <w:color w:val="017000"/>
        </w:rPr>
        <w:tab/>
        <w:tab/>
      </w:r>
      <w:r>
        <w:rPr>
          <w:color w:val="017000"/>
          <w:rtl w:val="0"/>
          <w:lang w:val="en-US"/>
        </w:rPr>
        <w:t xml:space="preserve">in the measurements and later provided for publication in this paper an outline </w:t>
      </w:r>
      <w:r>
        <w:rPr>
          <w:color w:val="017000"/>
        </w:rPr>
        <w:tab/>
        <w:tab/>
        <w:tab/>
        <w:tab/>
      </w:r>
      <w:r>
        <w:rPr>
          <w:color w:val="017000"/>
          <w:rtl w:val="0"/>
          <w:lang w:val="en-US"/>
        </w:rPr>
        <w:t>account of the archaeology of their particular region. Iberian</w:t>
      </w:r>
      <w:r>
        <w:rPr>
          <w:color w:val="017000"/>
          <w:rtl w:val="0"/>
          <w:lang w:val="en-US"/>
        </w:rPr>
        <w:t xml:space="preserve"> </w:t>
      </w:r>
      <w:r>
        <w:rPr>
          <w:color w:val="017000"/>
          <w:rtl w:val="0"/>
          <w:lang w:val="en-US"/>
        </w:rPr>
        <w:t xml:space="preserve">archaeologist have </w:t>
      </w:r>
      <w:r>
        <w:rPr>
          <w:color w:val="017000"/>
        </w:rPr>
        <w:tab/>
        <w:tab/>
        <w:tab/>
        <w:tab/>
      </w:r>
      <w:r>
        <w:rPr>
          <w:color w:val="017000"/>
          <w:rtl w:val="0"/>
          <w:lang w:val="en-US"/>
        </w:rPr>
        <w:t xml:space="preserve">thereby taken a lead in recognizing and recording the information that has been </w:t>
      </w:r>
      <w:r>
        <w:rPr>
          <w:color w:val="017000"/>
        </w:rPr>
        <w:tab/>
        <w:tab/>
        <w:tab/>
        <w:tab/>
      </w:r>
      <w:r>
        <w:rPr>
          <w:color w:val="017000"/>
          <w:rtl w:val="0"/>
          <w:lang w:val="en-US"/>
        </w:rPr>
        <w:t xml:space="preserve">preserved for us in the orientations selected by the original constructors of the </w:t>
      </w:r>
      <w:r>
        <w:rPr>
          <w:color w:val="017000"/>
        </w:rPr>
        <w:tab/>
        <w:tab/>
        <w:tab/>
        <w:tab/>
      </w:r>
      <w:r>
        <w:rPr>
          <w:color w:val="017000"/>
          <w:rtl w:val="0"/>
          <w:lang w:val="fr-FR"/>
        </w:rPr>
        <w:t>tombs</w:t>
      </w:r>
      <w:r>
        <w:rPr>
          <w:color w:val="017000"/>
          <w:rtl w:val="0"/>
          <w:lang w:val="en-US"/>
        </w:rPr>
        <w:t>’</w:t>
      </w:r>
      <w:r>
        <w:rPr>
          <w:color w:val="017000"/>
          <w:vertAlign w:val="superscript"/>
        </w:rPr>
        <w:footnoteReference w:id="4"/>
      </w:r>
    </w:p>
    <w:p>
      <w:pPr>
        <w:pStyle w:val="Body"/>
        <w:rPr>
          <w:color w:val="017000"/>
        </w:rPr>
      </w:pPr>
    </w:p>
    <w:p>
      <w:pPr>
        <w:pStyle w:val="Body"/>
        <w:rPr>
          <w:color w:val="017000"/>
        </w:rPr>
      </w:pPr>
      <w:r>
        <w:rPr>
          <w:color w:val="017000"/>
          <w:rtl w:val="0"/>
          <w:lang w:val="en-US"/>
        </w:rPr>
        <w:t xml:space="preserve">— </w:t>
      </w:r>
      <w:r>
        <w:rPr>
          <w:color w:val="017000"/>
          <w:rtl w:val="0"/>
          <w:lang w:val="en-US"/>
        </w:rPr>
        <w:t>ASSUMES TOMBS - Which Silva Then reveals could have been used for other purposes; such as Hayden-Vill</w:t>
      </w:r>
      <w:r>
        <w:rPr>
          <w:color w:val="017000"/>
          <w:rtl w:val="0"/>
          <w:lang w:val="en-US"/>
        </w:rPr>
        <w:t>’</w:t>
      </w:r>
      <w:r>
        <w:rPr>
          <w:color w:val="017000"/>
          <w:rtl w:val="0"/>
          <w:lang w:val="en-US"/>
        </w:rPr>
        <w:t xml:space="preserve">s hunter gatherer community ceremonies/celebrations </w:t>
      </w:r>
    </w:p>
    <w:p>
      <w:pPr>
        <w:pStyle w:val="Body"/>
        <w:rPr>
          <w:color w:val="017000"/>
        </w:rPr>
      </w:pPr>
    </w:p>
    <w:p>
      <w:pPr>
        <w:pStyle w:val="Body"/>
        <w:rPr>
          <w:color w:val="017000"/>
        </w:rPr>
      </w:pPr>
      <w:r>
        <w:rPr>
          <w:color w:val="017000"/>
          <w:rtl w:val="0"/>
          <w:lang w:val="en-US"/>
        </w:rPr>
        <w:t xml:space="preserve">Addresses potential issues at the top : </w:t>
      </w:r>
    </w:p>
    <w:p>
      <w:pPr>
        <w:pStyle w:val="Body"/>
        <w:rPr>
          <w:color w:val="017000"/>
        </w:rPr>
      </w:pPr>
      <w:r>
        <w:rPr>
          <w:color w:val="017000"/>
          <w:rtl w:val="0"/>
        </w:rPr>
        <w:tab/>
        <w:t>‘</w:t>
      </w:r>
      <w:r>
        <w:rPr>
          <w:color w:val="017000"/>
          <w:rtl w:val="0"/>
          <w:lang w:val="en-US"/>
        </w:rPr>
        <w:t xml:space="preserve">fortunately the very limited areas of the peninsula where the nature of the rock could </w:t>
        <w:tab/>
        <w:tab/>
        <w:tab/>
        <w:t xml:space="preserve">have affected compass readings were rarely involved in our investigations, a small zone </w:t>
        <w:tab/>
        <w:tab/>
        <w:tab/>
        <w:t xml:space="preserve">immediately west of Lisbon (Section N) posing the main threat. We were therefore able </w:t>
        <w:tab/>
        <w:tab/>
        <w:tab/>
        <w:t xml:space="preserve">to measure the orientation as usual, with an accurate </w:t>
      </w:r>
      <w:r>
        <w:rPr>
          <w:color w:val="017000"/>
          <w:rtl w:val="0"/>
          <w:lang w:val="en-US"/>
        </w:rPr>
        <w:t>‘</w:t>
      </w:r>
      <w:r>
        <w:rPr>
          <w:color w:val="017000"/>
          <w:rtl w:val="0"/>
          <w:lang w:val="en-US"/>
        </w:rPr>
        <w:t>off-shore</w:t>
      </w:r>
      <w:r>
        <w:rPr>
          <w:color w:val="017000"/>
          <w:rtl w:val="0"/>
          <w:lang w:val="en-US"/>
        </w:rPr>
        <w:t xml:space="preserve">’ </w:t>
      </w:r>
      <w:r>
        <w:rPr>
          <w:color w:val="017000"/>
          <w:rtl w:val="0"/>
          <w:lang w:val="en-US"/>
        </w:rPr>
        <w:t>mariner</w:t>
      </w:r>
      <w:r>
        <w:rPr>
          <w:color w:val="017000"/>
          <w:rtl w:val="0"/>
          <w:lang w:val="en-US"/>
        </w:rPr>
        <w:t>’</w:t>
      </w:r>
      <w:r>
        <w:rPr>
          <w:color w:val="017000"/>
          <w:rtl w:val="0"/>
          <w:lang w:val="en-US"/>
        </w:rPr>
        <w:t xml:space="preserve">s </w:t>
        <w:tab/>
        <w:tab/>
        <w:tab/>
        <w:tab/>
        <w:t>compass</w:t>
      </w:r>
      <w:r>
        <w:rPr>
          <w:color w:val="017000"/>
          <w:rtl w:val="0"/>
          <w:lang w:val="en-US"/>
        </w:rPr>
        <w:t>’</w:t>
      </w:r>
      <w:r>
        <w:rPr>
          <w:color w:val="017000"/>
          <w:vertAlign w:val="superscript"/>
        </w:rPr>
        <w:footnoteReference w:id="5"/>
      </w:r>
    </w:p>
    <w:p>
      <w:pPr>
        <w:pStyle w:val="Body"/>
        <w:bidi w:val="0"/>
      </w:pPr>
    </w:p>
    <w:p>
      <w:pPr>
        <w:pStyle w:val="Body"/>
        <w:bidi w:val="0"/>
      </w:pPr>
      <w:r>
        <w:rPr>
          <w:rtl w:val="0"/>
        </w:rPr>
        <w:tab/>
        <w:t xml:space="preserve">Almost every tomb had an entrance lying along an axis of symmetry, and therefore had </w:t>
        <w:tab/>
        <w:tab/>
        <w:tab/>
        <w:t>an orientation, which we took to be in the direction from the interior to the exterior</w:t>
      </w:r>
      <w:r>
        <w:rPr>
          <w:rFonts w:ascii="Helvetica Neue" w:cs="Helvetica Neue" w:hAnsi="Helvetica Neue" w:eastAsia="Helvetica Neue"/>
          <w:b w:val="0"/>
          <w:bCs w:val="0"/>
          <w:i w:val="0"/>
          <w:iCs w:val="0"/>
          <w:vertAlign w:val="superscript"/>
        </w:rPr>
        <w:footnoteReference w:id="6"/>
      </w:r>
    </w:p>
    <w:p>
      <w:pPr>
        <w:pStyle w:val="Body"/>
        <w:bidi w:val="0"/>
      </w:pPr>
    </w:p>
    <w:p>
      <w:pPr>
        <w:pStyle w:val="Body"/>
        <w:bidi w:val="0"/>
      </w:pPr>
    </w:p>
    <w:p>
      <w:pPr>
        <w:pStyle w:val="Body"/>
        <w:rPr>
          <w:b w:val="0"/>
          <w:bCs w:val="0"/>
        </w:rPr>
      </w:pPr>
      <w:r>
        <w:rPr>
          <w:b w:val="1"/>
          <w:bCs w:val="1"/>
          <w:color w:val="017000"/>
          <w:rtl w:val="0"/>
          <w:lang w:val="en-US"/>
        </w:rPr>
        <w:t>AIM OF PAPER:</w:t>
      </w:r>
      <w:r>
        <w:rPr>
          <w:b w:val="1"/>
          <w:bCs w:val="1"/>
          <w:rtl w:val="0"/>
          <w:lang w:val="en-US"/>
        </w:rPr>
        <w:t xml:space="preserve"> </w:t>
      </w:r>
      <w:r>
        <w:rPr>
          <w:b w:val="0"/>
          <w:bCs w:val="0"/>
          <w:rtl w:val="0"/>
          <w:lang w:val="en-US"/>
        </w:rPr>
        <w:t>‘</w:t>
      </w:r>
      <w:r>
        <w:rPr>
          <w:b w:val="0"/>
          <w:bCs w:val="0"/>
          <w:rtl w:val="0"/>
          <w:lang w:val="en-US"/>
        </w:rPr>
        <w:t>In order to keep the article within bounds, we here present the data along with the minimum of context, reserving our interpretations of orientations for a later study. It has always been the primary purpose of our fieldwork to assemble data, which Archieologists and qrchaeoastronomers will then have at their dispositions and may interpret as they see fit</w:t>
      </w:r>
      <w:r>
        <w:rPr>
          <w:b w:val="0"/>
          <w:bCs w:val="0"/>
          <w:rtl w:val="0"/>
          <w:lang w:val="en-US"/>
        </w:rPr>
        <w:t xml:space="preserve">’ </w:t>
      </w:r>
      <w:r>
        <w:rPr>
          <w:b w:val="1"/>
          <w:bCs w:val="1"/>
          <w:vertAlign w:val="superscript"/>
        </w:rPr>
        <w:footnoteReference w:id="7"/>
      </w:r>
    </w:p>
    <w:p>
      <w:pPr>
        <w:pStyle w:val="Body"/>
        <w:bidi w:val="0"/>
      </w:pPr>
    </w:p>
    <w:p>
      <w:pPr>
        <w:pStyle w:val="Body"/>
        <w:rPr>
          <w:color w:val="017000"/>
        </w:rPr>
      </w:pPr>
    </w:p>
    <w:p>
      <w:pPr>
        <w:pStyle w:val="Body"/>
        <w:rPr>
          <w:color w:val="017000"/>
        </w:rPr>
      </w:pPr>
      <w:r>
        <w:rPr>
          <w:color w:val="017000"/>
          <w:rtl w:val="0"/>
          <w:lang w:val="en-US"/>
        </w:rPr>
        <w:t xml:space="preserve">then gives information based on locale and the scholars that helped pursue study SECTIONS A-P; Hoskin gives definitions of </w:t>
      </w:r>
      <w:r>
        <w:rPr>
          <w:color w:val="017000"/>
          <w:rtl w:val="0"/>
          <w:lang w:val="en-US"/>
        </w:rPr>
        <w:t>‘</w:t>
      </w:r>
      <w:r>
        <w:rPr>
          <w:color w:val="017000"/>
          <w:rtl w:val="0"/>
          <w:lang w:val="en-US"/>
        </w:rPr>
        <w:t>dolmens</w:t>
      </w:r>
      <w:r>
        <w:rPr>
          <w:color w:val="017000"/>
          <w:rtl w:val="0"/>
          <w:lang w:val="en-US"/>
        </w:rPr>
        <w:t xml:space="preserve">’ </w:t>
      </w:r>
      <w:r>
        <w:rPr>
          <w:color w:val="017000"/>
          <w:rtl w:val="0"/>
          <w:lang w:val="en-US"/>
        </w:rPr>
        <w:t xml:space="preserve">and the variety of others within each section that they appeared </w:t>
      </w:r>
    </w:p>
    <w:p>
      <w:pPr>
        <w:pStyle w:val="Body"/>
        <w:rPr>
          <w:color w:val="017000"/>
        </w:rPr>
      </w:pPr>
    </w:p>
    <w:p>
      <w:pPr>
        <w:pStyle w:val="Body"/>
        <w:rPr>
          <w:color w:val="017000"/>
        </w:rPr>
      </w:pPr>
      <w:r>
        <w:rPr>
          <w:color w:val="017000"/>
          <w:rtl w:val="0"/>
          <w:lang w:val="en-US"/>
        </w:rPr>
        <w:t xml:space="preserve">There is no literature review; however, the goal of this paper was not to produce theoretical frameworks (nor did it engage with any) </w:t>
      </w:r>
    </w:p>
    <w:p>
      <w:pPr>
        <w:pStyle w:val="Body"/>
        <w:rPr>
          <w:color w:val="017000"/>
        </w:rPr>
      </w:pPr>
    </w:p>
    <w:p>
      <w:pPr>
        <w:pStyle w:val="Body"/>
        <w:bidi w:val="0"/>
      </w:pPr>
      <w:r>
        <w:rPr>
          <w:rtl w:val="0"/>
        </w:rPr>
        <w:t>The archaeoastronomical interpretation of these data on over four hundred tombs is reserved for future study</w:t>
      </w:r>
      <w:r>
        <w:rPr>
          <w:rFonts w:ascii="Helvetica Neue" w:cs="Helvetica Neue" w:hAnsi="Helvetica Neue" w:eastAsia="Helvetica Neue"/>
          <w:b w:val="0"/>
          <w:bCs w:val="0"/>
          <w:i w:val="0"/>
          <w:iCs w:val="0"/>
          <w:vertAlign w:val="superscript"/>
        </w:rPr>
        <w:footnoteReference w:id="8"/>
      </w:r>
    </w:p>
    <w:p>
      <w:pPr>
        <w:pStyle w:val="Body"/>
        <w:rPr>
          <w:color w:val="017000"/>
        </w:rPr>
      </w:pPr>
    </w:p>
    <w:p>
      <w:pPr>
        <w:pStyle w:val="Body"/>
        <w:rPr>
          <w:color w:val="017000"/>
        </w:rPr>
      </w:pPr>
      <w:r>
        <w:rPr>
          <w:color w:val="017000"/>
          <w:rtl w:val="0"/>
          <w:lang w:val="en-US"/>
        </w:rPr>
        <w:t xml:space="preserve">This approach is praised by Ruggles in </w:t>
      </w:r>
      <w:r>
        <w:rPr>
          <w:color w:val="017000"/>
          <w:rtl w:val="0"/>
          <w:lang w:val="en-US"/>
        </w:rPr>
        <w:t>‘</w:t>
      </w:r>
      <w:r>
        <w:rPr>
          <w:color w:val="017000"/>
          <w:rtl w:val="0"/>
          <w:lang w:val="en-US"/>
        </w:rPr>
        <w:t>Pushing Back the Frontiers</w:t>
      </w:r>
      <w:r>
        <w:rPr>
          <w:color w:val="017000"/>
          <w:rtl w:val="0"/>
          <w:lang w:val="en-US"/>
        </w:rPr>
        <w:t>’</w:t>
      </w:r>
      <w:r>
        <w:rPr>
          <w:color w:val="017000"/>
          <w:rtl w:val="0"/>
          <w:lang w:val="en-US"/>
        </w:rPr>
        <w:t xml:space="preserve">: </w:t>
      </w:r>
      <w:r>
        <w:rPr>
          <w:color w:val="017000"/>
          <w:rtl w:val="0"/>
          <w:lang w:val="en-US"/>
        </w:rPr>
        <w:t>‘</w:t>
      </w:r>
      <w:r>
        <w:rPr>
          <w:color w:val="017000"/>
          <w:rtl w:val="0"/>
          <w:lang w:val="en-US"/>
        </w:rPr>
        <w:t xml:space="preserve">Some who approach this issue from the social science end of things might well feel that there is no place in archaeoastronomy for the sort of </w:t>
      </w:r>
      <w:r>
        <w:rPr>
          <w:color w:val="017000"/>
          <w:rtl w:val="0"/>
          <w:lang w:val="en-US"/>
        </w:rPr>
        <w:t>‘</w:t>
      </w:r>
      <w:r>
        <w:rPr>
          <w:color w:val="017000"/>
          <w:rtl w:val="0"/>
          <w:lang w:val="en-US"/>
        </w:rPr>
        <w:t>data-driven</w:t>
      </w:r>
      <w:r>
        <w:rPr>
          <w:color w:val="017000"/>
          <w:rtl w:val="0"/>
          <w:lang w:val="en-US"/>
        </w:rPr>
        <w:t xml:space="preserve">’ </w:t>
      </w:r>
      <w:r>
        <w:rPr>
          <w:color w:val="017000"/>
          <w:rtl w:val="0"/>
          <w:lang w:val="en-US"/>
        </w:rPr>
        <w:t>approach of Hoskin in analyzing the principle orientations of over 3000 later prehistoric tombs and temples in western Mediterranean Europe. The success of Hoskin</w:t>
      </w:r>
      <w:r>
        <w:rPr>
          <w:color w:val="017000"/>
          <w:rtl w:val="0"/>
          <w:lang w:val="en-US"/>
        </w:rPr>
        <w:t>’</w:t>
      </w:r>
      <w:r>
        <w:rPr>
          <w:color w:val="017000"/>
          <w:rtl w:val="0"/>
          <w:lang w:val="en-US"/>
        </w:rPr>
        <w:t>s work is undeniable in persuading many European archaep;pgists that orientation was indeed an important design consideration and that it most cases it had a broad connection with the sun, moon, or stars</w:t>
      </w:r>
      <w:r>
        <w:rPr>
          <w:color w:val="017000"/>
          <w:rtl w:val="0"/>
          <w:lang w:val="en-US"/>
        </w:rPr>
        <w:t>’</w:t>
      </w:r>
      <w:r>
        <w:rPr>
          <w:color w:val="017000"/>
          <w:vertAlign w:val="superscript"/>
        </w:rPr>
        <w:footnoteReference w:id="9"/>
      </w:r>
    </w:p>
    <w:p>
      <w:pPr>
        <w:pStyle w:val="Body"/>
        <w:rPr>
          <w:color w:val="017000"/>
        </w:rPr>
      </w:pPr>
    </w:p>
    <w:p>
      <w:pPr>
        <w:pStyle w:val="Body"/>
        <w:rPr>
          <w:color w:val="017000"/>
        </w:rPr>
      </w:pPr>
    </w:p>
    <w:p>
      <w:pPr>
        <w:pStyle w:val="Body"/>
        <w:rPr>
          <w:color w:val="017000"/>
        </w:rPr>
      </w:pPr>
      <w:r>
        <w:rPr>
          <w:color w:val="017000"/>
          <w:rtl w:val="0"/>
          <w:lang w:val="en-US"/>
        </w:rPr>
        <w:t>——————————————————————————————————————————</w:t>
      </w:r>
      <w:r>
        <w:rPr>
          <w:color w:val="017000"/>
          <w:rtl w:val="0"/>
          <w:lang w:val="en-US"/>
        </w:rPr>
        <w:t>-</w:t>
      </w:r>
    </w:p>
    <w:p>
      <w:pPr>
        <w:pStyle w:val="Body"/>
        <w:rPr>
          <w:color w:val="017000"/>
        </w:rPr>
      </w:pPr>
      <w:r>
        <w:rPr>
          <w:color w:val="017000"/>
          <w:rtl w:val="0"/>
          <w:lang w:val="en-US"/>
        </w:rPr>
        <w:t>SILVA: methodology</w:t>
      </w:r>
    </w:p>
    <w:p>
      <w:pPr>
        <w:pStyle w:val="Body"/>
        <w:rPr>
          <w:color w:val="017000"/>
        </w:rPr>
      </w:pPr>
      <w:r>
        <w:rPr>
          <w:color w:val="017000"/>
        </w:rPr>
        <w:tab/>
      </w:r>
    </w:p>
    <w:p>
      <w:pPr>
        <w:pStyle w:val="Body"/>
        <w:bidi w:val="0"/>
      </w:pPr>
      <w:r>
        <w:rPr>
          <w:rtl w:val="0"/>
        </w:rPr>
        <w:tab/>
        <w:t xml:space="preserve">The exploration of the skyscape complements that of the landscape and provides </w:t>
        <w:tab/>
        <w:tab/>
        <w:tab/>
        <w:t xml:space="preserve">further insights into not just the ideologies and cosmologies of past societies, but also </w:t>
        <w:tab/>
        <w:tab/>
        <w:tab/>
        <w:t xml:space="preserve">into their rituals and activities. This holistic approach to megaliths falls under what </w:t>
        <w:tab/>
        <w:tab/>
        <w:tab/>
        <w:t xml:space="preserve">Darvill named a </w:t>
      </w:r>
      <w:r>
        <w:rPr>
          <w:rtl w:val="0"/>
        </w:rPr>
        <w:t>‘</w:t>
      </w:r>
      <w:r>
        <w:rPr>
          <w:rtl w:val="0"/>
        </w:rPr>
        <w:t>time-space-action</w:t>
      </w:r>
      <w:r>
        <w:rPr>
          <w:rtl w:val="0"/>
        </w:rPr>
        <w:t xml:space="preserve">’ </w:t>
      </w:r>
      <w:r>
        <w:rPr>
          <w:rtl w:val="0"/>
        </w:rPr>
        <w:t xml:space="preserve">model </w:t>
      </w:r>
      <w:r>
        <w:rPr>
          <w:rFonts w:ascii="Helvetica Neue" w:cs="Helvetica Neue" w:hAnsi="Helvetica Neue" w:eastAsia="Helvetica Neue"/>
          <w:b w:val="0"/>
          <w:bCs w:val="0"/>
          <w:i w:val="0"/>
          <w:iCs w:val="0"/>
          <w:vertAlign w:val="superscript"/>
        </w:rPr>
        <w:footnoteReference w:id="10"/>
      </w:r>
    </w:p>
    <w:p>
      <w:pPr>
        <w:pStyle w:val="Body"/>
        <w:numPr>
          <w:ilvl w:val="3"/>
          <w:numId w:val="2"/>
        </w:numPr>
        <w:bidi w:val="0"/>
      </w:pPr>
      <w:r>
        <w:rPr>
          <w:rtl w:val="0"/>
        </w:rPr>
        <w:t xml:space="preserve">The location and orientation of Neolithic dolmens of the mondego platform using a methodology that borrows and integrates elements from landscape archaeology and archaeoastronomy </w:t>
      </w:r>
      <w:r>
        <w:rPr>
          <w:rFonts w:ascii="Helvetica Neue" w:cs="Helvetica Neue" w:hAnsi="Helvetica Neue" w:eastAsia="Helvetica Neue"/>
          <w:b w:val="0"/>
          <w:bCs w:val="0"/>
          <w:i w:val="0"/>
          <w:iCs w:val="0"/>
          <w:vertAlign w:val="superscript"/>
        </w:rPr>
        <w:footnoteReference w:id="11"/>
      </w:r>
    </w:p>
    <w:p>
      <w:pPr>
        <w:pStyle w:val="Body"/>
        <w:rPr>
          <w:color w:val="017000"/>
        </w:rPr>
      </w:pPr>
    </w:p>
    <w:p>
      <w:pPr>
        <w:pStyle w:val="Body"/>
        <w:rPr>
          <w:color w:val="017000"/>
        </w:rPr>
      </w:pPr>
      <w:r>
        <w:rPr>
          <w:color w:val="017000"/>
          <w:rtl w:val="0"/>
          <w:lang w:val="en-US"/>
        </w:rPr>
        <w:t>Structure:</w:t>
      </w:r>
    </w:p>
    <w:p>
      <w:pPr>
        <w:pStyle w:val="Body"/>
        <w:rPr>
          <w:color w:val="017000"/>
        </w:rPr>
      </w:pPr>
      <w:r>
        <w:rPr>
          <w:color w:val="017000"/>
          <w:rtl w:val="0"/>
        </w:rPr>
        <w:tab/>
        <w:t xml:space="preserve">I. Identifies location/bounds of review </w:t>
      </w:r>
    </w:p>
    <w:p>
      <w:pPr>
        <w:pStyle w:val="Body"/>
        <w:rPr>
          <w:color w:val="017000"/>
        </w:rPr>
      </w:pPr>
      <w:r>
        <w:rPr>
          <w:color w:val="017000"/>
          <w:rtl w:val="0"/>
        </w:rPr>
        <w:tab/>
        <w:t xml:space="preserve">Looking for areas with proof of humans (central massif) </w:t>
      </w:r>
    </w:p>
    <w:p>
      <w:pPr>
        <w:pStyle w:val="Body"/>
        <w:rPr>
          <w:color w:val="017000"/>
        </w:rPr>
      </w:pPr>
      <w:r>
        <w:rPr>
          <w:color w:val="017000"/>
          <w:rtl w:val="0"/>
        </w:rPr>
        <w:tab/>
        <w:t xml:space="preserve">Defines dolmens and tumulus from the start; identifies the nebulous nature for their </w:t>
        <w:tab/>
        <w:tab/>
        <w:tab/>
        <w:tab/>
        <w:t>existence</w:t>
      </w:r>
    </w:p>
    <w:p>
      <w:pPr>
        <w:pStyle w:val="Body"/>
        <w:rPr>
          <w:color w:val="017000"/>
        </w:rPr>
      </w:pPr>
    </w:p>
    <w:p>
      <w:pPr>
        <w:pStyle w:val="Body"/>
        <w:rPr>
          <w:color w:val="017000"/>
        </w:rPr>
      </w:pPr>
      <w:r>
        <w:rPr>
          <w:color w:val="017000"/>
          <w:rtl w:val="0"/>
        </w:rPr>
        <w:tab/>
        <w:t>II: gives context/related studies</w:t>
      </w:r>
    </w:p>
    <w:p>
      <w:pPr>
        <w:pStyle w:val="Body"/>
        <w:rPr>
          <w:color w:val="017000"/>
        </w:rPr>
      </w:pPr>
      <w:r>
        <w:rPr>
          <w:color w:val="017000"/>
          <w:rtl w:val="0"/>
        </w:rPr>
        <w:tab/>
        <w:t>re: passage graves, dolmens, other megaliths</w:t>
      </w:r>
    </w:p>
    <w:p>
      <w:pPr>
        <w:pStyle w:val="Body"/>
        <w:rPr>
          <w:color w:val="017000"/>
        </w:rPr>
      </w:pPr>
      <w:r>
        <w:rPr>
          <w:color w:val="017000"/>
          <w:rtl w:val="0"/>
        </w:rPr>
        <w:tab/>
        <w:t>identifies framework theory: time-space-action</w:t>
      </w:r>
    </w:p>
    <w:p>
      <w:pPr>
        <w:pStyle w:val="Body"/>
        <w:rPr>
          <w:color w:val="017000"/>
        </w:rPr>
      </w:pPr>
    </w:p>
    <w:p>
      <w:pPr>
        <w:pStyle w:val="Body"/>
        <w:rPr>
          <w:color w:val="017000"/>
        </w:rPr>
      </w:pPr>
      <w:r>
        <w:rPr>
          <w:color w:val="017000"/>
          <w:rtl w:val="0"/>
        </w:rPr>
        <w:tab/>
        <w:t xml:space="preserve">III: History of Neolothic Central Portugal; further anthropological research serves as his </w:t>
        <w:tab/>
        <w:tab/>
        <w:tab/>
        <w:t xml:space="preserve">literature review </w:t>
      </w:r>
    </w:p>
    <w:p>
      <w:pPr>
        <w:pStyle w:val="Body"/>
        <w:rPr>
          <w:color w:val="017000"/>
        </w:rPr>
      </w:pPr>
    </w:p>
    <w:p>
      <w:pPr>
        <w:pStyle w:val="Body"/>
        <w:bidi w:val="0"/>
      </w:pPr>
      <w:r>
        <w:rPr>
          <w:rtl w:val="0"/>
        </w:rPr>
        <w:t>Reason for Time-space-action:</w:t>
      </w:r>
    </w:p>
    <w:p>
      <w:pPr>
        <w:pStyle w:val="Body"/>
        <w:rPr>
          <w:color w:val="017000"/>
        </w:rPr>
      </w:pPr>
      <w:r>
        <w:rPr>
          <w:color w:val="017000"/>
          <w:rtl w:val="0"/>
        </w:rPr>
        <w:tab/>
        <w:t xml:space="preserve">IV: Monumentalization of Landscape; </w:t>
      </w:r>
    </w:p>
    <w:p>
      <w:pPr>
        <w:pStyle w:val="Body"/>
        <w:rPr>
          <w:color w:val="017000"/>
        </w:rPr>
      </w:pPr>
      <w:r>
        <w:rPr>
          <w:color w:val="017000"/>
          <w:rtl w:val="0"/>
        </w:rPr>
        <w:tab/>
        <w:t xml:space="preserve">artefacts as anthropoloy; cruz and senna-martinez finding economic and seasonal </w:t>
        <w:tab/>
        <w:tab/>
        <w:tab/>
        <w:t xml:space="preserve">models to give a narrative to the movements of the neolithic peoples occupying the </w:t>
        <w:tab/>
        <w:tab/>
        <w:tab/>
        <w:t xml:space="preserve">surveyed land. </w:t>
      </w:r>
    </w:p>
    <w:p>
      <w:pPr>
        <w:pStyle w:val="Body"/>
        <w:rPr>
          <w:color w:val="017000"/>
        </w:rPr>
      </w:pPr>
    </w:p>
    <w:p>
      <w:pPr>
        <w:pStyle w:val="Body"/>
        <w:rPr>
          <w:color w:val="017000"/>
        </w:rPr>
      </w:pPr>
      <w:r>
        <w:rPr>
          <w:color w:val="017000"/>
          <w:rtl w:val="0"/>
        </w:rPr>
        <w:tab/>
        <w:t xml:space="preserve">V. Megalithic Astronomy of the Region </w:t>
      </w:r>
    </w:p>
    <w:p>
      <w:pPr>
        <w:pStyle w:val="Body"/>
        <w:rPr>
          <w:color w:val="017000"/>
        </w:rPr>
      </w:pPr>
      <w:r>
        <w:rPr>
          <w:color w:val="017000"/>
          <w:rtl w:val="0"/>
        </w:rPr>
        <w:tab/>
        <w:t>Compares his section to Hoskin</w:t>
      </w:r>
      <w:r>
        <w:rPr>
          <w:color w:val="017000"/>
          <w:rtl w:val="0"/>
          <w:lang w:val="en-US"/>
        </w:rPr>
        <w:t>’</w:t>
      </w:r>
      <w:r>
        <w:rPr>
          <w:color w:val="017000"/>
          <w:rtl w:val="0"/>
          <w:lang w:val="en-US"/>
        </w:rPr>
        <w:t>s survey; analysis of hoskin</w:t>
      </w:r>
      <w:r>
        <w:rPr>
          <w:color w:val="017000"/>
          <w:rtl w:val="0"/>
          <w:lang w:val="en-US"/>
        </w:rPr>
        <w:t>’</w:t>
      </w:r>
      <w:r>
        <w:rPr>
          <w:color w:val="017000"/>
          <w:rtl w:val="0"/>
          <w:lang w:val="en-US"/>
        </w:rPr>
        <w:t>s work in this area</w:t>
      </w:r>
    </w:p>
    <w:p>
      <w:pPr>
        <w:pStyle w:val="Body"/>
        <w:rPr>
          <w:color w:val="017000"/>
        </w:rPr>
      </w:pPr>
      <w:r>
        <w:rPr>
          <w:color w:val="017000"/>
          <w:rtl w:val="0"/>
        </w:rPr>
        <w:tab/>
        <w:t>‘</w:t>
      </w:r>
      <w:r>
        <w:rPr>
          <w:color w:val="017000"/>
          <w:rtl w:val="0"/>
          <w:lang w:val="en-US"/>
        </w:rPr>
        <w:t>Obvious orientation</w:t>
      </w:r>
      <w:r>
        <w:rPr>
          <w:color w:val="017000"/>
          <w:rtl w:val="0"/>
          <w:lang w:val="en-US"/>
        </w:rPr>
        <w:t xml:space="preserve">’ </w:t>
      </w:r>
    </w:p>
    <w:p>
      <w:pPr>
        <w:pStyle w:val="Body"/>
        <w:rPr>
          <w:color w:val="017000"/>
        </w:rPr>
      </w:pPr>
    </w:p>
    <w:p>
      <w:pPr>
        <w:pStyle w:val="Body"/>
        <w:bidi w:val="0"/>
      </w:pPr>
      <w:r>
        <w:rPr>
          <w:rtl w:val="0"/>
        </w:rPr>
        <w:t xml:space="preserve">Megalithic archaeoastronomy </w:t>
      </w:r>
    </w:p>
    <w:p>
      <w:pPr>
        <w:pStyle w:val="Body"/>
        <w:bidi w:val="0"/>
      </w:pPr>
    </w:p>
    <w:p>
      <w:pPr>
        <w:pStyle w:val="Body"/>
        <w:bidi w:val="0"/>
      </w:pPr>
      <w:r>
        <w:rPr>
          <w:rtl w:val="0"/>
        </w:rPr>
        <w:t>The seasonal model found further support from the archaeoastronomical analysis of the orientation of the entrance of the dolmens conducted by Hoskin, as part of his larger mediterranean survey</w:t>
      </w:r>
      <w:r>
        <w:rPr>
          <w:rFonts w:ascii="Helvetica Neue" w:cs="Helvetica Neue" w:hAnsi="Helvetica Neue" w:eastAsia="Helvetica Neue"/>
          <w:b w:val="0"/>
          <w:bCs w:val="0"/>
          <w:i w:val="0"/>
          <w:iCs w:val="0"/>
          <w:vertAlign w:val="superscript"/>
        </w:rPr>
        <w:footnoteReference w:id="12"/>
      </w:r>
    </w:p>
    <w:p>
      <w:pPr>
        <w:pStyle w:val="Body"/>
        <w:bidi w:val="0"/>
      </w:pPr>
    </w:p>
    <w:p>
      <w:pPr>
        <w:pStyle w:val="Body"/>
        <w:bidi w:val="0"/>
      </w:pPr>
      <w:r>
        <w:rPr>
          <w:rtl w:val="0"/>
        </w:rPr>
        <w:t>Silva describes Hoskin</w:t>
      </w:r>
      <w:r>
        <w:rPr>
          <w:rtl w:val="0"/>
        </w:rPr>
        <w:t>’</w:t>
      </w:r>
      <w:r>
        <w:rPr>
          <w:rtl w:val="0"/>
        </w:rPr>
        <w:t xml:space="preserve">s methodology and finds that </w:t>
      </w:r>
      <w:r>
        <w:rPr>
          <w:rtl w:val="0"/>
        </w:rPr>
        <w:t>‘</w:t>
      </w:r>
      <w:r>
        <w:rPr>
          <w:rtl w:val="0"/>
        </w:rPr>
        <w:t>Hoskin was unable to find a distinct pattern that applied to all dolmens: they all seemed to have different orientations, although within a given azimuthal range</w:t>
      </w:r>
      <w:r>
        <w:rPr>
          <w:rtl w:val="0"/>
        </w:rPr>
        <w:t>’</w:t>
      </w:r>
      <w:r>
        <w:rPr>
          <w:rFonts w:ascii="Helvetica Neue" w:cs="Helvetica Neue" w:hAnsi="Helvetica Neue" w:eastAsia="Helvetica Neue"/>
          <w:b w:val="0"/>
          <w:bCs w:val="0"/>
          <w:i w:val="0"/>
          <w:iCs w:val="0"/>
          <w:vertAlign w:val="superscript"/>
        </w:rPr>
        <w:footnoteReference w:id="13"/>
      </w:r>
      <w:r>
        <w:rPr>
          <w:rtl w:val="0"/>
        </w:rPr>
        <w:t xml:space="preserve"> </w:t>
      </w:r>
    </w:p>
    <w:p>
      <w:pPr>
        <w:pStyle w:val="Body"/>
        <w:bidi w:val="0"/>
      </w:pPr>
    </w:p>
    <w:p>
      <w:pPr>
        <w:pStyle w:val="Body"/>
        <w:bidi w:val="0"/>
      </w:pPr>
      <w:r>
        <w:rPr>
          <w:rtl w:val="0"/>
        </w:rPr>
        <w:t>The goal was not only to expand on the number of sites surveyed by Hoskin, by including newly excavated sites, but also to extend the employed methodology</w:t>
      </w:r>
      <w:r>
        <w:rPr>
          <w:rFonts w:ascii="Helvetica Neue" w:cs="Helvetica Neue" w:hAnsi="Helvetica Neue" w:eastAsia="Helvetica Neue"/>
          <w:b w:val="0"/>
          <w:bCs w:val="0"/>
          <w:i w:val="0"/>
          <w:iCs w:val="0"/>
          <w:vertAlign w:val="superscript"/>
        </w:rPr>
        <w:footnoteReference w:id="14"/>
      </w:r>
    </w:p>
    <w:p>
      <w:pPr>
        <w:pStyle w:val="Body"/>
        <w:bidi w:val="0"/>
      </w:pPr>
    </w:p>
    <w:p>
      <w:pPr>
        <w:pStyle w:val="Body"/>
        <w:bidi w:val="0"/>
      </w:pPr>
      <w:r>
        <w:rPr>
          <w:rtl w:val="0"/>
        </w:rPr>
        <w:t>SILVA</w:t>
      </w:r>
      <w:r>
        <w:rPr>
          <w:rtl w:val="0"/>
        </w:rPr>
        <w:t>’</w:t>
      </w:r>
      <w:r>
        <w:rPr>
          <w:rtl w:val="0"/>
        </w:rPr>
        <w:t xml:space="preserve">S measurements: </w:t>
      </w:r>
      <w:r>
        <w:rPr>
          <w:rtl w:val="0"/>
        </w:rPr>
        <w:t>‘</w:t>
      </w:r>
      <w:r>
        <w:rPr>
          <w:rtl w:val="0"/>
        </w:rPr>
        <w:t xml:space="preserve">a general orientation was measured, similar to how Hoskin defined; a measure of </w:t>
      </w:r>
      <w:r>
        <w:rPr>
          <w:rtl w:val="0"/>
        </w:rPr>
        <w:t>‘</w:t>
      </w:r>
      <w:r>
        <w:rPr>
          <w:rtl w:val="0"/>
        </w:rPr>
        <w:t>the window of visibility</w:t>
      </w:r>
      <w:r>
        <w:rPr>
          <w:rtl w:val="0"/>
        </w:rPr>
        <w:t xml:space="preserve">’ … </w:t>
      </w:r>
      <w:r>
        <w:rPr>
          <w:rtl w:val="0"/>
        </w:rPr>
        <w:t>defined as the maximum extent of the horizon which, given the dolmen</w:t>
      </w:r>
      <w:r>
        <w:rPr>
          <w:rtl w:val="0"/>
        </w:rPr>
        <w:t>’</w:t>
      </w:r>
      <w:r>
        <w:rPr>
          <w:rtl w:val="0"/>
        </w:rPr>
        <w:t>s corridor and entrance geometry, can be seen from the chamber</w:t>
      </w:r>
      <w:r>
        <w:rPr>
          <w:rtl w:val="0"/>
        </w:rPr>
        <w:t xml:space="preserve">’ </w:t>
      </w:r>
      <w:r>
        <w:rPr>
          <w:rtl w:val="0"/>
        </w:rPr>
        <w:t xml:space="preserve">(124). </w:t>
      </w:r>
    </w:p>
    <w:p>
      <w:pPr>
        <w:pStyle w:val="Body"/>
        <w:bidi w:val="0"/>
      </w:pPr>
    </w:p>
    <w:p>
      <w:pPr>
        <w:pStyle w:val="Body"/>
        <w:bidi w:val="0"/>
      </w:pPr>
      <w:r>
        <w:rPr>
          <w:b w:val="1"/>
          <w:bCs w:val="1"/>
          <w:color w:val="017000"/>
          <w:rtl w:val="0"/>
          <w:lang w:val="en-US"/>
        </w:rPr>
        <w:t xml:space="preserve">AIM OF THE PAPER: </w:t>
      </w:r>
      <w:r>
        <w:rPr>
          <w:rtl w:val="0"/>
        </w:rPr>
        <w:t>’</w:t>
      </w:r>
      <w:r>
        <w:rPr>
          <w:rtl w:val="0"/>
        </w:rPr>
        <w:t xml:space="preserve">The methodology developed in the course of this project provides a </w:t>
        <w:tab/>
        <w:tab/>
        <w:tab/>
        <w:t xml:space="preserve">more phenomenological approach to archaeoastronomy, allowing the portion of the </w:t>
        <w:tab/>
        <w:tab/>
        <w:tab/>
        <w:t xml:space="preserve">horizon that is visited from within the chamber to speak for itself. When employed, </w:t>
        <w:tab/>
        <w:tab/>
        <w:tab/>
        <w:t xml:space="preserve">patterns not observable in the milieu of possible statistical analyses were brought to the </w:t>
        <w:tab/>
        <w:t>fore, particularly when looking at archaeologically significant scales</w:t>
      </w:r>
      <w:r>
        <w:rPr>
          <w:rtl w:val="0"/>
        </w:rPr>
        <w:t>’</w:t>
      </w:r>
      <w:r>
        <w:rPr>
          <w:rFonts w:ascii="Helvetica Neue" w:cs="Helvetica Neue" w:hAnsi="Helvetica Neue" w:eastAsia="Helvetica Neue"/>
          <w:b w:val="0"/>
          <w:bCs w:val="0"/>
          <w:i w:val="0"/>
          <w:iCs w:val="0"/>
          <w:vertAlign w:val="superscript"/>
        </w:rPr>
        <w:footnoteReference w:id="15"/>
      </w:r>
    </w:p>
    <w:p>
      <w:pPr>
        <w:pStyle w:val="Body"/>
        <w:bidi w:val="0"/>
      </w:pPr>
    </w:p>
    <w:p>
      <w:pPr>
        <w:pStyle w:val="Body"/>
        <w:rPr>
          <w:color w:val="017000"/>
        </w:rPr>
      </w:pPr>
    </w:p>
    <w:p>
      <w:pPr>
        <w:pStyle w:val="Body"/>
        <w:rPr>
          <w:color w:val="017000"/>
        </w:rPr>
      </w:pPr>
      <w:r>
        <w:rPr>
          <w:color w:val="017000"/>
          <w:rtl w:val="0"/>
        </w:rPr>
        <w:tab/>
        <w:t xml:space="preserve">VI. Carregal do Sal </w:t>
      </w:r>
    </w:p>
    <w:p>
      <w:pPr>
        <w:pStyle w:val="Body"/>
        <w:rPr>
          <w:color w:val="017000"/>
        </w:rPr>
      </w:pPr>
      <w:r>
        <w:rPr>
          <w:color w:val="017000"/>
          <w:rtl w:val="0"/>
        </w:rPr>
        <w:tab/>
        <w:t xml:space="preserve">Another location; continuity re: dolmen use and construction </w:t>
      </w:r>
    </w:p>
    <w:p>
      <w:pPr>
        <w:pStyle w:val="Body"/>
        <w:rPr>
          <w:color w:val="017000"/>
        </w:rPr>
      </w:pPr>
    </w:p>
    <w:p>
      <w:pPr>
        <w:pStyle w:val="Body"/>
        <w:rPr>
          <w:color w:val="017000"/>
        </w:rPr>
      </w:pPr>
      <w:r>
        <w:rPr>
          <w:color w:val="017000"/>
          <w:rtl w:val="0"/>
        </w:rPr>
        <w:tab/>
        <w:t xml:space="preserve">VII. Dolmenic Landscapes </w:t>
      </w:r>
    </w:p>
    <w:p>
      <w:pPr>
        <w:pStyle w:val="Body"/>
        <w:numPr>
          <w:ilvl w:val="3"/>
          <w:numId w:val="4"/>
        </w:numPr>
        <w:rPr>
          <w:color w:val="017000"/>
          <w:lang w:val="en-US"/>
        </w:rPr>
      </w:pPr>
      <w:r>
        <w:rPr>
          <w:color w:val="017000"/>
          <w:rtl w:val="0"/>
          <w:lang w:val="en-US"/>
        </w:rPr>
        <w:t>reveals what the landscape would have appeared in the past</w:t>
      </w:r>
      <w:r>
        <w:rPr>
          <w:color w:val="017000"/>
          <w:vertAlign w:val="superscript"/>
        </w:rPr>
        <w:footnoteReference w:id="16"/>
      </w:r>
      <w:r>
        <w:rPr>
          <w:color w:val="017000"/>
          <w:rtl w:val="0"/>
          <w:lang w:val="en-US"/>
        </w:rPr>
        <w:t xml:space="preserve">; companion w/ mondego; manmade and natural markers as seasonal anchors </w:t>
      </w:r>
    </w:p>
    <w:p>
      <w:pPr>
        <w:pStyle w:val="Body"/>
        <w:rPr>
          <w:color w:val="017000"/>
        </w:rPr>
      </w:pPr>
    </w:p>
    <w:p>
      <w:pPr>
        <w:pStyle w:val="Body"/>
        <w:rPr>
          <w:color w:val="017000"/>
        </w:rPr>
      </w:pPr>
      <w:r>
        <w:rPr>
          <w:color w:val="017000"/>
          <w:rtl w:val="0"/>
        </w:rPr>
        <w:tab/>
        <w:t xml:space="preserve">VIII. Megalithic Skyscapes </w:t>
      </w:r>
    </w:p>
    <w:p>
      <w:pPr>
        <w:pStyle w:val="Body"/>
        <w:rPr>
          <w:color w:val="017000"/>
        </w:rPr>
      </w:pPr>
      <w:r>
        <w:rPr>
          <w:color w:val="017000"/>
          <w:rtl w:val="0"/>
        </w:rPr>
        <w:tab/>
        <w:tab/>
        <w:t xml:space="preserve">DEPARTS from landscape archaeology here; </w:t>
      </w:r>
    </w:p>
    <w:p>
      <w:pPr>
        <w:pStyle w:val="Body"/>
        <w:rPr>
          <w:color w:val="017000"/>
        </w:rPr>
      </w:pPr>
      <w:r>
        <w:rPr>
          <w:color w:val="017000"/>
          <w:rtl w:val="0"/>
        </w:rPr>
        <w:tab/>
        <w:tab/>
        <w:t xml:space="preserve">Posits own 2 theory of star aldebran on basis of </w:t>
      </w:r>
      <w:r>
        <w:rPr>
          <w:color w:val="017000"/>
          <w:rtl w:val="0"/>
          <w:lang w:val="en-US"/>
        </w:rPr>
        <w:t>‘</w:t>
      </w:r>
      <w:r>
        <w:rPr>
          <w:color w:val="017000"/>
          <w:rtl w:val="0"/>
          <w:lang w:val="en-US"/>
        </w:rPr>
        <w:t>obvious orientation</w:t>
      </w:r>
      <w:r>
        <w:rPr>
          <w:color w:val="017000"/>
          <w:rtl w:val="0"/>
          <w:lang w:val="en-US"/>
        </w:rPr>
        <w:t xml:space="preserve">’ </w:t>
      </w:r>
    </w:p>
    <w:p>
      <w:pPr>
        <w:pStyle w:val="Body"/>
        <w:rPr>
          <w:color w:val="017000"/>
        </w:rPr>
      </w:pPr>
      <w:r>
        <w:rPr>
          <w:color w:val="017000"/>
          <w:rtl w:val="0"/>
        </w:rPr>
        <w:tab/>
        <w:tab/>
        <w:tab/>
        <w:t xml:space="preserve">If one of the many directions in this range was of astronomical </w:t>
        <w:tab/>
        <w:tab/>
        <w:tab/>
        <w:tab/>
        <w:tab/>
        <w:tab/>
        <w:t xml:space="preserve">importance to the dolmen builders then one would expect this direction </w:t>
        <w:tab/>
        <w:tab/>
        <w:tab/>
        <w:tab/>
        <w:tab/>
        <w:t>to be visible from within all dolmen chambers</w:t>
      </w:r>
      <w:r>
        <w:rPr>
          <w:color w:val="017000"/>
          <w:rtl w:val="0"/>
          <w:lang w:val="en-US"/>
        </w:rPr>
        <w:t xml:space="preserve">… </w:t>
      </w:r>
      <w:r>
        <w:rPr>
          <w:color w:val="017000"/>
          <w:rtl w:val="0"/>
          <w:lang w:val="en-US"/>
        </w:rPr>
        <w:t xml:space="preserve">a pattern should emerge </w:t>
        <w:tab/>
        <w:tab/>
        <w:tab/>
        <w:tab/>
        <w:tab/>
        <w:t xml:space="preserve">from the study of the </w:t>
        <w:tab/>
        <w:t>horizon</w:t>
      </w:r>
      <w:r>
        <w:rPr>
          <w:color w:val="017000"/>
          <w:vertAlign w:val="superscript"/>
        </w:rPr>
        <w:footnoteReference w:id="17"/>
      </w:r>
    </w:p>
    <w:p>
      <w:pPr>
        <w:pStyle w:val="Body"/>
        <w:rPr>
          <w:color w:val="017000"/>
        </w:rPr>
      </w:pPr>
      <w:r>
        <w:rPr>
          <w:color w:val="017000"/>
          <w:rtl w:val="0"/>
        </w:rPr>
        <w:tab/>
        <w:tab/>
        <w:tab/>
        <w:t xml:space="preserve">At the time of dolmen construction, circa 4,300-3,700 BCE, Aldebaran </w:t>
        <w:tab/>
        <w:tab/>
        <w:tab/>
        <w:tab/>
        <w:tab/>
        <w:t xml:space="preserve">would have risen exactly within the band of the horizon that is visible </w:t>
        <w:tab/>
        <w:tab/>
        <w:tab/>
        <w:tab/>
        <w:tab/>
        <w:t>from within all corridor dolmens</w:t>
      </w:r>
      <w:r>
        <w:rPr>
          <w:color w:val="017000"/>
          <w:vertAlign w:val="superscript"/>
        </w:rPr>
        <w:footnoteReference w:id="18"/>
      </w:r>
    </w:p>
    <w:p>
      <w:pPr>
        <w:pStyle w:val="Body"/>
        <w:rPr>
          <w:color w:val="017000"/>
        </w:rPr>
      </w:pPr>
    </w:p>
    <w:p>
      <w:pPr>
        <w:pStyle w:val="Body"/>
        <w:rPr>
          <w:color w:val="017000"/>
        </w:rPr>
      </w:pPr>
      <w:r>
        <w:rPr>
          <w:color w:val="017000"/>
          <w:rtl w:val="0"/>
        </w:rPr>
        <w:tab/>
        <w:t xml:space="preserve">IX. Investigates the role of ALDEBARAN in neolithic cosmology </w:t>
      </w:r>
      <w:r>
        <w:rPr>
          <w:color w:val="017000"/>
          <w:rtl w:val="0"/>
          <w:lang w:val="en-US"/>
        </w:rPr>
        <w:t xml:space="preserve">— </w:t>
      </w:r>
      <w:r>
        <w:rPr>
          <w:color w:val="017000"/>
          <w:rtl w:val="0"/>
          <w:lang w:val="en-US"/>
        </w:rPr>
        <w:t xml:space="preserve">Return to </w:t>
        <w:tab/>
        <w:tab/>
        <w:tab/>
        <w:tab/>
        <w:tab/>
        <w:t xml:space="preserve">ethnography </w:t>
      </w:r>
    </w:p>
    <w:p>
      <w:pPr>
        <w:pStyle w:val="Body"/>
        <w:rPr>
          <w:color w:val="017000"/>
        </w:rPr>
      </w:pPr>
    </w:p>
    <w:p>
      <w:pPr>
        <w:pStyle w:val="Body"/>
        <w:rPr>
          <w:color w:val="017000"/>
        </w:rPr>
      </w:pPr>
      <w:r>
        <w:rPr>
          <w:color w:val="017000"/>
          <w:rtl w:val="0"/>
          <w:lang w:val="en-US"/>
        </w:rPr>
        <w:t xml:space="preserve">Addresses issues closer to the end; as there are theoretical considerations and potentials </w:t>
      </w:r>
    </w:p>
    <w:p>
      <w:pPr>
        <w:pStyle w:val="Body"/>
        <w:rPr>
          <w:color w:val="017000"/>
        </w:rPr>
      </w:pPr>
    </w:p>
    <w:p>
      <w:pPr>
        <w:pStyle w:val="Body"/>
        <w:bidi w:val="0"/>
      </w:pPr>
      <w:r>
        <w:rPr>
          <w:rtl w:val="0"/>
        </w:rPr>
        <w:tab/>
        <w:tab/>
        <w:t xml:space="preserve">If these Neolithic communities were observing the heliacal rise of Aldebaran, as </w:t>
        <w:tab/>
        <w:tab/>
        <w:tab/>
        <w:tab/>
        <w:t xml:space="preserve">the dolmen alignments suggests and is here proposed, they could have used it </w:t>
        <w:tab/>
        <w:tab/>
        <w:tab/>
        <w:tab/>
        <w:t>as a temporal marker for this movement to high pastures. Aldebaran</w:t>
      </w:r>
      <w:r>
        <w:rPr>
          <w:rtl w:val="0"/>
        </w:rPr>
        <w:t>’</w:t>
      </w:r>
      <w:r>
        <w:rPr>
          <w:rtl w:val="0"/>
        </w:rPr>
        <w:t xml:space="preserve">s period of </w:t>
        <w:tab/>
        <w:tab/>
        <w:tab/>
        <w:tab/>
        <w:t xml:space="preserve">invisibility (from late feb to late april) would provide the perfect amount of time to </w:t>
        <w:tab/>
        <w:tab/>
        <w:t xml:space="preserve">make preparations for whatever rituals were going to be enacted at the </w:t>
        <w:tab/>
        <w:tab/>
        <w:tab/>
        <w:tab/>
        <w:tab/>
        <w:t>dolmens, as well as to prepare for the move to higher grounds</w:t>
      </w:r>
      <w:r>
        <w:rPr>
          <w:rFonts w:ascii="Helvetica Neue" w:cs="Helvetica Neue" w:hAnsi="Helvetica Neue" w:eastAsia="Helvetica Neue"/>
          <w:b w:val="0"/>
          <w:bCs w:val="0"/>
          <w:i w:val="0"/>
          <w:iCs w:val="0"/>
          <w:vertAlign w:val="superscript"/>
        </w:rPr>
        <w:footnoteReference w:id="19"/>
      </w:r>
    </w:p>
    <w:p>
      <w:pPr>
        <w:pStyle w:val="Body"/>
        <w:bidi w:val="0"/>
      </w:pPr>
    </w:p>
    <w:p>
      <w:pPr>
        <w:pStyle w:val="Body"/>
        <w:bidi w:val="0"/>
      </w:pPr>
      <w:r>
        <w:rPr>
          <w:rtl w:val="0"/>
        </w:rPr>
        <w:tab/>
        <w:tab/>
        <w:t xml:space="preserve">The seasonal function of Aldebaran would certainly mean that it would have </w:t>
        <w:tab/>
        <w:tab/>
        <w:tab/>
        <w:tab/>
        <w:t>played a key role in the cosmology of the neolithic folk of central portugal</w:t>
      </w:r>
      <w:r>
        <w:rPr>
          <w:rFonts w:ascii="Helvetica Neue" w:cs="Helvetica Neue" w:hAnsi="Helvetica Neue" w:eastAsia="Helvetica Neue"/>
          <w:b w:val="0"/>
          <w:bCs w:val="0"/>
          <w:i w:val="0"/>
          <w:iCs w:val="0"/>
          <w:vertAlign w:val="superscript"/>
        </w:rPr>
        <w:footnoteReference w:id="20"/>
      </w:r>
    </w:p>
    <w:p>
      <w:pPr>
        <w:pStyle w:val="Body"/>
        <w:rPr>
          <w:color w:val="017000"/>
        </w:rPr>
      </w:pPr>
    </w:p>
    <w:p>
      <w:pPr>
        <w:pStyle w:val="Body"/>
        <w:numPr>
          <w:ilvl w:val="2"/>
          <w:numId w:val="6"/>
        </w:numPr>
        <w:rPr>
          <w:color w:val="017000"/>
          <w:lang w:val="en-US"/>
        </w:rPr>
      </w:pPr>
      <w:r>
        <w:rPr>
          <w:color w:val="017000"/>
          <w:rtl w:val="0"/>
          <w:lang w:val="en-US"/>
        </w:rPr>
        <w:t xml:space="preserve">For the dead; </w:t>
      </w:r>
      <w:r>
        <w:rPr>
          <w:color w:val="017000"/>
          <w:rtl w:val="0"/>
          <w:lang w:val="en-US"/>
        </w:rPr>
        <w:t>Hayden-vill theory on hunter+gatherers</w:t>
      </w:r>
    </w:p>
    <w:p>
      <w:pPr>
        <w:pStyle w:val="Body"/>
        <w:bidi w:val="0"/>
      </w:pPr>
      <w:r>
        <w:rPr>
          <w:rtl w:val="0"/>
        </w:rPr>
        <w:tab/>
        <w:tab/>
        <w:t xml:space="preserve">Either the alignment was observed just before the seasonal move, and thus at </w:t>
        <w:tab/>
        <w:tab/>
        <w:tab/>
        <w:tab/>
        <w:t>the moment of heliacal rising: or the alignment was not meant for the living</w:t>
      </w:r>
      <w:r>
        <w:rPr>
          <w:rFonts w:ascii="Helvetica Neue" w:cs="Helvetica Neue" w:hAnsi="Helvetica Neue" w:eastAsia="Helvetica Neue"/>
          <w:b w:val="0"/>
          <w:bCs w:val="0"/>
          <w:i w:val="0"/>
          <w:iCs w:val="0"/>
          <w:vertAlign w:val="superscript"/>
        </w:rPr>
        <w:footnoteReference w:id="21"/>
      </w:r>
    </w:p>
    <w:p>
      <w:pPr>
        <w:pStyle w:val="Body"/>
        <w:bidi w:val="0"/>
      </w:pPr>
    </w:p>
    <w:p>
      <w:pPr>
        <w:pStyle w:val="Body"/>
        <w:rPr>
          <w:color w:val="017000"/>
        </w:rPr>
      </w:pPr>
      <w:r>
        <w:rPr>
          <w:color w:val="017000"/>
        </w:rPr>
        <w:tab/>
        <w:tab/>
      </w:r>
      <w:r>
        <w:rPr>
          <w:color w:val="017000"/>
          <w:rtl w:val="0"/>
          <w:lang w:val="en-US"/>
        </w:rPr>
        <w:t xml:space="preserve">They are based on the assumptionn that the dolmens were tombs. This had </w:t>
      </w:r>
      <w:r>
        <w:rPr>
          <w:color w:val="017000"/>
        </w:rPr>
        <w:tab/>
        <w:tab/>
        <w:tab/>
        <w:tab/>
      </w:r>
      <w:r>
        <w:rPr>
          <w:color w:val="017000"/>
          <w:rtl w:val="0"/>
          <w:lang w:val="en-US"/>
        </w:rPr>
        <w:t>been the</w:t>
      </w:r>
      <w:r>
        <w:rPr>
          <w:color w:val="017000"/>
          <w:rtl w:val="0"/>
          <w:lang w:val="en-US"/>
        </w:rPr>
        <w:t xml:space="preserve"> </w:t>
      </w:r>
      <w:r>
        <w:rPr>
          <w:color w:val="017000"/>
          <w:rtl w:val="0"/>
          <w:lang w:val="en-US"/>
        </w:rPr>
        <w:t>default assumption of archaeologists</w:t>
      </w:r>
      <w:r>
        <w:rPr>
          <w:color w:val="017000"/>
          <w:rtl w:val="0"/>
        </w:rPr>
        <w:t>…</w:t>
      </w:r>
      <w:r>
        <w:rPr>
          <w:color w:val="017000"/>
          <w:rtl w:val="0"/>
          <w:lang w:val="en-US"/>
        </w:rPr>
        <w:t xml:space="preserve">the evidence for this is scarce, </w:t>
      </w:r>
      <w:r>
        <w:rPr>
          <w:color w:val="017000"/>
        </w:rPr>
        <w:tab/>
        <w:tab/>
        <w:tab/>
        <w:tab/>
      </w:r>
      <w:r>
        <w:rPr>
          <w:color w:val="017000"/>
          <w:rtl w:val="0"/>
          <w:lang w:val="en-US"/>
        </w:rPr>
        <w:t>particularly so in northwest Iberia</w:t>
      </w:r>
      <w:r>
        <w:rPr>
          <w:color w:val="017000"/>
          <w:vertAlign w:val="superscript"/>
        </w:rPr>
        <w:footnoteReference w:id="22"/>
      </w:r>
    </w:p>
    <w:p>
      <w:pPr>
        <w:pStyle w:val="Body"/>
        <w:rPr>
          <w:color w:val="017000"/>
        </w:rPr>
      </w:pPr>
    </w:p>
    <w:p>
      <w:pPr>
        <w:pStyle w:val="Body"/>
        <w:bidi w:val="0"/>
      </w:pPr>
      <w:r>
        <w:rPr>
          <w:rtl w:val="0"/>
        </w:rPr>
        <w:tab/>
        <w:tab/>
        <w:t>A dogma that should be tested, but is not without precedent</w:t>
      </w:r>
      <w:r>
        <w:rPr>
          <w:rFonts w:ascii="Helvetica Neue" w:cs="Helvetica Neue" w:hAnsi="Helvetica Neue" w:eastAsia="Helvetica Neue"/>
          <w:b w:val="0"/>
          <w:bCs w:val="0"/>
          <w:i w:val="0"/>
          <w:iCs w:val="0"/>
          <w:vertAlign w:val="superscript"/>
        </w:rPr>
        <w:footnoteReference w:id="23"/>
      </w:r>
    </w:p>
    <w:p>
      <w:pPr>
        <w:pStyle w:val="Body"/>
        <w:bidi w:val="0"/>
      </w:pPr>
    </w:p>
    <w:p>
      <w:pPr>
        <w:pStyle w:val="Body"/>
        <w:numPr>
          <w:ilvl w:val="2"/>
          <w:numId w:val="6"/>
        </w:numPr>
        <w:rPr>
          <w:color w:val="017000"/>
          <w:lang w:val="en-US"/>
        </w:rPr>
      </w:pPr>
      <w:r>
        <w:rPr>
          <w:color w:val="017000"/>
          <w:rtl w:val="0"/>
          <w:lang w:val="en-US"/>
        </w:rPr>
        <w:t>For the dead -</w:t>
      </w:r>
    </w:p>
    <w:p>
      <w:pPr>
        <w:pStyle w:val="Body"/>
        <w:rPr>
          <w:color w:val="017000"/>
        </w:rPr>
      </w:pPr>
    </w:p>
    <w:p>
      <w:pPr>
        <w:pStyle w:val="Body"/>
        <w:rPr>
          <w:color w:val="017000"/>
        </w:rPr>
      </w:pPr>
      <w:r>
        <w:rPr>
          <w:color w:val="017000"/>
          <w:rtl w:val="0"/>
        </w:rPr>
        <w:tab/>
        <w:tab/>
        <w:t xml:space="preserve">Evidence for ceremonies at these sites is overwhelming </w:t>
      </w:r>
      <w:r>
        <w:rPr>
          <w:color w:val="017000"/>
          <w:rtl w:val="0"/>
          <w:lang w:val="en-US"/>
        </w:rPr>
        <w:t xml:space="preserve">… </w:t>
      </w:r>
      <w:r>
        <w:rPr>
          <w:color w:val="017000"/>
          <w:rtl w:val="0"/>
          <w:lang w:val="en-US"/>
        </w:rPr>
        <w:t xml:space="preserve">forecourts seem to </w:t>
        <w:tab/>
        <w:tab/>
        <w:tab/>
        <w:tab/>
        <w:t xml:space="preserve">be a widespread feature of the dolmens of northwest Iberia, particularly of the </w:t>
        <w:tab/>
        <w:tab/>
        <w:tab/>
        <w:tab/>
        <w:t xml:space="preserve">more complex ones, and have been interpreted as </w:t>
      </w:r>
      <w:r>
        <w:rPr>
          <w:color w:val="017000"/>
          <w:rtl w:val="0"/>
          <w:lang w:val="en-US"/>
        </w:rPr>
        <w:t>‘</w:t>
      </w:r>
      <w:r>
        <w:rPr>
          <w:color w:val="017000"/>
          <w:rtl w:val="0"/>
          <w:lang w:val="en-US"/>
        </w:rPr>
        <w:t>scenic spaces,</w:t>
      </w:r>
      <w:r>
        <w:rPr>
          <w:color w:val="017000"/>
          <w:rtl w:val="0"/>
          <w:lang w:val="en-US"/>
        </w:rPr>
        <w:t xml:space="preserve">’ </w:t>
      </w:r>
      <w:r>
        <w:rPr>
          <w:color w:val="017000"/>
          <w:rtl w:val="0"/>
          <w:lang w:val="en-US"/>
        </w:rPr>
        <w:t xml:space="preserve">these areas </w:t>
        <w:tab/>
        <w:tab/>
        <w:tab/>
        <w:tab/>
        <w:t xml:space="preserve">were clearly demarcated and, when excavated, provided a wealth of material </w:t>
        <w:tab/>
        <w:tab/>
        <w:tab/>
        <w:tab/>
        <w:t>culture (Carvalho)</w:t>
      </w:r>
      <w:r>
        <w:rPr>
          <w:color w:val="017000"/>
          <w:rtl w:val="0"/>
          <w:lang w:val="en-US"/>
        </w:rPr>
        <w:t xml:space="preserve">… </w:t>
      </w:r>
      <w:r>
        <w:rPr>
          <w:color w:val="017000"/>
          <w:rtl w:val="0"/>
          <w:lang w:val="en-US"/>
        </w:rPr>
        <w:t>unclear, but they have been interpreted as ritual in function</w:t>
      </w:r>
      <w:r>
        <w:rPr>
          <w:color w:val="017000"/>
          <w:vertAlign w:val="superscript"/>
        </w:rPr>
        <w:footnoteReference w:id="24"/>
      </w:r>
    </w:p>
    <w:p>
      <w:pPr>
        <w:pStyle w:val="Body"/>
        <w:rPr>
          <w:color w:val="017000"/>
        </w:rPr>
      </w:pPr>
    </w:p>
    <w:p>
      <w:pPr>
        <w:pStyle w:val="Body"/>
        <w:bidi w:val="0"/>
      </w:pPr>
      <w:r>
        <w:rPr>
          <w:rtl w:val="0"/>
        </w:rPr>
        <w:tab/>
        <w:tab/>
        <w:t xml:space="preserve">Despite being purely conjectural, but phenomenologyically testable, this would </w:t>
        <w:tab/>
        <w:tab/>
        <w:tab/>
        <w:tab/>
        <w:t xml:space="preserve">fit the view that hunter-gatherer </w:t>
      </w:r>
      <w:r>
        <w:rPr>
          <w:rtl w:val="0"/>
        </w:rPr>
        <w:t>‘</w:t>
      </w:r>
      <w:r>
        <w:rPr>
          <w:rtl w:val="0"/>
        </w:rPr>
        <w:t xml:space="preserve">secret societies frequently appropriate parts of </w:t>
        <w:tab/>
        <w:tab/>
        <w:tab/>
        <w:tab/>
        <w:t xml:space="preserve">pre-existing ideologies but add new esoteric elements which normally form the </w:t>
        <w:tab/>
        <w:tab/>
        <w:tab/>
        <w:tab/>
      </w:r>
      <w:r>
        <w:rPr>
          <w:rtl w:val="0"/>
        </w:rPr>
        <w:t>‘</w:t>
      </w:r>
      <w:r>
        <w:rPr>
          <w:rtl w:val="0"/>
        </w:rPr>
        <w:t>secrets</w:t>
      </w:r>
      <w:r>
        <w:rPr>
          <w:rtl w:val="0"/>
        </w:rPr>
        <w:t xml:space="preserve">’ </w:t>
      </w:r>
      <w:r>
        <w:rPr>
          <w:rtl w:val="0"/>
        </w:rPr>
        <w:t>known only to secret-society members</w:t>
      </w:r>
      <w:r>
        <w:rPr>
          <w:rFonts w:ascii="Helvetica Neue" w:cs="Helvetica Neue" w:hAnsi="Helvetica Neue" w:eastAsia="Helvetica Neue"/>
          <w:b w:val="0"/>
          <w:bCs w:val="0"/>
          <w:i w:val="0"/>
          <w:iCs w:val="0"/>
          <w:vertAlign w:val="superscript"/>
        </w:rPr>
        <w:footnoteReference w:id="25"/>
      </w:r>
    </w:p>
    <w:p>
      <w:pPr>
        <w:pStyle w:val="Body"/>
        <w:rPr>
          <w:color w:val="017000"/>
        </w:rPr>
      </w:pPr>
    </w:p>
    <w:p>
      <w:pPr>
        <w:pStyle w:val="Body"/>
        <w:rPr>
          <w:color w:val="017000"/>
        </w:rPr>
      </w:pPr>
      <w:r>
        <w:rPr>
          <w:color w:val="017000"/>
          <w:rtl w:val="0"/>
        </w:rPr>
        <w:tab/>
        <w:t xml:space="preserve">X. Concludes </w:t>
      </w:r>
    </w:p>
    <w:p>
      <w:pPr>
        <w:pStyle w:val="Body"/>
        <w:rPr>
          <w:color w:val="017000"/>
        </w:rPr>
      </w:pPr>
    </w:p>
    <w:p>
      <w:pPr>
        <w:pStyle w:val="Body"/>
        <w:bidi w:val="0"/>
      </w:pPr>
      <w:r>
        <w:rPr>
          <w:rtl w:val="0"/>
        </w:rPr>
        <w:tab/>
        <w:t xml:space="preserve">Methodology </w:t>
      </w:r>
      <w:r>
        <w:rPr>
          <w:rtl w:val="0"/>
        </w:rPr>
        <w:t xml:space="preserve">— </w:t>
      </w:r>
      <w:r>
        <w:rPr>
          <w:rtl w:val="0"/>
        </w:rPr>
        <w:t xml:space="preserve">does not impose a straight line of orientation from the get-go, nor </w:t>
        <w:tab/>
        <w:tab/>
        <w:tab/>
        <w:t xml:space="preserve">assumes precision in the alignment, but instead adds a pinch of phenomenology, the </w:t>
        <w:tab/>
        <w:tab/>
        <w:tab/>
        <w:t xml:space="preserve">prehistoric monuments and landscapes of north-central portugal were allowed to speak </w:t>
        <w:tab/>
        <w:t>for themselves</w:t>
      </w:r>
      <w:r>
        <w:rPr>
          <w:rFonts w:ascii="Helvetica Neue" w:cs="Helvetica Neue" w:hAnsi="Helvetica Neue" w:eastAsia="Helvetica Neue"/>
          <w:b w:val="0"/>
          <w:bCs w:val="0"/>
          <w:i w:val="0"/>
          <w:iCs w:val="0"/>
          <w:vertAlign w:val="superscript"/>
        </w:rPr>
        <w:footnoteReference w:id="26"/>
      </w:r>
    </w:p>
    <w:p>
      <w:pPr>
        <w:pStyle w:val="Body"/>
        <w:bidi w:val="0"/>
      </w:pPr>
    </w:p>
    <w:p>
      <w:pPr>
        <w:pStyle w:val="Body"/>
        <w:rPr>
          <w:color w:val="017000"/>
        </w:rPr>
      </w:pPr>
      <w:r>
        <w:rPr>
          <w:color w:val="017000"/>
          <w:rtl w:val="0"/>
          <w:lang w:val="en-US"/>
        </w:rPr>
        <w:t>————————————————————————————————————</w:t>
      </w:r>
      <w:r>
        <w:rPr>
          <w:color w:val="017000"/>
          <w:rtl w:val="0"/>
          <w:lang w:val="en-US"/>
        </w:rPr>
        <w:t>-</w:t>
      </w:r>
    </w:p>
    <w:p>
      <w:pPr>
        <w:pStyle w:val="Body"/>
        <w:rPr>
          <w:color w:val="017000"/>
        </w:rPr>
      </w:pPr>
    </w:p>
    <w:p>
      <w:pPr>
        <w:pStyle w:val="Body"/>
        <w:rPr>
          <w:color w:val="ff9300"/>
        </w:rPr>
      </w:pPr>
      <w:r>
        <w:rPr>
          <w:color w:val="ff9300"/>
          <w:rtl w:val="0"/>
          <w:lang w:val="en-US"/>
        </w:rPr>
        <w:t>BODY 2: Location in Academic Conversation</w:t>
      </w:r>
    </w:p>
    <w:p>
      <w:pPr>
        <w:pStyle w:val="Body"/>
        <w:rPr>
          <w:color w:val="ff9300"/>
        </w:rPr>
      </w:pPr>
    </w:p>
    <w:p>
      <w:pPr>
        <w:pStyle w:val="Body"/>
        <w:rPr>
          <w:color w:val="ff9300"/>
        </w:rPr>
      </w:pPr>
      <w:r>
        <w:rPr>
          <w:color w:val="ff9300"/>
          <w:rtl w:val="0"/>
          <w:lang w:val="en-US"/>
        </w:rPr>
        <w:t>Hoskin : Archaeoastronomy; 1998; data for others to analyze</w:t>
      </w:r>
    </w:p>
    <w:p>
      <w:pPr>
        <w:pStyle w:val="Body"/>
        <w:rPr>
          <w:color w:val="ff9300"/>
        </w:rPr>
      </w:pPr>
    </w:p>
    <w:p>
      <w:pPr>
        <w:pStyle w:val="Body"/>
        <w:rPr>
          <w:color w:val="ff9300"/>
        </w:rPr>
      </w:pPr>
      <w:r>
        <w:rPr>
          <w:color w:val="ff9300"/>
          <w:rtl w:val="0"/>
          <w:lang w:val="en-US"/>
        </w:rPr>
        <w:t>Silva: Skyscapes; legible, short,</w:t>
      </w:r>
    </w:p>
    <w:p>
      <w:pPr>
        <w:pStyle w:val="Body"/>
        <w:rPr>
          <w:color w:val="ff9300"/>
        </w:rPr>
      </w:pPr>
    </w:p>
    <w:p>
      <w:pPr>
        <w:pStyle w:val="Body"/>
        <w:rPr>
          <w:color w:val="ff9300"/>
        </w:rPr>
      </w:pPr>
      <w:r>
        <w:rPr>
          <w:color w:val="ff9300"/>
          <w:rtl w:val="0"/>
        </w:rPr>
        <w:tab/>
        <w:t xml:space="preserve">for many kinds of thinkers to read </w:t>
      </w:r>
      <w:r>
        <w:rPr>
          <w:color w:val="ff9300"/>
          <w:rtl w:val="0"/>
          <w:lang w:val="en-US"/>
        </w:rPr>
        <w:t xml:space="preserve">— </w:t>
      </w:r>
      <w:r>
        <w:rPr>
          <w:color w:val="ff9300"/>
          <w:rtl w:val="0"/>
          <w:lang w:val="en-US"/>
        </w:rPr>
        <w:t xml:space="preserve">which is accomplished through clear definitions at </w:t>
        <w:tab/>
        <w:tab/>
        <w:tab/>
        <w:t>the beginning of the paper. Hoskin</w:t>
      </w:r>
      <w:r>
        <w:rPr>
          <w:color w:val="ff9300"/>
          <w:rtl w:val="0"/>
          <w:lang w:val="en-US"/>
        </w:rPr>
        <w:t>’</w:t>
      </w:r>
      <w:r>
        <w:rPr>
          <w:color w:val="ff9300"/>
          <w:rtl w:val="0"/>
          <w:lang w:val="en-US"/>
        </w:rPr>
        <w:t xml:space="preserve">s was a thick read, giving one type of data </w:t>
        <w:tab/>
        <w:tab/>
        <w:tab/>
        <w:tab/>
        <w:t xml:space="preserve">throughout, not meant for widespread understanding or interest </w:t>
      </w:r>
    </w:p>
    <w:p>
      <w:pPr>
        <w:pStyle w:val="Body"/>
        <w:rPr>
          <w:color w:val="ff9300"/>
        </w:rPr>
      </w:pPr>
    </w:p>
    <w:p>
      <w:pPr>
        <w:pStyle w:val="Body"/>
        <w:rPr>
          <w:color w:val="ff9300"/>
        </w:rPr>
      </w:pPr>
      <w:r>
        <w:rPr>
          <w:color w:val="ff9300"/>
          <w:rtl w:val="0"/>
          <w:lang w:val="en-US"/>
        </w:rPr>
        <w:t>HAS SILVA</w:t>
      </w:r>
      <w:r>
        <w:rPr>
          <w:color w:val="ff9300"/>
          <w:rtl w:val="0"/>
          <w:lang w:val="en-US"/>
        </w:rPr>
        <w:t>’</w:t>
      </w:r>
      <w:r>
        <w:rPr>
          <w:color w:val="ff9300"/>
          <w:rtl w:val="0"/>
          <w:lang w:val="en-US"/>
        </w:rPr>
        <w:t xml:space="preserve">S PAPER BEEN CITED SINCE ITS PUBLICATION: </w:t>
      </w:r>
    </w:p>
    <w:p>
      <w:pPr>
        <w:pStyle w:val="Body"/>
        <w:rPr>
          <w:color w:val="ff9300"/>
        </w:rPr>
      </w:pPr>
    </w:p>
    <w:p>
      <w:pPr>
        <w:pStyle w:val="Body"/>
        <w:rPr>
          <w:color w:val="ff9300"/>
        </w:rPr>
      </w:pPr>
      <w:r>
        <w:rPr>
          <w:color w:val="ff9300"/>
        </w:rPr>
        <w:tab/>
      </w:r>
      <w:r>
        <w:rPr>
          <w:color w:val="ff9300"/>
          <w:rtl w:val="0"/>
          <w:lang w:val="en-US"/>
        </w:rPr>
        <w:t xml:space="preserve">LINES OF ENQUIRY: LINEAR ORGANISATION OF THE HIGH LEA FARM BRONZE AGE </w:t>
      </w:r>
      <w:r>
        <w:rPr>
          <w:color w:val="ff9300"/>
        </w:rPr>
        <w:tab/>
        <w:tab/>
        <w:tab/>
      </w:r>
      <w:r>
        <w:rPr>
          <w:color w:val="ff9300"/>
          <w:rtl w:val="0"/>
          <w:lang w:val="de-DE"/>
        </w:rPr>
        <w:t>BARROW CEMETERY GERALD A. BENNETT &amp; JOHN GALE</w:t>
      </w:r>
      <w:r>
        <w:rPr>
          <w:color w:val="ff9300"/>
          <w:rtl w:val="0"/>
          <w:lang w:val="en-US"/>
        </w:rPr>
        <w:t>; uses Silva</w:t>
      </w:r>
      <w:r>
        <w:rPr>
          <w:color w:val="ff9300"/>
          <w:rtl w:val="0"/>
          <w:lang w:val="en-US"/>
        </w:rPr>
        <w:t>’</w:t>
      </w:r>
      <w:r>
        <w:rPr>
          <w:color w:val="ff9300"/>
          <w:rtl w:val="0"/>
          <w:lang w:val="en-US"/>
        </w:rPr>
        <w:t xml:space="preserve">s paper </w:t>
      </w:r>
      <w:r>
        <w:rPr>
          <w:color w:val="ff9300"/>
          <w:rtl w:val="0"/>
          <w:lang w:val="en-US"/>
        </w:rPr>
        <w:t xml:space="preserve">This </w:t>
      </w:r>
      <w:r>
        <w:rPr>
          <w:color w:val="ff9300"/>
        </w:rPr>
        <w:tab/>
        <w:tab/>
        <w:tab/>
        <w:tab/>
      </w:r>
      <w:r>
        <w:rPr>
          <w:color w:val="ff9300"/>
          <w:rtl w:val="0"/>
          <w:lang w:val="en-US"/>
        </w:rPr>
        <w:t xml:space="preserve">lack of strict uniformity in direction has provided creative tension, leading to </w:t>
      </w:r>
      <w:r>
        <w:rPr>
          <w:color w:val="ff9300"/>
        </w:rPr>
        <w:tab/>
        <w:tab/>
        <w:tab/>
        <w:tab/>
      </w:r>
      <w:r>
        <w:rPr>
          <w:color w:val="ff9300"/>
          <w:rtl w:val="0"/>
          <w:lang w:val="en-US"/>
        </w:rPr>
        <w:t xml:space="preserve">revisiting assumptions about how monuments were used. Examples of this </w:t>
      </w:r>
      <w:r>
        <w:rPr>
          <w:color w:val="ff9300"/>
        </w:rPr>
        <w:tab/>
        <w:tab/>
        <w:tab/>
        <w:tab/>
      </w:r>
      <w:r>
        <w:rPr>
          <w:color w:val="ff9300"/>
          <w:rtl w:val="0"/>
          <w:lang w:val="en-US"/>
        </w:rPr>
        <w:t xml:space="preserve">include questioning about where the users of recumbent circles might have </w:t>
      </w:r>
      <w:r>
        <w:rPr>
          <w:color w:val="ff9300"/>
        </w:rPr>
        <w:tab/>
        <w:tab/>
        <w:tab/>
        <w:tab/>
      </w:r>
      <w:r>
        <w:rPr>
          <w:color w:val="ff9300"/>
          <w:rtl w:val="0"/>
          <w:lang w:val="en-US"/>
        </w:rPr>
        <w:t xml:space="preserve">stood (Henty 2015), or whether monuments defined a view across which </w:t>
      </w:r>
      <w:r>
        <w:rPr>
          <w:color w:val="ff9300"/>
        </w:rPr>
        <w:tab/>
        <w:tab/>
        <w:tab/>
        <w:tab/>
        <w:tab/>
      </w:r>
      <w:r>
        <w:rPr>
          <w:color w:val="ff9300"/>
          <w:rtl w:val="0"/>
          <w:lang w:val="en-US"/>
        </w:rPr>
        <w:t xml:space="preserve">celestial events would move, rather than indicating a single alignment (Silva </w:t>
      </w:r>
      <w:r>
        <w:rPr>
          <w:color w:val="ff9300"/>
        </w:rPr>
        <w:tab/>
        <w:tab/>
        <w:tab/>
        <w:tab/>
      </w:r>
      <w:r>
        <w:rPr>
          <w:color w:val="ff9300"/>
          <w:rtl w:val="0"/>
        </w:rPr>
        <w:t>2015).</w:t>
      </w:r>
    </w:p>
    <w:p>
      <w:pPr>
        <w:pStyle w:val="Body"/>
        <w:rPr>
          <w:color w:val="ff9300"/>
        </w:rPr>
      </w:pPr>
    </w:p>
    <w:p>
      <w:pPr>
        <w:pStyle w:val="Body"/>
        <w:rPr>
          <w:rFonts w:ascii="Helvetica" w:cs="Helvetica" w:hAnsi="Helvetica" w:eastAsia="Helvetica"/>
          <w:i w:val="1"/>
          <w:iCs w:val="1"/>
          <w:color w:val="ff9300"/>
        </w:rPr>
      </w:pPr>
      <w:r>
        <w:rPr>
          <w:color w:val="ff9300"/>
        </w:rPr>
        <w:tab/>
      </w:r>
      <w:r>
        <w:rPr>
          <w:color w:val="ff9300"/>
          <w:rtl w:val="0"/>
          <w:lang w:val="en-US"/>
        </w:rPr>
        <w:t xml:space="preserve">A Ruby and Triangled Sign upon the Forehead of Taurus: Modalities of Revelation in </w:t>
      </w:r>
      <w:r>
        <w:rPr>
          <w:color w:val="ff9300"/>
        </w:rPr>
        <w:tab/>
        <w:tab/>
        <w:tab/>
      </w:r>
      <w:r>
        <w:rPr>
          <w:color w:val="ff9300"/>
          <w:rtl w:val="0"/>
          <w:lang w:val="en-US"/>
        </w:rPr>
        <w:t>Megalithic Archaeoastronomy and James Joyce</w:t>
      </w:r>
      <w:r>
        <w:rPr>
          <w:color w:val="ff9300"/>
          <w:rtl w:val="0"/>
        </w:rPr>
        <w:t>’</w:t>
      </w:r>
      <w:r>
        <w:rPr>
          <w:color w:val="ff9300"/>
          <w:rtl w:val="0"/>
          <w:lang w:val="da-DK"/>
        </w:rPr>
        <w:t>s Novels</w:t>
      </w:r>
      <w:r>
        <w:rPr>
          <w:color w:val="ff9300"/>
          <w:rtl w:val="0"/>
        </w:rPr>
        <w:t> </w:t>
      </w:r>
      <w:r>
        <w:rPr>
          <w:rFonts w:ascii="Helvetica" w:hAnsi="Helvetica"/>
          <w:i w:val="1"/>
          <w:iCs w:val="1"/>
          <w:color w:val="ff9300"/>
          <w:rtl w:val="0"/>
          <w:lang w:val="sv-SE"/>
        </w:rPr>
        <w:t>Ulysses</w:t>
      </w:r>
      <w:r>
        <w:rPr>
          <w:color w:val="ff9300"/>
          <w:rtl w:val="0"/>
        </w:rPr>
        <w:t> </w:t>
      </w:r>
      <w:r>
        <w:rPr>
          <w:color w:val="ff9300"/>
          <w:rtl w:val="0"/>
        </w:rPr>
        <w:t>and</w:t>
      </w:r>
      <w:r>
        <w:rPr>
          <w:color w:val="ff9300"/>
          <w:rtl w:val="0"/>
        </w:rPr>
        <w:t> </w:t>
      </w:r>
      <w:r>
        <w:rPr>
          <w:rFonts w:ascii="Helvetica" w:hAnsi="Helvetica"/>
          <w:i w:val="1"/>
          <w:iCs w:val="1"/>
          <w:color w:val="ff9300"/>
          <w:rtl w:val="0"/>
        </w:rPr>
        <w:t>Finnegans Wake</w:t>
      </w:r>
    </w:p>
    <w:p>
      <w:pPr>
        <w:pStyle w:val="Body"/>
        <w:rPr>
          <w:rFonts w:ascii="Helvetica" w:cs="Helvetica" w:hAnsi="Helvetica" w:eastAsia="Helvetica"/>
          <w:i w:val="1"/>
          <w:iCs w:val="1"/>
          <w:color w:val="ff9300"/>
        </w:rPr>
      </w:pPr>
      <w:r>
        <w:rPr>
          <w:rFonts w:ascii="Helvetica" w:cs="Helvetica" w:hAnsi="Helvetica" w:eastAsia="Helvetica"/>
          <w:i w:val="1"/>
          <w:iCs w:val="1"/>
          <w:color w:val="ff9300"/>
        </w:rPr>
        <w:tab/>
      </w:r>
      <w:r>
        <w:rPr>
          <w:rFonts w:ascii="Helvetica" w:hAnsi="Helvetica"/>
          <w:i w:val="1"/>
          <w:iCs w:val="1"/>
          <w:color w:val="ff9300"/>
          <w:rtl w:val="0"/>
          <w:lang w:val="en-US"/>
        </w:rPr>
        <w:t xml:space="preserve">In this paper I draw upon the </w:t>
      </w:r>
      <w:r>
        <w:rPr>
          <w:rFonts w:ascii="Helvetica" w:hAnsi="Helvetica" w:hint="default"/>
          <w:i w:val="1"/>
          <w:iCs w:val="1"/>
          <w:color w:val="ff9300"/>
          <w:rtl w:val="0"/>
        </w:rPr>
        <w:t>‘</w:t>
      </w:r>
      <w:r>
        <w:rPr>
          <w:rFonts w:ascii="Helvetica" w:hAnsi="Helvetica"/>
          <w:i w:val="1"/>
          <w:iCs w:val="1"/>
          <w:color w:val="ff9300"/>
          <w:rtl w:val="0"/>
          <w:lang w:val="en-US"/>
        </w:rPr>
        <w:t>deeply paradoxical religious sensibility</w:t>
      </w:r>
      <w:r>
        <w:rPr>
          <w:rFonts w:ascii="Helvetica" w:hAnsi="Helvetica" w:hint="default"/>
          <w:i w:val="1"/>
          <w:iCs w:val="1"/>
          <w:color w:val="ff9300"/>
          <w:rtl w:val="0"/>
        </w:rPr>
        <w:t xml:space="preserve">’ </w:t>
      </w:r>
      <w:r>
        <w:rPr>
          <w:rFonts w:ascii="Helvetica" w:hAnsi="Helvetica"/>
          <w:i w:val="1"/>
          <w:iCs w:val="1"/>
          <w:color w:val="ff9300"/>
          <w:rtl w:val="0"/>
        </w:rPr>
        <w:t xml:space="preserve">(Scholem </w:t>
      </w:r>
      <w:r>
        <w:rPr>
          <w:rFonts w:ascii="Helvetica" w:cs="Helvetica" w:hAnsi="Helvetica" w:eastAsia="Helvetica"/>
          <w:i w:val="1"/>
          <w:iCs w:val="1"/>
          <w:color w:val="ff9300"/>
        </w:rPr>
        <w:tab/>
        <w:tab/>
        <w:tab/>
        <w:tab/>
      </w:r>
      <w:r>
        <w:rPr>
          <w:rFonts w:ascii="Helvetica" w:hAnsi="Helvetica"/>
          <w:i w:val="1"/>
          <w:iCs w:val="1"/>
          <w:color w:val="ff9300"/>
          <w:rtl w:val="0"/>
          <w:lang w:val="en-US"/>
        </w:rPr>
        <w:t xml:space="preserve">1971, p. 95) of the Marrano phenomenon to explore parallels between modalities of </w:t>
      </w:r>
      <w:r>
        <w:rPr>
          <w:rFonts w:ascii="Helvetica" w:cs="Helvetica" w:hAnsi="Helvetica" w:eastAsia="Helvetica"/>
          <w:i w:val="1"/>
          <w:iCs w:val="1"/>
          <w:color w:val="ff9300"/>
        </w:rPr>
        <w:tab/>
        <w:tab/>
        <w:tab/>
      </w:r>
      <w:r>
        <w:rPr>
          <w:rFonts w:ascii="Helvetica" w:hAnsi="Helvetica"/>
          <w:i w:val="1"/>
          <w:iCs w:val="1"/>
          <w:color w:val="ff9300"/>
          <w:rtl w:val="0"/>
          <w:lang w:val="en-US"/>
        </w:rPr>
        <w:t>revelation at play in James Joyce</w:t>
      </w:r>
      <w:r>
        <w:rPr>
          <w:rFonts w:ascii="Helvetica" w:hAnsi="Helvetica" w:hint="default"/>
          <w:i w:val="1"/>
          <w:iCs w:val="1"/>
          <w:color w:val="ff9300"/>
          <w:rtl w:val="0"/>
        </w:rPr>
        <w:t>’</w:t>
      </w:r>
      <w:r>
        <w:rPr>
          <w:rFonts w:ascii="Helvetica" w:hAnsi="Helvetica"/>
          <w:i w:val="1"/>
          <w:iCs w:val="1"/>
          <w:color w:val="ff9300"/>
          <w:rtl w:val="0"/>
          <w:lang w:val="en-US"/>
        </w:rPr>
        <w:t xml:space="preserve">s novels, Ulysses (Joyce 1922) and Finnegans Wake </w:t>
      </w:r>
      <w:r>
        <w:rPr>
          <w:rFonts w:ascii="Helvetica" w:cs="Helvetica" w:hAnsi="Helvetica" w:eastAsia="Helvetica"/>
          <w:i w:val="1"/>
          <w:iCs w:val="1"/>
          <w:color w:val="ff9300"/>
        </w:rPr>
        <w:tab/>
        <w:tab/>
        <w:tab/>
      </w:r>
      <w:r>
        <w:rPr>
          <w:rFonts w:ascii="Helvetica" w:hAnsi="Helvetica"/>
          <w:i w:val="1"/>
          <w:iCs w:val="1"/>
          <w:color w:val="ff9300"/>
          <w:rtl w:val="0"/>
        </w:rPr>
        <w:t xml:space="preserve">(Joyce </w:t>
      </w:r>
      <w:r>
        <w:rPr>
          <w:rFonts w:ascii="Helvetica" w:cs="Helvetica" w:hAnsi="Helvetica" w:eastAsia="Helvetica"/>
          <w:i w:val="1"/>
          <w:iCs w:val="1"/>
          <w:color w:val="ff9300"/>
        </w:rPr>
        <w:tab/>
      </w:r>
      <w:r>
        <w:rPr>
          <w:rFonts w:ascii="Helvetica" w:hAnsi="Helvetica"/>
          <w:i w:val="1"/>
          <w:iCs w:val="1"/>
          <w:color w:val="ff9300"/>
          <w:rtl w:val="0"/>
          <w:lang w:val="en-US"/>
        </w:rPr>
        <w:t xml:space="preserve">1939), and that implicit in an archaeoastronomical interpretation of a group of </w:t>
      </w:r>
      <w:r>
        <w:rPr>
          <w:rFonts w:ascii="Helvetica" w:cs="Helvetica" w:hAnsi="Helvetica" w:eastAsia="Helvetica"/>
          <w:i w:val="1"/>
          <w:iCs w:val="1"/>
          <w:color w:val="ff9300"/>
        </w:rPr>
        <w:tab/>
        <w:tab/>
        <w:tab/>
      </w:r>
      <w:r>
        <w:rPr>
          <w:rFonts w:ascii="Helvetica" w:hAnsi="Helvetica"/>
          <w:i w:val="1"/>
          <w:iCs w:val="1"/>
          <w:color w:val="ff9300"/>
          <w:rtl w:val="0"/>
          <w:lang w:val="en-US"/>
        </w:rPr>
        <w:t xml:space="preserve">Neolithic dolmens dating to around 4000 BC in the Mondego valley of central Portugal </w:t>
      </w:r>
      <w:r>
        <w:rPr>
          <w:rFonts w:ascii="Helvetica" w:cs="Helvetica" w:hAnsi="Helvetica" w:eastAsia="Helvetica"/>
          <w:i w:val="1"/>
          <w:iCs w:val="1"/>
          <w:color w:val="ff9300"/>
        </w:rPr>
        <w:tab/>
        <w:tab/>
        <w:tab/>
      </w:r>
      <w:r>
        <w:rPr>
          <w:rFonts w:ascii="Helvetica" w:hAnsi="Helvetica"/>
          <w:i w:val="1"/>
          <w:iCs w:val="1"/>
          <w:color w:val="ff9300"/>
          <w:rtl w:val="0"/>
        </w:rPr>
        <w:t>(Silva 2013, 2015).</w:t>
      </w:r>
    </w:p>
    <w:p>
      <w:pPr>
        <w:pStyle w:val="Body"/>
        <w:rPr>
          <w:rFonts w:ascii="Helvetica" w:cs="Helvetica" w:hAnsi="Helvetica" w:eastAsia="Helvetica"/>
          <w:i w:val="1"/>
          <w:iCs w:val="1"/>
          <w:color w:val="ff9300"/>
        </w:rPr>
      </w:pPr>
      <w:r>
        <w:rPr>
          <w:rFonts w:ascii="Helvetica" w:cs="Helvetica" w:hAnsi="Helvetica" w:eastAsia="Helvetica"/>
          <w:i w:val="1"/>
          <w:iCs w:val="1"/>
          <w:color w:val="ff9300"/>
        </w:rPr>
        <w:tab/>
      </w:r>
    </w:p>
    <w:p>
      <w:pPr>
        <w:pStyle w:val="Body"/>
        <w:rPr>
          <w:color w:val="ff9300"/>
        </w:rPr>
      </w:pPr>
      <w:r>
        <w:rPr>
          <w:rFonts w:ascii="Helvetica" w:hAnsi="Helvetica"/>
          <w:i w:val="1"/>
          <w:iCs w:val="1"/>
          <w:color w:val="ff9300"/>
          <w:rtl w:val="0"/>
          <w:lang w:val="en-US"/>
        </w:rPr>
        <w:t>Provides support to the idea that silva</w:t>
      </w:r>
      <w:r>
        <w:rPr>
          <w:rFonts w:ascii="Helvetica" w:hAnsi="Helvetica" w:hint="default"/>
          <w:i w:val="1"/>
          <w:iCs w:val="1"/>
          <w:color w:val="ff9300"/>
          <w:rtl w:val="0"/>
          <w:lang w:val="en-US"/>
        </w:rPr>
        <w:t>’</w:t>
      </w:r>
      <w:r>
        <w:rPr>
          <w:rFonts w:ascii="Helvetica" w:hAnsi="Helvetica"/>
          <w:i w:val="1"/>
          <w:iCs w:val="1"/>
          <w:color w:val="ff9300"/>
          <w:rtl w:val="0"/>
          <w:lang w:val="en-US"/>
        </w:rPr>
        <w:t>s audience was wider than Hoskin</w:t>
      </w:r>
      <w:r>
        <w:rPr>
          <w:rFonts w:ascii="Helvetica" w:hAnsi="Helvetica" w:hint="default"/>
          <w:i w:val="1"/>
          <w:iCs w:val="1"/>
          <w:color w:val="ff9300"/>
          <w:rtl w:val="0"/>
          <w:lang w:val="en-US"/>
        </w:rPr>
        <w:t>’</w:t>
      </w:r>
      <w:r>
        <w:rPr>
          <w:rFonts w:ascii="Helvetica" w:hAnsi="Helvetica"/>
          <w:i w:val="1"/>
          <w:iCs w:val="1"/>
          <w:color w:val="ff9300"/>
          <w:rtl w:val="0"/>
          <w:lang w:val="en-US"/>
        </w:rPr>
        <w:t xml:space="preserve">s </w:t>
      </w:r>
    </w:p>
    <w:p>
      <w:pPr>
        <w:pStyle w:val="Body"/>
        <w:rPr>
          <w:color w:val="ff9300"/>
        </w:rPr>
      </w:pPr>
    </w:p>
    <w:p>
      <w:pPr>
        <w:pStyle w:val="Body"/>
        <w:bidi w:val="0"/>
      </w:pPr>
      <w:r>
        <w:rPr>
          <w:rtl w:val="0"/>
        </w:rPr>
        <w:t xml:space="preserve">FURTHER COMPARISONS: </w:t>
      </w:r>
    </w:p>
    <w:p>
      <w:pPr>
        <w:pStyle w:val="Body"/>
        <w:rPr>
          <w:color w:val="ff9300"/>
        </w:rPr>
      </w:pPr>
    </w:p>
    <w:p>
      <w:pPr>
        <w:pStyle w:val="Body"/>
        <w:rPr>
          <w:color w:val="ff9300"/>
        </w:rPr>
      </w:pPr>
      <w:r>
        <w:rPr>
          <w:color w:val="ff9300"/>
          <w:rtl w:val="0"/>
        </w:rPr>
        <w:tab/>
        <w:t>Geographic terrain:</w:t>
      </w:r>
    </w:p>
    <w:p>
      <w:pPr>
        <w:pStyle w:val="Body"/>
        <w:bidi w:val="0"/>
      </w:pPr>
      <w:r>
        <w:rPr>
          <w:rtl w:val="0"/>
        </w:rPr>
        <w:tab/>
        <w:t xml:space="preserve">Hoskin split the dolmens into two groups: one roughly comprising of those that were </w:t>
        <w:tab/>
        <w:tab/>
        <w:tab/>
        <w:t xml:space="preserve">located in the northern river basins of vouga, paiva, torto, and coa rivers, the other in </w:t>
        <w:tab/>
        <w:tab/>
        <w:tab/>
        <w:t>the mondego basin</w:t>
      </w:r>
      <w:r>
        <w:rPr>
          <w:rFonts w:ascii="Helvetica Neue" w:cs="Helvetica Neue" w:hAnsi="Helvetica Neue" w:eastAsia="Helvetica Neue"/>
          <w:b w:val="0"/>
          <w:bCs w:val="0"/>
          <w:i w:val="0"/>
          <w:iCs w:val="0"/>
          <w:vertAlign w:val="superscript"/>
        </w:rPr>
        <w:footnoteReference w:id="27"/>
      </w:r>
    </w:p>
    <w:p>
      <w:pPr>
        <w:pStyle w:val="Body"/>
        <w:bidi w:val="0"/>
      </w:pPr>
    </w:p>
    <w:p>
      <w:pPr>
        <w:pStyle w:val="Body"/>
        <w:bidi w:val="0"/>
      </w:pPr>
      <w:r>
        <w:rPr>
          <w:rtl w:val="0"/>
        </w:rPr>
        <w:tab/>
        <w:t xml:space="preserve">The megalithic tombs of the peninsulla are treated region by region, in an anti clockwise </w:t>
        <w:tab/>
        <w:t xml:space="preserve">direction beginning with western Catalunya in the central pyrenees (Section A) </w:t>
      </w:r>
      <w:r>
        <w:rPr>
          <w:rtl w:val="0"/>
        </w:rPr>
        <w:t>…</w:t>
      </w:r>
      <w:r>
        <w:rPr>
          <w:rtl w:val="0"/>
        </w:rPr>
        <w:t xml:space="preserve">. </w:t>
      </w:r>
      <w:r>
        <w:rPr>
          <w:rFonts w:ascii="Helvetica Neue" w:cs="Helvetica Neue" w:hAnsi="Helvetica Neue" w:eastAsia="Helvetica Neue"/>
          <w:b w:val="0"/>
          <w:bCs w:val="0"/>
          <w:i w:val="0"/>
          <w:iCs w:val="0"/>
          <w:vertAlign w:val="superscript"/>
        </w:rPr>
        <w:footnoteReference w:id="28"/>
      </w:r>
    </w:p>
    <w:p>
      <w:pPr>
        <w:pStyle w:val="Body"/>
        <w:bidi w:val="0"/>
      </w:pPr>
    </w:p>
    <w:p>
      <w:pPr>
        <w:pStyle w:val="Body"/>
        <w:bidi w:val="0"/>
      </w:pPr>
      <w:r>
        <w:rPr>
          <w:rtl w:val="0"/>
        </w:rPr>
        <w:tab/>
        <w:t xml:space="preserve">On the Spanish side of the border against the pyrenees mountains, </w:t>
      </w:r>
      <w:r>
        <w:rPr>
          <w:rtl w:val="0"/>
        </w:rPr>
        <w:t>‘</w:t>
      </w:r>
      <w:r>
        <w:rPr>
          <w:rtl w:val="0"/>
        </w:rPr>
        <w:t xml:space="preserve">there are numerous </w:t>
        <w:tab/>
        <w:t>megalithic tombs in the regions to either end of the mountain range</w:t>
      </w:r>
      <w:r>
        <w:rPr>
          <w:rtl w:val="0"/>
        </w:rPr>
        <w:t>’ …</w:t>
      </w:r>
      <w:r>
        <w:rPr>
          <w:rtl w:val="0"/>
        </w:rPr>
        <w:t xml:space="preserve">. Those in </w:t>
        <w:tab/>
        <w:tab/>
        <w:tab/>
        <w:t xml:space="preserve">Navarra and the Basque Country, near the bay of biscay, are considered below in </w:t>
        <w:tab/>
        <w:tab/>
        <w:tab/>
        <w:t xml:space="preserve">section b and c. In between these two regions, and therefore far away from the coats, </w:t>
        <w:tab/>
        <w:tab/>
        <w:tab/>
        <w:t xml:space="preserve">megalithic tombs are found in numbers in western Catalunya , especially near to </w:t>
        <w:tab/>
        <w:tab/>
        <w:tab/>
        <w:t>Andorra and the French frontier</w:t>
      </w:r>
      <w:r>
        <w:rPr>
          <w:rFonts w:ascii="Helvetica Neue" w:cs="Helvetica Neue" w:hAnsi="Helvetica Neue" w:eastAsia="Helvetica Neue"/>
          <w:b w:val="0"/>
          <w:bCs w:val="0"/>
          <w:i w:val="0"/>
          <w:iCs w:val="0"/>
          <w:vertAlign w:val="superscript"/>
        </w:rPr>
        <w:footnoteReference w:id="29"/>
      </w:r>
    </w:p>
    <w:p>
      <w:pPr>
        <w:pStyle w:val="Body"/>
        <w:bidi w:val="0"/>
      </w:pPr>
      <w:r>
        <w:tab/>
      </w:r>
    </w:p>
    <w:p>
      <w:pPr>
        <w:pStyle w:val="Body"/>
        <w:rPr>
          <w:color w:val="ff9300"/>
        </w:rPr>
      </w:pPr>
      <w:r>
        <w:rPr>
          <w:color w:val="ff9300"/>
          <w:rtl w:val="0"/>
        </w:rPr>
        <w:tab/>
        <w:tab/>
        <w:t>MONDEGO PLATFORM: HOSKIN V. SILVA:</w:t>
      </w:r>
    </w:p>
    <w:p>
      <w:pPr>
        <w:pStyle w:val="Body"/>
        <w:rPr>
          <w:color w:val="ff9300"/>
        </w:rPr>
      </w:pPr>
    </w:p>
    <w:p>
      <w:pPr>
        <w:pStyle w:val="Body"/>
        <w:rPr>
          <w:color w:val="000000"/>
        </w:rPr>
      </w:pPr>
      <w:r>
        <w:rPr>
          <w:color w:val="ff9300"/>
          <w:rtl w:val="0"/>
        </w:rPr>
        <w:tab/>
        <w:t xml:space="preserve">AIMS OF PAPERS: </w:t>
      </w:r>
    </w:p>
    <w:p>
      <w:pPr>
        <w:pStyle w:val="Body"/>
        <w:rPr>
          <w:color w:val="000000"/>
        </w:rPr>
      </w:pPr>
      <w:r>
        <w:rPr>
          <w:color w:val="000000"/>
          <w:rtl w:val="0"/>
        </w:rPr>
        <w:tab/>
        <w:tab/>
        <w:t xml:space="preserve">HOSKIN - TO PRODUCE DATA FOR ARCHAEOASTRONOMICAL </w:t>
        <w:tab/>
        <w:tab/>
        <w:tab/>
        <w:tab/>
        <w:tab/>
        <w:tab/>
        <w:tab/>
        <w:t>INTERPRETATION</w:t>
      </w:r>
    </w:p>
    <w:p>
      <w:pPr>
        <w:pStyle w:val="Body"/>
        <w:rPr>
          <w:color w:val="ff9300"/>
        </w:rPr>
      </w:pPr>
      <w:r>
        <w:rPr>
          <w:color w:val="000000"/>
          <w:rtl w:val="0"/>
        </w:rPr>
        <w:tab/>
        <w:tab/>
        <w:t xml:space="preserve">SILVA - TO OFFER INTERPRETATION BY EXPANDING THE METHODOLOGY </w:t>
        <w:tab/>
        <w:tab/>
        <w:tab/>
        <w:tab/>
        <w:tab/>
        <w:t xml:space="preserve">TO LET THE DATA </w:t>
      </w:r>
      <w:r>
        <w:rPr>
          <w:color w:val="000000"/>
          <w:rtl w:val="0"/>
          <w:lang w:val="en-US"/>
        </w:rPr>
        <w:t>‘</w:t>
      </w:r>
      <w:r>
        <w:rPr>
          <w:color w:val="000000"/>
          <w:rtl w:val="0"/>
          <w:lang w:val="en-US"/>
        </w:rPr>
        <w:t>SPEAK FOR ITSELF</w:t>
      </w:r>
      <w:r>
        <w:rPr>
          <w:color w:val="000000"/>
          <w:rtl w:val="0"/>
          <w:lang w:val="en-US"/>
        </w:rPr>
        <w:t xml:space="preserve">’ </w:t>
      </w:r>
      <w:r>
        <w:rPr>
          <w:color w:val="000000"/>
          <w:rtl w:val="0"/>
          <w:lang w:val="en-US"/>
        </w:rPr>
        <w:t xml:space="preserve">PHENOMENOLOGICALLY </w:t>
      </w:r>
      <w:r>
        <w:rPr>
          <w:color w:val="000000"/>
          <w:vertAlign w:val="superscript"/>
        </w:rPr>
        <w:footnoteReference w:id="30"/>
      </w:r>
    </w:p>
    <w:p>
      <w:pPr>
        <w:pStyle w:val="Body"/>
        <w:rPr>
          <w:color w:val="ff9300"/>
        </w:rPr>
      </w:pPr>
    </w:p>
    <w:p>
      <w:pPr>
        <w:pStyle w:val="Body"/>
        <w:rPr>
          <w:color w:val="ff9300"/>
        </w:rPr>
      </w:pPr>
      <w:r>
        <w:rPr>
          <w:color w:val="ff9300"/>
          <w:rtl w:val="0"/>
        </w:rPr>
        <w:tab/>
        <w:t>THEORETICAL FRAMEWORK:</w:t>
      </w:r>
    </w:p>
    <w:p>
      <w:pPr>
        <w:pStyle w:val="Body"/>
        <w:bidi w:val="0"/>
      </w:pPr>
      <w:r>
        <w:rPr>
          <w:rtl w:val="0"/>
        </w:rPr>
        <w:tab/>
        <w:tab/>
        <w:t>Hoskin</w:t>
      </w:r>
      <w:r>
        <w:rPr>
          <w:rtl w:val="0"/>
        </w:rPr>
        <w:t>’</w:t>
      </w:r>
      <w:r>
        <w:rPr>
          <w:rtl w:val="0"/>
        </w:rPr>
        <w:t>s left unexplained / unexamined; which is not to say that it shouldn</w:t>
      </w:r>
      <w:r>
        <w:rPr>
          <w:rtl w:val="0"/>
        </w:rPr>
        <w:t>’</w:t>
      </w:r>
      <w:r>
        <w:rPr>
          <w:rtl w:val="0"/>
        </w:rPr>
        <w:t xml:space="preserve">t be </w:t>
        <w:tab/>
        <w:tab/>
        <w:tab/>
        <w:tab/>
        <w:tab/>
      </w:r>
      <w:r>
        <w:rPr>
          <w:rtl w:val="0"/>
        </w:rPr>
        <w:t xml:space="preserve">— </w:t>
      </w:r>
      <w:r>
        <w:rPr>
          <w:rtl w:val="0"/>
        </w:rPr>
        <w:t>examined in analysis</w:t>
      </w:r>
    </w:p>
    <w:p>
      <w:pPr>
        <w:pStyle w:val="Body"/>
        <w:bidi w:val="0"/>
      </w:pPr>
      <w:r>
        <w:rPr>
          <w:rtl w:val="0"/>
        </w:rPr>
        <w:tab/>
        <w:tab/>
        <w:t>Silva</w:t>
      </w:r>
      <w:r>
        <w:rPr>
          <w:rtl w:val="0"/>
        </w:rPr>
        <w:t>’</w:t>
      </w:r>
      <w:r>
        <w:rPr>
          <w:rtl w:val="0"/>
        </w:rPr>
        <w:t>s is Darvill</w:t>
      </w:r>
      <w:r>
        <w:rPr>
          <w:rtl w:val="0"/>
        </w:rPr>
        <w:t>’</w:t>
      </w:r>
      <w:r>
        <w:rPr>
          <w:rtl w:val="0"/>
        </w:rPr>
        <w:t xml:space="preserve">s space-time-action, which defines landscapes as </w:t>
      </w:r>
      <w:r>
        <w:rPr>
          <w:rtl w:val="0"/>
        </w:rPr>
        <w:t>‘</w:t>
      </w:r>
      <w:r>
        <w:rPr>
          <w:rtl w:val="0"/>
        </w:rPr>
        <w:t xml:space="preserve">time </w:t>
        <w:tab/>
        <w:tab/>
        <w:tab/>
        <w:tab/>
        <w:tab/>
        <w:t xml:space="preserve">dependent, spatially referenced, socially constituted template or perspective of </w:t>
        <w:tab/>
        <w:tab/>
        <w:tab/>
        <w:tab/>
        <w:t xml:space="preserve">the world that is held in common by individuals and groups and which us </w:t>
        <w:tab/>
        <w:tab/>
        <w:tab/>
        <w:tab/>
        <w:t>applied in a variety of ways to the domain in which they find themselves</w:t>
      </w:r>
      <w:r>
        <w:rPr>
          <w:rtl w:val="0"/>
        </w:rPr>
        <w:t>’</w:t>
      </w:r>
      <w:r>
        <w:rPr>
          <w:rFonts w:ascii="Helvetica Neue" w:cs="Helvetica Neue" w:hAnsi="Helvetica Neue" w:eastAsia="Helvetica Neue"/>
          <w:b w:val="0"/>
          <w:bCs w:val="0"/>
          <w:i w:val="0"/>
          <w:iCs w:val="0"/>
          <w:vertAlign w:val="superscript"/>
        </w:rPr>
        <w:footnoteReference w:id="31"/>
      </w:r>
    </w:p>
    <w:p>
      <w:pPr>
        <w:pStyle w:val="Body"/>
        <w:bidi w:val="0"/>
      </w:pPr>
    </w:p>
    <w:p>
      <w:pPr>
        <w:pStyle w:val="Body"/>
        <w:bidi w:val="0"/>
      </w:pPr>
      <w:r>
        <w:rPr>
          <w:rtl w:val="0"/>
        </w:rPr>
        <w:tab/>
        <w:tab/>
        <w:t xml:space="preserve">and offers proof for its relevance here: </w:t>
      </w:r>
      <w:r>
        <w:rPr>
          <w:rtl w:val="0"/>
        </w:rPr>
        <w:t>“ ‘</w:t>
      </w:r>
      <w:r>
        <w:rPr>
          <w:rtl w:val="0"/>
        </w:rPr>
        <w:t xml:space="preserve">Cruz considers that Mondego platform </w:t>
        <w:tab/>
        <w:tab/>
        <w:tab/>
        <w:tab/>
        <w:tab/>
        <w:t xml:space="preserve">was not devoid of Mesolithic occupation but that these settlements </w:t>
        <w:tab/>
        <w:tab/>
        <w:tab/>
        <w:tab/>
        <w:tab/>
        <w:t>would most likely now be submerged or destroyed by rising water levels</w:t>
      </w:r>
      <w:r>
        <w:rPr>
          <w:rtl w:val="0"/>
        </w:rPr>
        <w:t xml:space="preserve">’ </w:t>
      </w:r>
      <w:r>
        <w:rPr>
          <w:rFonts w:ascii="Helvetica Neue" w:cs="Helvetica Neue" w:hAnsi="Helvetica Neue" w:eastAsia="Helvetica Neue"/>
          <w:b w:val="0"/>
          <w:bCs w:val="0"/>
          <w:i w:val="0"/>
          <w:iCs w:val="0"/>
          <w:vertAlign w:val="superscript"/>
        </w:rPr>
        <w:footnoteReference w:id="32"/>
      </w:r>
    </w:p>
    <w:p>
      <w:pPr>
        <w:pStyle w:val="Body"/>
        <w:bidi w:val="0"/>
      </w:pPr>
      <w:r>
        <w:rPr>
          <w:rtl w:val="0"/>
        </w:rPr>
        <w:tab/>
        <w:tab/>
        <w:t xml:space="preserve">and allows for the widening of the methodology, and gives Creedence to </w:t>
        <w:tab/>
        <w:tab/>
        <w:tab/>
        <w:tab/>
        <w:tab/>
        <w:tab/>
        <w:t xml:space="preserve">archaeoastrology: Silva looks for social aspects in the sky by offering </w:t>
        <w:tab/>
        <w:tab/>
        <w:tab/>
        <w:tab/>
        <w:tab/>
        <w:t>theories of how the star/</w:t>
      </w:r>
      <w:r>
        <w:rPr>
          <w:rtl w:val="0"/>
        </w:rPr>
        <w:t>‘</w:t>
      </w:r>
      <w:r>
        <w:rPr>
          <w:rtl w:val="0"/>
        </w:rPr>
        <w:t>view</w:t>
      </w:r>
      <w:r>
        <w:rPr>
          <w:rtl w:val="0"/>
        </w:rPr>
        <w:t xml:space="preserve">’ </w:t>
      </w:r>
      <w:r>
        <w:rPr>
          <w:rtl w:val="0"/>
        </w:rPr>
        <w:t xml:space="preserve">of landscape has social constituted </w:t>
        <w:tab/>
        <w:tab/>
        <w:tab/>
        <w:tab/>
        <w:tab/>
        <w:t xml:space="preserve">perspectives </w:t>
      </w:r>
    </w:p>
    <w:p>
      <w:pPr>
        <w:pStyle w:val="Body"/>
        <w:rPr>
          <w:color w:val="ff9300"/>
        </w:rPr>
      </w:pPr>
    </w:p>
    <w:p>
      <w:pPr>
        <w:pStyle w:val="Body"/>
        <w:rPr>
          <w:color w:val="ff9300"/>
        </w:rPr>
      </w:pPr>
    </w:p>
    <w:p>
      <w:pPr>
        <w:pStyle w:val="Body"/>
        <w:rPr>
          <w:color w:val="b41700"/>
        </w:rPr>
      </w:pPr>
      <w:r>
        <w:rPr>
          <w:color w:val="b41700"/>
          <w:rtl w:val="0"/>
          <w:lang w:val="en-US"/>
        </w:rPr>
        <w:t xml:space="preserve">BODY 3: ANALYSIS </w:t>
      </w:r>
    </w:p>
    <w:p>
      <w:pPr>
        <w:pStyle w:val="Body"/>
        <w:numPr>
          <w:ilvl w:val="0"/>
          <w:numId w:val="7"/>
        </w:numPr>
        <w:rPr>
          <w:color w:val="b41700"/>
          <w:lang w:val="en-US"/>
        </w:rPr>
      </w:pPr>
      <w:r>
        <w:rPr>
          <w:color w:val="b41700"/>
          <w:rtl w:val="0"/>
          <w:lang w:val="en-US"/>
        </w:rPr>
        <w:t>DOES SILVA ACHIEVE HOSKIN</w:t>
      </w:r>
      <w:r>
        <w:rPr>
          <w:color w:val="b41700"/>
          <w:rtl w:val="0"/>
          <w:lang w:val="en-US"/>
        </w:rPr>
        <w:t>’</w:t>
      </w:r>
      <w:r>
        <w:rPr>
          <w:color w:val="b41700"/>
          <w:rtl w:val="0"/>
          <w:lang w:val="en-US"/>
        </w:rPr>
        <w:t xml:space="preserve">S AIM PER RUGGLES PAPER? </w:t>
      </w:r>
    </w:p>
    <w:p>
      <w:pPr>
        <w:pStyle w:val="Body"/>
        <w:numPr>
          <w:ilvl w:val="0"/>
          <w:numId w:val="7"/>
        </w:numPr>
        <w:rPr>
          <w:color w:val="b41700"/>
          <w:lang w:val="en-US"/>
        </w:rPr>
      </w:pPr>
      <w:r>
        <w:rPr>
          <w:color w:val="b41700"/>
          <w:rtl w:val="0"/>
          <w:lang w:val="en-US"/>
        </w:rPr>
        <w:t xml:space="preserve">WHAT SOURCES HAVE BEEN USED? </w:t>
      </w:r>
    </w:p>
    <w:p>
      <w:pPr>
        <w:pStyle w:val="Body"/>
        <w:numPr>
          <w:ilvl w:val="1"/>
          <w:numId w:val="7"/>
        </w:numPr>
        <w:rPr>
          <w:color w:val="b41700"/>
          <w:lang w:val="en-US"/>
        </w:rPr>
      </w:pPr>
      <w:r>
        <w:rPr>
          <w:color w:val="b41700"/>
          <w:rtl w:val="0"/>
          <w:lang w:val="en-US"/>
        </w:rPr>
        <w:t xml:space="preserve">Hoskin cites his previous studies and offers his own </w:t>
      </w:r>
      <w:r>
        <w:rPr>
          <w:color w:val="b41700"/>
          <w:rtl w:val="0"/>
          <w:lang w:val="en-US"/>
        </w:rPr>
        <w:t>‘</w:t>
      </w:r>
      <w:r>
        <w:rPr>
          <w:color w:val="b41700"/>
          <w:rtl w:val="0"/>
          <w:lang w:val="en-US"/>
        </w:rPr>
        <w:t>further notes</w:t>
      </w:r>
      <w:r>
        <w:rPr>
          <w:color w:val="b41700"/>
          <w:rtl w:val="0"/>
          <w:lang w:val="en-US"/>
        </w:rPr>
        <w:t>’</w:t>
      </w:r>
      <w:r>
        <w:rPr>
          <w:color w:val="b41700"/>
          <w:rtl w:val="0"/>
          <w:lang w:val="en-US"/>
        </w:rPr>
        <w:t xml:space="preserve">; does not engage with outside literature in his paper </w:t>
      </w:r>
    </w:p>
    <w:p>
      <w:pPr>
        <w:pStyle w:val="Body"/>
        <w:numPr>
          <w:ilvl w:val="1"/>
          <w:numId w:val="7"/>
        </w:numPr>
        <w:rPr>
          <w:color w:val="b41700"/>
          <w:lang w:val="en-US"/>
        </w:rPr>
      </w:pPr>
      <w:r>
        <w:rPr>
          <w:color w:val="b41700"/>
          <w:rtl w:val="0"/>
          <w:lang w:val="en-US"/>
        </w:rPr>
        <w:t xml:space="preserve">Silva cites relevant experts </w:t>
      </w:r>
      <w:r>
        <w:rPr>
          <w:color w:val="b41700"/>
          <w:rtl w:val="0"/>
          <w:lang w:val="en-US"/>
        </w:rPr>
        <w:t xml:space="preserve">— </w:t>
      </w:r>
      <w:r>
        <w:rPr>
          <w:color w:val="b41700"/>
          <w:rtl w:val="0"/>
          <w:lang w:val="en-US"/>
        </w:rPr>
        <w:t xml:space="preserve">not just data, but also ethnographers/anthropologists: cruz, hoskin, ruggles, darvill, brady, </w:t>
      </w:r>
      <w:r>
        <w:rPr>
          <w:color w:val="b41700"/>
          <w:rtl w:val="0"/>
          <w:lang w:val="it-IT"/>
        </w:rPr>
        <w:t>senna-martinez</w:t>
      </w:r>
      <w:r>
        <w:rPr>
          <w:color w:val="b41700"/>
          <w:rtl w:val="0"/>
          <w:lang w:val="en-US"/>
        </w:rPr>
        <w:t xml:space="preserve">, Hayden and vill. </w:t>
      </w:r>
    </w:p>
    <w:p>
      <w:pPr>
        <w:pStyle w:val="Body"/>
        <w:numPr>
          <w:ilvl w:val="0"/>
          <w:numId w:val="7"/>
        </w:numPr>
        <w:rPr>
          <w:color w:val="b41700"/>
          <w:lang w:val="en-US"/>
        </w:rPr>
      </w:pPr>
      <w:r>
        <w:rPr>
          <w:color w:val="b41700"/>
          <w:rtl w:val="0"/>
          <w:lang w:val="en-US"/>
        </w:rPr>
        <w:t>ANY MISSING SOURCES?</w:t>
      </w:r>
    </w:p>
    <w:p>
      <w:pPr>
        <w:pStyle w:val="Body"/>
        <w:numPr>
          <w:ilvl w:val="1"/>
          <w:numId w:val="7"/>
        </w:numPr>
        <w:rPr>
          <w:color w:val="b41700"/>
          <w:lang w:val="en-US"/>
        </w:rPr>
      </w:pPr>
      <w:r>
        <w:rPr>
          <w:color w:val="b41700"/>
          <w:rtl w:val="0"/>
          <w:lang w:val="en-US"/>
        </w:rPr>
        <w:t>Hoskin does not cite a source for his understanding that the dolmens are tombs; is this idea from the local archaeologists or from his own background?</w:t>
      </w:r>
    </w:p>
    <w:p>
      <w:pPr>
        <w:pStyle w:val="Body"/>
        <w:numPr>
          <w:ilvl w:val="0"/>
          <w:numId w:val="7"/>
        </w:numPr>
        <w:rPr>
          <w:color w:val="b41700"/>
          <w:lang w:val="en-US"/>
        </w:rPr>
      </w:pPr>
      <w:r>
        <w:rPr>
          <w:color w:val="b41700"/>
          <w:rtl w:val="0"/>
          <w:lang w:val="en-US"/>
        </w:rPr>
        <w:t>IS THE ARGUMENT WELL FOOT-NOTED?</w:t>
      </w:r>
    </w:p>
    <w:p>
      <w:pPr>
        <w:pStyle w:val="Body"/>
        <w:numPr>
          <w:ilvl w:val="1"/>
          <w:numId w:val="7"/>
        </w:numPr>
        <w:rPr>
          <w:color w:val="b41700"/>
          <w:lang w:val="en-US"/>
        </w:rPr>
      </w:pPr>
      <w:r>
        <w:rPr>
          <w:color w:val="b41700"/>
          <w:rtl w:val="0"/>
          <w:lang w:val="en-US"/>
        </w:rPr>
        <w:t xml:space="preserve">HOSKIN - NO; SILVA - YES </w:t>
      </w:r>
    </w:p>
    <w:p>
      <w:pPr>
        <w:pStyle w:val="Body"/>
        <w:numPr>
          <w:ilvl w:val="1"/>
          <w:numId w:val="7"/>
        </w:numPr>
        <w:rPr>
          <w:color w:val="b41700"/>
          <w:lang w:val="en-US"/>
        </w:rPr>
      </w:pPr>
      <w:r>
        <w:rPr>
          <w:color w:val="b41700"/>
          <w:rtl w:val="0"/>
          <w:lang w:val="en-US"/>
        </w:rPr>
        <w:t xml:space="preserve">But is the point for Hoskin to be well-footnoted? </w:t>
      </w:r>
    </w:p>
    <w:p>
      <w:pPr>
        <w:pStyle w:val="Body"/>
        <w:numPr>
          <w:ilvl w:val="1"/>
          <w:numId w:val="7"/>
        </w:numPr>
        <w:rPr>
          <w:color w:val="b41700"/>
          <w:lang w:val="en-US"/>
        </w:rPr>
      </w:pPr>
      <w:r>
        <w:rPr>
          <w:color w:val="b41700"/>
          <w:rtl w:val="0"/>
          <w:lang w:val="en-US"/>
        </w:rPr>
        <w:t xml:space="preserve">How does this change the approach to the discipline? </w:t>
      </w:r>
    </w:p>
    <w:p>
      <w:pPr>
        <w:pStyle w:val="Body"/>
        <w:numPr>
          <w:ilvl w:val="0"/>
          <w:numId w:val="7"/>
        </w:numPr>
        <w:rPr>
          <w:color w:val="b41700"/>
          <w:lang w:val="en-US"/>
        </w:rPr>
      </w:pPr>
      <w:r>
        <w:rPr>
          <w:color w:val="b41700"/>
          <w:rtl w:val="0"/>
          <w:lang w:val="en-US"/>
        </w:rPr>
        <w:t>DOES THE PAPER REACH ITS AIM?</w:t>
      </w:r>
    </w:p>
    <w:p>
      <w:pPr>
        <w:pStyle w:val="Body"/>
        <w:rPr>
          <w:color w:val="b41700"/>
        </w:rPr>
      </w:pPr>
      <w:r>
        <w:rPr>
          <w:color w:val="b41700"/>
          <w:rtl w:val="0"/>
          <w:lang w:val="en-US"/>
        </w:rPr>
        <w:t xml:space="preserve">Yes </w:t>
      </w:r>
    </w:p>
    <w:p>
      <w:pPr>
        <w:pStyle w:val="Body"/>
        <w:rPr>
          <w:color w:val="b41700"/>
        </w:rPr>
      </w:pPr>
    </w:p>
    <w:p>
      <w:pPr>
        <w:pStyle w:val="Body"/>
        <w:rPr/>
      </w:pPr>
      <w:r>
        <w:rPr>
          <w:rtl w:val="0"/>
          <w:lang w:val="en-US"/>
        </w:rPr>
        <w:t>CONCLUSIOn!!!!!!</w:t>
      </w:r>
    </w:p>
    <w:p>
      <w:pPr>
        <w:pStyle w:val="Body"/>
        <w:rPr/>
      </w:pPr>
    </w:p>
    <w:p>
      <w:pPr>
        <w:pStyle w:val="Body"/>
        <w:bidi w:val="0"/>
      </w:pPr>
      <w:r>
        <w:rPr>
          <w:rtl w:val="0"/>
        </w:rPr>
        <w:t>This paper offered a critical review Hoskin and Silva</w:t>
      </w:r>
      <w:r>
        <w:rPr>
          <w:rtl w:val="0"/>
        </w:rPr>
        <w:t>’</w:t>
      </w:r>
      <w:r>
        <w:rPr>
          <w:rtl w:val="0"/>
        </w:rPr>
        <w:t>s papers, with consideration towards methodology + structure, location in academic conversation, and analysis of the papers</w:t>
      </w:r>
      <w:r>
        <w:rPr>
          <w:rtl w:val="0"/>
        </w:rPr>
        <w:t xml:space="preserve">’ </w:t>
      </w:r>
      <w:r>
        <w:rPr>
          <w:rtl w:val="0"/>
        </w:rPr>
        <w:t xml:space="preserve">achievements. </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Ruggles, </w:t>
      </w:r>
      <w:r>
        <w:rPr>
          <w:rFonts w:cs="Arial Unicode MS" w:eastAsia="Arial Unicode MS" w:hint="default"/>
          <w:rtl w:val="0"/>
          <w:lang w:val="en-US"/>
        </w:rPr>
        <w:t>‘</w:t>
      </w:r>
      <w:r>
        <w:rPr>
          <w:rFonts w:cs="Arial Unicode MS" w:eastAsia="Arial Unicode MS"/>
          <w:rtl w:val="0"/>
          <w:lang w:val="en-US"/>
        </w:rPr>
        <w:t>Archaeoastronomy,</w:t>
      </w:r>
      <w:r>
        <w:rPr>
          <w:rFonts w:cs="Arial Unicode MS" w:eastAsia="Arial Unicode MS" w:hint="default"/>
          <w:rtl w:val="0"/>
          <w:lang w:val="en-US"/>
        </w:rPr>
        <w:t xml:space="preserve">’ </w:t>
      </w:r>
      <w:r>
        <w:rPr>
          <w:rFonts w:cs="Arial Unicode MS" w:eastAsia="Arial Unicode MS"/>
          <w:rtl w:val="0"/>
          <w:lang w:val="en-US"/>
        </w:rPr>
        <w:t xml:space="preserve">CITE </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s39</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FIND CITATION FROM RCC </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S39</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s40</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s40</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Hoskin (s40-s41) </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s86</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Ruggles (2011), 9-10</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121</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121</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123</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123</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124</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125</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127</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130</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131</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132</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133</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133</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134</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134</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134</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135</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135</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123</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S39</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Hoskin s41</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cite - Silva ?</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Darvill 111</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Silva 121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80" w:hanging="180"/>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Dash"/>
  </w:abstractNum>
  <w:abstractNum w:abstractNumId="3">
    <w:multiLevelType w:val="hybridMultilevel"/>
    <w:styleLink w:val="Dash"/>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4">
    <w:multiLevelType w:val="hybridMultilevel"/>
    <w:numStyleLink w:val="Lettered"/>
  </w:abstractNum>
  <w:abstractNum w:abstractNumId="5">
    <w:multiLevelType w:val="hybridMultilevel"/>
    <w:styleLink w:val="Lettered"/>
    <w:lvl w:ilvl="0">
      <w:start w:val="1"/>
      <w:numFmt w:val="upperLetter"/>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upperLetter"/>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upperLetter"/>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upperLetter"/>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upperLetter"/>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upperLetter"/>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upperLetter"/>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upperLetter"/>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upperLetter"/>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2"/>
    <w:lvlOverride w:ilvl="0">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1">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2">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3">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4">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5">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6">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7">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lvlOverride w:ilvl="8">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numbering" w:styleId="Bullet">
    <w:name w:val="Bullet"/>
    <w:pPr>
      <w:numPr>
        <w:numId w:val="1"/>
      </w:numPr>
    </w:pPr>
  </w:style>
  <w:style w:type="numbering" w:styleId="Dash">
    <w:name w:val="Dash"/>
    <w:pPr>
      <w:numPr>
        <w:numId w:val="3"/>
      </w:numPr>
    </w:pPr>
  </w:style>
  <w:style w:type="numbering" w:styleId="Lettered">
    <w:name w:val="Lettered"/>
    <w:pPr>
      <w:numPr>
        <w:numId w:val="5"/>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