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8E93C4" w14:textId="77777777" w:rsidR="000A5852" w:rsidRDefault="000A5852" w:rsidP="000A5852">
      <w:pPr>
        <w:jc w:val="center"/>
        <w:rPr>
          <w:rFonts w:asciiTheme="majorHAnsi" w:hAnsiTheme="majorHAnsi" w:cstheme="majorHAnsi"/>
          <w:b/>
          <w:bCs/>
          <w:sz w:val="96"/>
          <w:szCs w:val="96"/>
          <w:lang w:val="en-US"/>
        </w:rPr>
      </w:pPr>
    </w:p>
    <w:p w14:paraId="750F5AD6" w14:textId="19C77E1A" w:rsidR="00783068" w:rsidRDefault="000A5852" w:rsidP="000A5852">
      <w:pPr>
        <w:jc w:val="center"/>
        <w:rPr>
          <w:rFonts w:asciiTheme="majorHAnsi" w:hAnsiTheme="majorHAnsi" w:cstheme="majorHAnsi"/>
          <w:b/>
          <w:bCs/>
          <w:sz w:val="96"/>
          <w:szCs w:val="96"/>
          <w:lang w:val="en-US"/>
        </w:rPr>
      </w:pPr>
      <w:r w:rsidRPr="000A5852">
        <w:rPr>
          <w:rFonts w:asciiTheme="majorHAnsi" w:hAnsiTheme="majorHAnsi" w:cstheme="majorHAnsi"/>
          <w:b/>
          <w:bCs/>
          <w:sz w:val="96"/>
          <w:szCs w:val="96"/>
          <w:lang w:val="en-US"/>
        </w:rPr>
        <w:t>ACCOUNTING FUNDAMENTALS</w:t>
      </w:r>
    </w:p>
    <w:p w14:paraId="153D7241" w14:textId="680F2CC0" w:rsidR="000A5852" w:rsidRPr="000A5852" w:rsidRDefault="000A5852" w:rsidP="000A5852">
      <w:pPr>
        <w:jc w:val="center"/>
        <w:rPr>
          <w:rFonts w:asciiTheme="majorHAnsi" w:hAnsiTheme="majorHAnsi" w:cstheme="majorHAnsi"/>
          <w:b/>
          <w:bCs/>
          <w:sz w:val="36"/>
          <w:szCs w:val="36"/>
          <w:lang w:val="en-US"/>
        </w:rPr>
      </w:pPr>
      <w:r w:rsidRPr="000A5852">
        <w:rPr>
          <w:rFonts w:asciiTheme="majorHAnsi" w:hAnsiTheme="majorHAnsi" w:cstheme="majorHAnsi"/>
          <w:b/>
          <w:bCs/>
          <w:sz w:val="36"/>
          <w:szCs w:val="36"/>
          <w:lang w:val="en-US"/>
        </w:rPr>
        <w:t>Accounting Fundamentals Assessment 1</w:t>
      </w:r>
    </w:p>
    <w:p w14:paraId="632307F6" w14:textId="51F54A99" w:rsidR="000A5852" w:rsidRDefault="000A5852" w:rsidP="000A5852">
      <w:pPr>
        <w:jc w:val="center"/>
        <w:rPr>
          <w:rFonts w:asciiTheme="majorHAnsi" w:hAnsiTheme="majorHAnsi" w:cstheme="majorHAnsi"/>
          <w:b/>
          <w:bCs/>
          <w:sz w:val="96"/>
          <w:szCs w:val="96"/>
          <w:lang w:val="en-US"/>
        </w:rPr>
      </w:pPr>
    </w:p>
    <w:p w14:paraId="4A3BAE71" w14:textId="6E9FFD3D" w:rsidR="000A5852" w:rsidRDefault="000A5852" w:rsidP="000A5852">
      <w:pPr>
        <w:jc w:val="center"/>
        <w:rPr>
          <w:rFonts w:asciiTheme="majorHAnsi" w:hAnsiTheme="majorHAnsi" w:cstheme="majorHAnsi"/>
          <w:b/>
          <w:bCs/>
          <w:sz w:val="96"/>
          <w:szCs w:val="96"/>
          <w:lang w:val="en-US"/>
        </w:rPr>
      </w:pPr>
    </w:p>
    <w:p w14:paraId="0AC30559" w14:textId="76B0E84B" w:rsidR="000A5852" w:rsidRDefault="000A5852" w:rsidP="000A5852">
      <w:pPr>
        <w:jc w:val="center"/>
        <w:rPr>
          <w:rFonts w:asciiTheme="majorHAnsi" w:hAnsiTheme="majorHAnsi" w:cstheme="majorHAnsi"/>
          <w:b/>
          <w:bCs/>
          <w:sz w:val="96"/>
          <w:szCs w:val="96"/>
          <w:lang w:val="en-US"/>
        </w:rPr>
      </w:pPr>
    </w:p>
    <w:p w14:paraId="70632EB3" w14:textId="2934AD33" w:rsidR="000A5852" w:rsidRDefault="000A5852" w:rsidP="000A5852">
      <w:pPr>
        <w:rPr>
          <w:rFonts w:asciiTheme="majorHAnsi" w:hAnsiTheme="majorHAnsi" w:cstheme="majorHAnsi"/>
          <w:b/>
          <w:bCs/>
          <w:sz w:val="24"/>
          <w:szCs w:val="24"/>
          <w:lang w:val="en-US"/>
        </w:rPr>
      </w:pPr>
    </w:p>
    <w:p w14:paraId="64E54322" w14:textId="4A4D65BD" w:rsidR="000A5852" w:rsidRDefault="000A5852" w:rsidP="000A5852">
      <w:pPr>
        <w:rPr>
          <w:rFonts w:asciiTheme="majorHAnsi" w:hAnsiTheme="majorHAnsi" w:cstheme="majorHAnsi"/>
          <w:b/>
          <w:bCs/>
          <w:sz w:val="24"/>
          <w:szCs w:val="24"/>
          <w:lang w:val="en-US"/>
        </w:rPr>
      </w:pPr>
    </w:p>
    <w:p w14:paraId="1644DD34" w14:textId="6AE6C9B0" w:rsidR="000A5852" w:rsidRDefault="000A5852" w:rsidP="000A5852">
      <w:pPr>
        <w:rPr>
          <w:rFonts w:asciiTheme="majorHAnsi" w:hAnsiTheme="majorHAnsi" w:cstheme="majorHAnsi"/>
          <w:b/>
          <w:bCs/>
          <w:sz w:val="24"/>
          <w:szCs w:val="24"/>
          <w:lang w:val="en-US"/>
        </w:rPr>
      </w:pPr>
    </w:p>
    <w:p w14:paraId="32D44ED0" w14:textId="36A3FAA2" w:rsidR="000A5852" w:rsidRPr="000A5852" w:rsidRDefault="000A5852" w:rsidP="000A5852">
      <w:pPr>
        <w:rPr>
          <w:rFonts w:ascii="Times New Roman" w:hAnsi="Times New Roman" w:cs="Times New Roman"/>
          <w:b/>
          <w:bCs/>
          <w:sz w:val="28"/>
          <w:szCs w:val="28"/>
          <w:lang w:val="en-US"/>
        </w:rPr>
      </w:pPr>
      <w:r w:rsidRPr="000A5852">
        <w:rPr>
          <w:rFonts w:ascii="Times New Roman" w:hAnsi="Times New Roman" w:cs="Times New Roman"/>
          <w:b/>
          <w:bCs/>
          <w:sz w:val="28"/>
          <w:szCs w:val="28"/>
          <w:lang w:val="en-US"/>
        </w:rPr>
        <w:t xml:space="preserve">Name:  </w:t>
      </w:r>
      <w:r w:rsidRPr="000A5852">
        <w:rPr>
          <w:rFonts w:ascii="Times New Roman" w:hAnsi="Times New Roman" w:cs="Times New Roman"/>
          <w:sz w:val="28"/>
          <w:szCs w:val="28"/>
          <w:lang w:val="en-US"/>
        </w:rPr>
        <w:t>Presian Mladenov</w:t>
      </w:r>
      <w:r w:rsidRPr="000A5852">
        <w:rPr>
          <w:rFonts w:ascii="Times New Roman" w:hAnsi="Times New Roman" w:cs="Times New Roman"/>
          <w:b/>
          <w:bCs/>
          <w:sz w:val="28"/>
          <w:szCs w:val="28"/>
          <w:lang w:val="en-US"/>
        </w:rPr>
        <w:t xml:space="preserve"> </w:t>
      </w:r>
    </w:p>
    <w:p w14:paraId="4BD2F59D" w14:textId="78569357" w:rsidR="000A5852" w:rsidRPr="000A5852" w:rsidRDefault="000A5852" w:rsidP="000A5852">
      <w:pPr>
        <w:rPr>
          <w:rFonts w:ascii="Times New Roman" w:hAnsi="Times New Roman" w:cs="Times New Roman"/>
          <w:b/>
          <w:bCs/>
          <w:sz w:val="28"/>
          <w:szCs w:val="28"/>
          <w:lang w:val="en-US"/>
        </w:rPr>
      </w:pPr>
      <w:r w:rsidRPr="000A5852">
        <w:rPr>
          <w:rFonts w:ascii="Times New Roman" w:hAnsi="Times New Roman" w:cs="Times New Roman"/>
          <w:b/>
          <w:bCs/>
          <w:sz w:val="28"/>
          <w:szCs w:val="28"/>
          <w:lang w:val="en-US"/>
        </w:rPr>
        <w:t xml:space="preserve">Student Number: </w:t>
      </w:r>
      <w:r w:rsidR="00805652" w:rsidRPr="00805652">
        <w:rPr>
          <w:rFonts w:ascii="Times New Roman" w:hAnsi="Times New Roman" w:cs="Times New Roman"/>
          <w:sz w:val="28"/>
          <w:szCs w:val="28"/>
          <w:lang w:val="en-US"/>
        </w:rPr>
        <w:t>2014071</w:t>
      </w:r>
    </w:p>
    <w:p w14:paraId="34FF25F3" w14:textId="4C77ABB3" w:rsidR="000A5852" w:rsidRPr="000A5852" w:rsidRDefault="000A5852" w:rsidP="000A5852">
      <w:pPr>
        <w:rPr>
          <w:rFonts w:ascii="Times New Roman" w:hAnsi="Times New Roman" w:cs="Times New Roman"/>
          <w:sz w:val="28"/>
          <w:szCs w:val="28"/>
          <w:lang w:val="en-US"/>
        </w:rPr>
      </w:pPr>
      <w:r w:rsidRPr="000A5852">
        <w:rPr>
          <w:rFonts w:ascii="Times New Roman" w:hAnsi="Times New Roman" w:cs="Times New Roman"/>
          <w:b/>
          <w:bCs/>
          <w:sz w:val="28"/>
          <w:szCs w:val="28"/>
          <w:lang w:val="en-US"/>
        </w:rPr>
        <w:t>Modul</w:t>
      </w:r>
      <w:r w:rsidR="00701740">
        <w:rPr>
          <w:rFonts w:ascii="Times New Roman" w:hAnsi="Times New Roman" w:cs="Times New Roman"/>
          <w:b/>
          <w:bCs/>
          <w:sz w:val="28"/>
          <w:szCs w:val="28"/>
          <w:lang w:val="en-US"/>
        </w:rPr>
        <w:t>e</w:t>
      </w:r>
      <w:r w:rsidRPr="000A5852">
        <w:rPr>
          <w:rFonts w:ascii="Times New Roman" w:hAnsi="Times New Roman" w:cs="Times New Roman"/>
          <w:b/>
          <w:bCs/>
          <w:sz w:val="28"/>
          <w:szCs w:val="28"/>
          <w:lang w:val="en-US"/>
        </w:rPr>
        <w:t xml:space="preserve">: </w:t>
      </w:r>
      <w:r w:rsidRPr="000A5852">
        <w:rPr>
          <w:rFonts w:ascii="Times New Roman" w:hAnsi="Times New Roman" w:cs="Times New Roman"/>
          <w:sz w:val="28"/>
          <w:szCs w:val="28"/>
          <w:lang w:val="en-US"/>
        </w:rPr>
        <w:t xml:space="preserve">LCBB4001 Accounting Fundamentals </w:t>
      </w:r>
    </w:p>
    <w:p w14:paraId="3544C1E3" w14:textId="4E150C5A" w:rsidR="000A5852" w:rsidRDefault="000A5852" w:rsidP="000A5852">
      <w:pPr>
        <w:rPr>
          <w:rFonts w:asciiTheme="majorHAnsi" w:hAnsiTheme="majorHAnsi" w:cstheme="majorHAnsi"/>
          <w:sz w:val="28"/>
          <w:szCs w:val="28"/>
          <w:lang w:val="en-US"/>
        </w:rPr>
      </w:pPr>
      <w:r w:rsidRPr="000A5852">
        <w:rPr>
          <w:rFonts w:ascii="Times New Roman" w:hAnsi="Times New Roman" w:cs="Times New Roman"/>
          <w:b/>
          <w:bCs/>
          <w:sz w:val="28"/>
          <w:szCs w:val="28"/>
          <w:lang w:val="en-US"/>
        </w:rPr>
        <w:t>Lecturer:</w:t>
      </w:r>
      <w:r w:rsidRPr="000A5852">
        <w:rPr>
          <w:rFonts w:ascii="Times New Roman" w:hAnsi="Times New Roman" w:cs="Times New Roman"/>
          <w:sz w:val="28"/>
          <w:szCs w:val="28"/>
          <w:lang w:val="en-US"/>
        </w:rPr>
        <w:t xml:space="preserve"> Dr</w:t>
      </w:r>
      <w:r w:rsidR="00805652">
        <w:rPr>
          <w:rFonts w:ascii="Times New Roman" w:hAnsi="Times New Roman" w:cs="Times New Roman"/>
          <w:sz w:val="28"/>
          <w:szCs w:val="28"/>
          <w:lang w:val="en-US"/>
        </w:rPr>
        <w:t>.</w:t>
      </w:r>
      <w:r w:rsidRPr="000A5852">
        <w:rPr>
          <w:rFonts w:ascii="Times New Roman" w:hAnsi="Times New Roman" w:cs="Times New Roman"/>
          <w:sz w:val="28"/>
          <w:szCs w:val="28"/>
          <w:lang w:val="en-US"/>
        </w:rPr>
        <w:t xml:space="preserve"> Widen Bongasu Sha’ven</w:t>
      </w:r>
      <w:r w:rsidRPr="000A5852">
        <w:rPr>
          <w:rFonts w:asciiTheme="majorHAnsi" w:hAnsiTheme="majorHAnsi" w:cstheme="majorHAnsi"/>
          <w:sz w:val="28"/>
          <w:szCs w:val="28"/>
          <w:lang w:val="en-US"/>
        </w:rPr>
        <w:t xml:space="preserve">   </w:t>
      </w:r>
      <w:bookmarkStart w:id="0" w:name="_GoBack"/>
      <w:bookmarkEnd w:id="0"/>
    </w:p>
    <w:p w14:paraId="042EF674" w14:textId="77777777" w:rsidR="000A5852" w:rsidRDefault="000A5852">
      <w:pPr>
        <w:rPr>
          <w:rFonts w:asciiTheme="majorHAnsi" w:hAnsiTheme="majorHAnsi" w:cstheme="majorHAnsi"/>
          <w:sz w:val="28"/>
          <w:szCs w:val="28"/>
          <w:lang w:val="en-US"/>
        </w:rPr>
      </w:pPr>
      <w:r>
        <w:rPr>
          <w:rFonts w:asciiTheme="majorHAnsi" w:hAnsiTheme="majorHAnsi" w:cstheme="majorHAnsi"/>
          <w:sz w:val="28"/>
          <w:szCs w:val="28"/>
          <w:lang w:val="en-US"/>
        </w:rPr>
        <w:br w:type="page"/>
      </w:r>
    </w:p>
    <w:p w14:paraId="5AC0B5DF" w14:textId="77777777" w:rsidR="000A5852" w:rsidRPr="000A5852" w:rsidRDefault="000A5852" w:rsidP="000A5852">
      <w:pPr>
        <w:rPr>
          <w:rFonts w:ascii="Times New Roman" w:hAnsi="Times New Roman" w:cs="Times New Roman"/>
          <w:b/>
          <w:bCs/>
          <w:sz w:val="32"/>
          <w:szCs w:val="32"/>
          <w:lang w:val="en-US"/>
        </w:rPr>
      </w:pPr>
      <w:r w:rsidRPr="000A5852">
        <w:rPr>
          <w:rFonts w:ascii="Times New Roman" w:hAnsi="Times New Roman" w:cs="Times New Roman"/>
          <w:b/>
          <w:bCs/>
          <w:sz w:val="32"/>
          <w:szCs w:val="32"/>
          <w:lang w:val="en-US"/>
        </w:rPr>
        <w:lastRenderedPageBreak/>
        <w:t>Main Body</w:t>
      </w:r>
    </w:p>
    <w:p w14:paraId="181A2891" w14:textId="4272554C" w:rsidR="000A5852" w:rsidRDefault="000A5852" w:rsidP="000A5852">
      <w:pPr>
        <w:rPr>
          <w:rFonts w:ascii="Times New Roman" w:hAnsi="Times New Roman" w:cs="Times New Roman"/>
          <w:b/>
          <w:bCs/>
          <w:sz w:val="32"/>
          <w:szCs w:val="32"/>
          <w:u w:val="single"/>
          <w:lang w:val="en-US"/>
        </w:rPr>
      </w:pPr>
      <w:r w:rsidRPr="000A5852">
        <w:rPr>
          <w:rFonts w:ascii="Times New Roman" w:hAnsi="Times New Roman" w:cs="Times New Roman"/>
          <w:b/>
          <w:bCs/>
          <w:sz w:val="32"/>
          <w:szCs w:val="32"/>
          <w:u w:val="single"/>
          <w:lang w:val="en-US"/>
        </w:rPr>
        <w:t>Question 1</w:t>
      </w:r>
      <w:r>
        <w:rPr>
          <w:rFonts w:ascii="Times New Roman" w:hAnsi="Times New Roman" w:cs="Times New Roman"/>
          <w:b/>
          <w:bCs/>
          <w:sz w:val="32"/>
          <w:szCs w:val="32"/>
          <w:u w:val="single"/>
          <w:lang w:val="en-US"/>
        </w:rPr>
        <w:t>:</w:t>
      </w:r>
    </w:p>
    <w:p w14:paraId="45226E9A" w14:textId="2C5F5802" w:rsidR="00907B6B" w:rsidRDefault="00907B6B" w:rsidP="000A5852">
      <w:pPr>
        <w:rPr>
          <w:rFonts w:ascii="Times New Roman" w:hAnsi="Times New Roman" w:cs="Times New Roman"/>
          <w:b/>
          <w:bCs/>
          <w:sz w:val="32"/>
          <w:szCs w:val="32"/>
          <w:lang w:val="en-US"/>
        </w:rPr>
      </w:pPr>
      <w:r>
        <w:rPr>
          <w:rFonts w:ascii="Times New Roman" w:hAnsi="Times New Roman" w:cs="Times New Roman"/>
          <w:b/>
          <w:bCs/>
          <w:sz w:val="32"/>
          <w:szCs w:val="32"/>
          <w:u w:val="single"/>
          <w:lang w:val="en-US"/>
        </w:rPr>
        <w:t>A</w:t>
      </w:r>
      <w:r w:rsidRPr="00907B6B">
        <w:rPr>
          <w:rFonts w:ascii="Times New Roman" w:hAnsi="Times New Roman" w:cs="Times New Roman"/>
          <w:sz w:val="32"/>
          <w:szCs w:val="32"/>
          <w:lang w:val="en-US"/>
        </w:rPr>
        <w:t xml:space="preserve">: </w:t>
      </w:r>
      <w:r w:rsidRPr="00907B6B">
        <w:rPr>
          <w:rFonts w:ascii="Times New Roman" w:hAnsi="Times New Roman" w:cs="Times New Roman"/>
          <w:b/>
          <w:bCs/>
          <w:sz w:val="32"/>
          <w:szCs w:val="32"/>
          <w:lang w:val="en-US"/>
        </w:rPr>
        <w:t>Final account of the company</w:t>
      </w:r>
      <w:r>
        <w:rPr>
          <w:rFonts w:ascii="Times New Roman" w:hAnsi="Times New Roman" w:cs="Times New Roman"/>
          <w:b/>
          <w:bCs/>
          <w:sz w:val="32"/>
          <w:szCs w:val="32"/>
          <w:lang w:val="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663"/>
        <w:gridCol w:w="2409"/>
      </w:tblGrid>
      <w:tr w:rsidR="00907B6B" w:rsidRPr="00907B6B" w14:paraId="2C6DE35F" w14:textId="77777777" w:rsidTr="00407A63">
        <w:tc>
          <w:tcPr>
            <w:tcW w:w="9072" w:type="dxa"/>
            <w:gridSpan w:val="2"/>
            <w:shd w:val="clear" w:color="auto" w:fill="auto"/>
          </w:tcPr>
          <w:p w14:paraId="7EE82F5C"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Income Statement for the year ended 31</w:t>
            </w:r>
            <w:r w:rsidRPr="00907B6B">
              <w:rPr>
                <w:rFonts w:ascii="Times New Roman" w:hAnsi="Times New Roman" w:cs="Times New Roman"/>
                <w:b/>
                <w:bCs/>
                <w:sz w:val="28"/>
                <w:szCs w:val="28"/>
                <w:vertAlign w:val="superscript"/>
                <w:lang w:val="en-GB"/>
              </w:rPr>
              <w:t>st</w:t>
            </w:r>
            <w:r w:rsidRPr="00907B6B">
              <w:rPr>
                <w:rFonts w:ascii="Times New Roman" w:hAnsi="Times New Roman" w:cs="Times New Roman"/>
                <w:b/>
                <w:bCs/>
                <w:sz w:val="28"/>
                <w:szCs w:val="28"/>
                <w:lang w:val="en-GB"/>
              </w:rPr>
              <w:t xml:space="preserve"> December 2019</w:t>
            </w:r>
          </w:p>
        </w:tc>
      </w:tr>
      <w:tr w:rsidR="00907B6B" w:rsidRPr="00907B6B" w14:paraId="77AA26DD" w14:textId="77777777" w:rsidTr="00407A63">
        <w:tc>
          <w:tcPr>
            <w:tcW w:w="6663" w:type="dxa"/>
            <w:shd w:val="clear" w:color="auto" w:fill="auto"/>
          </w:tcPr>
          <w:p w14:paraId="0EB86C3C"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Particulars</w:t>
            </w:r>
          </w:p>
        </w:tc>
        <w:tc>
          <w:tcPr>
            <w:tcW w:w="2409" w:type="dxa"/>
            <w:shd w:val="clear" w:color="auto" w:fill="auto"/>
          </w:tcPr>
          <w:p w14:paraId="541D0087"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Amount (£)</w:t>
            </w:r>
          </w:p>
        </w:tc>
      </w:tr>
      <w:tr w:rsidR="00907B6B" w:rsidRPr="00907B6B" w14:paraId="72A7246B" w14:textId="77777777" w:rsidTr="00407A63">
        <w:tc>
          <w:tcPr>
            <w:tcW w:w="6663" w:type="dxa"/>
            <w:shd w:val="clear" w:color="auto" w:fill="auto"/>
          </w:tcPr>
          <w:p w14:paraId="55A1D4BC"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Gross Revenue</w:t>
            </w:r>
          </w:p>
        </w:tc>
        <w:tc>
          <w:tcPr>
            <w:tcW w:w="2409" w:type="dxa"/>
            <w:shd w:val="clear" w:color="auto" w:fill="auto"/>
          </w:tcPr>
          <w:p w14:paraId="3C6B123B"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826650</w:t>
            </w:r>
          </w:p>
        </w:tc>
      </w:tr>
      <w:tr w:rsidR="00907B6B" w:rsidRPr="00907B6B" w14:paraId="6E8965FE" w14:textId="77777777" w:rsidTr="00407A63">
        <w:tc>
          <w:tcPr>
            <w:tcW w:w="6663" w:type="dxa"/>
            <w:shd w:val="clear" w:color="auto" w:fill="auto"/>
          </w:tcPr>
          <w:p w14:paraId="112D058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Less: Cost of sales</w:t>
            </w:r>
          </w:p>
        </w:tc>
        <w:tc>
          <w:tcPr>
            <w:tcW w:w="2409" w:type="dxa"/>
            <w:shd w:val="clear" w:color="auto" w:fill="auto"/>
          </w:tcPr>
          <w:p w14:paraId="073A9C43"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(578650)</w:t>
            </w:r>
          </w:p>
        </w:tc>
      </w:tr>
      <w:tr w:rsidR="00907B6B" w:rsidRPr="00907B6B" w14:paraId="34997A36" w14:textId="77777777" w:rsidTr="00407A63">
        <w:tc>
          <w:tcPr>
            <w:tcW w:w="6663" w:type="dxa"/>
            <w:shd w:val="clear" w:color="auto" w:fill="auto"/>
          </w:tcPr>
          <w:p w14:paraId="281AAF32"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Gross Profit</w:t>
            </w:r>
          </w:p>
        </w:tc>
        <w:tc>
          <w:tcPr>
            <w:tcW w:w="2409" w:type="dxa"/>
            <w:shd w:val="clear" w:color="auto" w:fill="auto"/>
          </w:tcPr>
          <w:p w14:paraId="22BFD6A0"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248000</w:t>
            </w:r>
          </w:p>
        </w:tc>
      </w:tr>
      <w:tr w:rsidR="00907B6B" w:rsidRPr="00907B6B" w14:paraId="244BBD26" w14:textId="77777777" w:rsidTr="00407A63">
        <w:tc>
          <w:tcPr>
            <w:tcW w:w="6663" w:type="dxa"/>
            <w:shd w:val="clear" w:color="auto" w:fill="auto"/>
          </w:tcPr>
          <w:p w14:paraId="7EF24B6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Operating Expenses:</w:t>
            </w:r>
          </w:p>
        </w:tc>
        <w:tc>
          <w:tcPr>
            <w:tcW w:w="2409" w:type="dxa"/>
            <w:shd w:val="clear" w:color="auto" w:fill="auto"/>
          </w:tcPr>
          <w:p w14:paraId="30436378" w14:textId="77777777" w:rsidR="00907B6B" w:rsidRPr="00907B6B" w:rsidRDefault="00907B6B" w:rsidP="00907B6B">
            <w:pPr>
              <w:rPr>
                <w:rFonts w:ascii="Times New Roman" w:hAnsi="Times New Roman" w:cs="Times New Roman"/>
                <w:sz w:val="28"/>
                <w:szCs w:val="28"/>
                <w:lang w:val="en-GB"/>
              </w:rPr>
            </w:pPr>
          </w:p>
        </w:tc>
      </w:tr>
      <w:tr w:rsidR="00907B6B" w:rsidRPr="00907B6B" w14:paraId="560C0867" w14:textId="77777777" w:rsidTr="00407A63">
        <w:tc>
          <w:tcPr>
            <w:tcW w:w="6663" w:type="dxa"/>
            <w:shd w:val="clear" w:color="auto" w:fill="auto"/>
          </w:tcPr>
          <w:p w14:paraId="08A42A62"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Administrative Expenses</w:t>
            </w:r>
          </w:p>
        </w:tc>
        <w:tc>
          <w:tcPr>
            <w:tcW w:w="2409" w:type="dxa"/>
            <w:shd w:val="clear" w:color="auto" w:fill="auto"/>
          </w:tcPr>
          <w:p w14:paraId="1CFAA15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30000</w:t>
            </w:r>
          </w:p>
        </w:tc>
      </w:tr>
      <w:tr w:rsidR="00907B6B" w:rsidRPr="00907B6B" w14:paraId="62760F93" w14:textId="77777777" w:rsidTr="00407A63">
        <w:tc>
          <w:tcPr>
            <w:tcW w:w="6663" w:type="dxa"/>
            <w:shd w:val="clear" w:color="auto" w:fill="auto"/>
          </w:tcPr>
          <w:p w14:paraId="26AB3F0C"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Selling and distribution expenses (inc. outstanding commission)</w:t>
            </w:r>
          </w:p>
        </w:tc>
        <w:tc>
          <w:tcPr>
            <w:tcW w:w="2409" w:type="dxa"/>
            <w:shd w:val="clear" w:color="auto" w:fill="auto"/>
          </w:tcPr>
          <w:p w14:paraId="129E6ADB"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31000</w:t>
            </w:r>
          </w:p>
        </w:tc>
      </w:tr>
      <w:tr w:rsidR="00907B6B" w:rsidRPr="00907B6B" w14:paraId="28611DE5" w14:textId="77777777" w:rsidTr="00407A63">
        <w:tc>
          <w:tcPr>
            <w:tcW w:w="6663" w:type="dxa"/>
            <w:shd w:val="clear" w:color="auto" w:fill="auto"/>
          </w:tcPr>
          <w:p w14:paraId="66406732"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Other indirect expenses</w:t>
            </w:r>
          </w:p>
        </w:tc>
        <w:tc>
          <w:tcPr>
            <w:tcW w:w="2409" w:type="dxa"/>
            <w:shd w:val="clear" w:color="auto" w:fill="auto"/>
          </w:tcPr>
          <w:p w14:paraId="4FC3DF7A"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5000</w:t>
            </w:r>
          </w:p>
        </w:tc>
      </w:tr>
      <w:tr w:rsidR="00907B6B" w:rsidRPr="00907B6B" w14:paraId="51FB99BB" w14:textId="77777777" w:rsidTr="00407A63">
        <w:tc>
          <w:tcPr>
            <w:tcW w:w="6663" w:type="dxa"/>
            <w:shd w:val="clear" w:color="auto" w:fill="auto"/>
          </w:tcPr>
          <w:p w14:paraId="30C4941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Add: Other operating income (inc. accrued sales debtors)</w:t>
            </w:r>
          </w:p>
        </w:tc>
        <w:tc>
          <w:tcPr>
            <w:tcW w:w="2409" w:type="dxa"/>
            <w:shd w:val="clear" w:color="auto" w:fill="auto"/>
          </w:tcPr>
          <w:p w14:paraId="0072DFA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980</w:t>
            </w:r>
          </w:p>
        </w:tc>
      </w:tr>
      <w:tr w:rsidR="00907B6B" w:rsidRPr="00907B6B" w14:paraId="64A8F67A" w14:textId="77777777" w:rsidTr="00407A63">
        <w:tc>
          <w:tcPr>
            <w:tcW w:w="6663" w:type="dxa"/>
            <w:shd w:val="clear" w:color="auto" w:fill="auto"/>
          </w:tcPr>
          <w:p w14:paraId="3C45896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Net Operating Profit</w:t>
            </w:r>
          </w:p>
        </w:tc>
        <w:tc>
          <w:tcPr>
            <w:tcW w:w="2409" w:type="dxa"/>
            <w:shd w:val="clear" w:color="auto" w:fill="auto"/>
          </w:tcPr>
          <w:p w14:paraId="52B42980"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182980</w:t>
            </w:r>
          </w:p>
        </w:tc>
      </w:tr>
      <w:tr w:rsidR="00907B6B" w:rsidRPr="00907B6B" w14:paraId="0BF90F0A" w14:textId="77777777" w:rsidTr="00407A63">
        <w:tc>
          <w:tcPr>
            <w:tcW w:w="6663" w:type="dxa"/>
            <w:shd w:val="clear" w:color="auto" w:fill="auto"/>
          </w:tcPr>
          <w:p w14:paraId="4104A480"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Less: Depreciation expenses</w:t>
            </w:r>
          </w:p>
        </w:tc>
        <w:tc>
          <w:tcPr>
            <w:tcW w:w="2409" w:type="dxa"/>
            <w:shd w:val="clear" w:color="auto" w:fill="auto"/>
          </w:tcPr>
          <w:p w14:paraId="6A2797D7"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0</w:t>
            </w:r>
          </w:p>
        </w:tc>
      </w:tr>
      <w:tr w:rsidR="00907B6B" w:rsidRPr="00907B6B" w14:paraId="0B3F7897" w14:textId="77777777" w:rsidTr="00407A63">
        <w:tc>
          <w:tcPr>
            <w:tcW w:w="6663" w:type="dxa"/>
            <w:shd w:val="clear" w:color="auto" w:fill="auto"/>
          </w:tcPr>
          <w:p w14:paraId="6CC2B6B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Earnings before Interest and taxes</w:t>
            </w:r>
          </w:p>
        </w:tc>
        <w:tc>
          <w:tcPr>
            <w:tcW w:w="2409" w:type="dxa"/>
            <w:shd w:val="clear" w:color="auto" w:fill="auto"/>
          </w:tcPr>
          <w:p w14:paraId="04E97523"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182980</w:t>
            </w:r>
          </w:p>
        </w:tc>
      </w:tr>
      <w:tr w:rsidR="00907B6B" w:rsidRPr="00907B6B" w14:paraId="4B425228" w14:textId="77777777" w:rsidTr="00407A63">
        <w:tc>
          <w:tcPr>
            <w:tcW w:w="6663" w:type="dxa"/>
            <w:shd w:val="clear" w:color="auto" w:fill="auto"/>
          </w:tcPr>
          <w:p w14:paraId="1D01E72A"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Less: Interest expenses</w:t>
            </w:r>
          </w:p>
        </w:tc>
        <w:tc>
          <w:tcPr>
            <w:tcW w:w="2409" w:type="dxa"/>
            <w:shd w:val="clear" w:color="auto" w:fill="auto"/>
          </w:tcPr>
          <w:p w14:paraId="6D0DF379"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2000</w:t>
            </w:r>
          </w:p>
        </w:tc>
      </w:tr>
      <w:tr w:rsidR="00907B6B" w:rsidRPr="00907B6B" w14:paraId="54E82327" w14:textId="77777777" w:rsidTr="00407A63">
        <w:tc>
          <w:tcPr>
            <w:tcW w:w="6663" w:type="dxa"/>
            <w:shd w:val="clear" w:color="auto" w:fill="auto"/>
          </w:tcPr>
          <w:p w14:paraId="4A56A34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Earning before tax</w:t>
            </w:r>
          </w:p>
        </w:tc>
        <w:tc>
          <w:tcPr>
            <w:tcW w:w="2409" w:type="dxa"/>
            <w:shd w:val="clear" w:color="auto" w:fill="auto"/>
          </w:tcPr>
          <w:p w14:paraId="78C266A1"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180980</w:t>
            </w:r>
          </w:p>
        </w:tc>
      </w:tr>
      <w:tr w:rsidR="00907B6B" w:rsidRPr="00907B6B" w14:paraId="1D7197B9" w14:textId="77777777" w:rsidTr="00407A63">
        <w:tc>
          <w:tcPr>
            <w:tcW w:w="6663" w:type="dxa"/>
            <w:shd w:val="clear" w:color="auto" w:fill="auto"/>
          </w:tcPr>
          <w:p w14:paraId="689961F6"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Less: Corporate taxes</w:t>
            </w:r>
          </w:p>
        </w:tc>
        <w:tc>
          <w:tcPr>
            <w:tcW w:w="2409" w:type="dxa"/>
            <w:shd w:val="clear" w:color="auto" w:fill="auto"/>
          </w:tcPr>
          <w:p w14:paraId="5F500F8E"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68000</w:t>
            </w:r>
          </w:p>
        </w:tc>
      </w:tr>
      <w:tr w:rsidR="00907B6B" w:rsidRPr="00907B6B" w14:paraId="284F12A7" w14:textId="77777777" w:rsidTr="00407A63">
        <w:tc>
          <w:tcPr>
            <w:tcW w:w="6663" w:type="dxa"/>
            <w:shd w:val="clear" w:color="auto" w:fill="auto"/>
          </w:tcPr>
          <w:p w14:paraId="29D6659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Earning after tax/profit attributable to shareholders</w:t>
            </w:r>
          </w:p>
        </w:tc>
        <w:tc>
          <w:tcPr>
            <w:tcW w:w="2409" w:type="dxa"/>
            <w:shd w:val="clear" w:color="auto" w:fill="auto"/>
          </w:tcPr>
          <w:p w14:paraId="2103C2A6"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112980</w:t>
            </w:r>
          </w:p>
        </w:tc>
      </w:tr>
      <w:tr w:rsidR="00907B6B" w:rsidRPr="00907B6B" w14:paraId="634675B4" w14:textId="77777777" w:rsidTr="00407A63">
        <w:tc>
          <w:tcPr>
            <w:tcW w:w="6663" w:type="dxa"/>
            <w:shd w:val="clear" w:color="auto" w:fill="auto"/>
          </w:tcPr>
          <w:p w14:paraId="7C8B5AEB"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Dividend Paid: Ordinary dividend paid – 20000</w:t>
            </w:r>
          </w:p>
          <w:p w14:paraId="092BE9C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 xml:space="preserve">                          Preference dividend paid – 30000</w:t>
            </w:r>
          </w:p>
        </w:tc>
        <w:tc>
          <w:tcPr>
            <w:tcW w:w="2409" w:type="dxa"/>
            <w:shd w:val="clear" w:color="auto" w:fill="auto"/>
          </w:tcPr>
          <w:p w14:paraId="74B51DD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50000</w:t>
            </w:r>
          </w:p>
        </w:tc>
      </w:tr>
    </w:tbl>
    <w:p w14:paraId="1B1C2C9E" w14:textId="52BCD0D9" w:rsidR="00907B6B" w:rsidRPr="00907B6B" w:rsidRDefault="00907B6B" w:rsidP="000A5852">
      <w:pPr>
        <w:rPr>
          <w:rFonts w:ascii="Times New Roman" w:hAnsi="Times New Roman" w:cs="Times New Roman"/>
          <w:sz w:val="32"/>
          <w:szCs w:val="32"/>
          <w:lang w:val="en-US"/>
        </w:rPr>
      </w:pPr>
      <w:r>
        <w:rPr>
          <w:rFonts w:ascii="Times New Roman" w:hAnsi="Times New Roman" w:cs="Times New Roman"/>
          <w:sz w:val="32"/>
          <w:szCs w:val="32"/>
          <w:lang w:val="en-US"/>
        </w:rPr>
        <w:t xml:space="preserve">    </w:t>
      </w:r>
    </w:p>
    <w:p w14:paraId="3535C6B1" w14:textId="4819929B" w:rsidR="000A5852" w:rsidRPr="000A5852" w:rsidRDefault="000A5852" w:rsidP="000A5852">
      <w:pPr>
        <w:rPr>
          <w:rFonts w:asciiTheme="majorHAnsi" w:hAnsiTheme="majorHAnsi" w:cstheme="majorHAnsi"/>
          <w:b/>
          <w:bCs/>
          <w:sz w:val="28"/>
          <w:szCs w:val="28"/>
          <w:lang w:val="en-US"/>
        </w:rPr>
      </w:pPr>
      <w:r w:rsidRPr="000A5852">
        <w:rPr>
          <w:rFonts w:asciiTheme="majorHAnsi" w:hAnsiTheme="majorHAnsi" w:cstheme="majorHAnsi"/>
          <w:b/>
          <w:bCs/>
          <w:sz w:val="28"/>
          <w:szCs w:val="28"/>
          <w:lang w:val="en-US"/>
        </w:rPr>
        <w:br w:type="page"/>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663"/>
        <w:gridCol w:w="2409"/>
      </w:tblGrid>
      <w:tr w:rsidR="00907B6B" w:rsidRPr="00907B6B" w14:paraId="06AE70A8" w14:textId="77777777" w:rsidTr="00407A63">
        <w:tc>
          <w:tcPr>
            <w:tcW w:w="9072" w:type="dxa"/>
            <w:gridSpan w:val="2"/>
            <w:tcBorders>
              <w:top w:val="single" w:sz="1" w:space="0" w:color="000000"/>
              <w:left w:val="single" w:sz="1" w:space="0" w:color="000000"/>
              <w:bottom w:val="single" w:sz="1" w:space="0" w:color="000000"/>
              <w:right w:val="single" w:sz="1" w:space="0" w:color="000000"/>
            </w:tcBorders>
            <w:shd w:val="clear" w:color="auto" w:fill="auto"/>
          </w:tcPr>
          <w:p w14:paraId="450FB563" w14:textId="77777777" w:rsidR="00907B6B" w:rsidRPr="00907B6B" w:rsidRDefault="00907B6B" w:rsidP="00907B6B">
            <w:pPr>
              <w:jc w:val="cente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lastRenderedPageBreak/>
              <w:t>Statement of Financial Position as at 31</w:t>
            </w:r>
            <w:r w:rsidRPr="00907B6B">
              <w:rPr>
                <w:rFonts w:ascii="Times New Roman" w:hAnsi="Times New Roman" w:cs="Times New Roman"/>
                <w:b/>
                <w:bCs/>
                <w:sz w:val="28"/>
                <w:szCs w:val="28"/>
                <w:vertAlign w:val="superscript"/>
                <w:lang w:val="en-GB"/>
              </w:rPr>
              <w:t>st</w:t>
            </w:r>
            <w:r w:rsidRPr="00907B6B">
              <w:rPr>
                <w:rFonts w:ascii="Times New Roman" w:hAnsi="Times New Roman" w:cs="Times New Roman"/>
                <w:b/>
                <w:bCs/>
                <w:sz w:val="28"/>
                <w:szCs w:val="28"/>
                <w:lang w:val="en-GB"/>
              </w:rPr>
              <w:t xml:space="preserve"> December, 2019</w:t>
            </w:r>
          </w:p>
        </w:tc>
      </w:tr>
      <w:tr w:rsidR="00907B6B" w:rsidRPr="00907B6B" w14:paraId="5AE7BF4B" w14:textId="77777777" w:rsidTr="00407A63">
        <w:tc>
          <w:tcPr>
            <w:tcW w:w="6663" w:type="dxa"/>
            <w:tcBorders>
              <w:left w:val="single" w:sz="1" w:space="0" w:color="000000"/>
              <w:bottom w:val="single" w:sz="1" w:space="0" w:color="000000"/>
            </w:tcBorders>
            <w:shd w:val="clear" w:color="auto" w:fill="auto"/>
          </w:tcPr>
          <w:p w14:paraId="6D24A0C4"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Particulars</w:t>
            </w:r>
          </w:p>
        </w:tc>
        <w:tc>
          <w:tcPr>
            <w:tcW w:w="2409" w:type="dxa"/>
            <w:tcBorders>
              <w:left w:val="single" w:sz="1" w:space="0" w:color="000000"/>
              <w:bottom w:val="single" w:sz="1" w:space="0" w:color="000000"/>
              <w:right w:val="single" w:sz="1" w:space="0" w:color="000000"/>
            </w:tcBorders>
            <w:shd w:val="clear" w:color="auto" w:fill="auto"/>
          </w:tcPr>
          <w:p w14:paraId="313860D6"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Amount (£)</w:t>
            </w:r>
          </w:p>
        </w:tc>
      </w:tr>
      <w:tr w:rsidR="00907B6B" w:rsidRPr="00907B6B" w14:paraId="5EAC3C41" w14:textId="77777777" w:rsidTr="00407A63">
        <w:tc>
          <w:tcPr>
            <w:tcW w:w="6663" w:type="dxa"/>
            <w:tcBorders>
              <w:left w:val="single" w:sz="1" w:space="0" w:color="000000"/>
              <w:bottom w:val="single" w:sz="1" w:space="0" w:color="000000"/>
            </w:tcBorders>
            <w:shd w:val="clear" w:color="auto" w:fill="auto"/>
          </w:tcPr>
          <w:p w14:paraId="07A27A04"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Non-current Assets</w:t>
            </w:r>
          </w:p>
        </w:tc>
        <w:tc>
          <w:tcPr>
            <w:tcW w:w="2409" w:type="dxa"/>
            <w:tcBorders>
              <w:left w:val="single" w:sz="1" w:space="0" w:color="000000"/>
              <w:bottom w:val="single" w:sz="1" w:space="0" w:color="000000"/>
              <w:right w:val="single" w:sz="1" w:space="0" w:color="000000"/>
            </w:tcBorders>
            <w:shd w:val="clear" w:color="auto" w:fill="auto"/>
          </w:tcPr>
          <w:p w14:paraId="7F2F8FCA" w14:textId="77777777" w:rsidR="00907B6B" w:rsidRPr="00907B6B" w:rsidRDefault="00907B6B" w:rsidP="00907B6B">
            <w:pPr>
              <w:rPr>
                <w:rFonts w:ascii="Times New Roman" w:hAnsi="Times New Roman" w:cs="Times New Roman"/>
                <w:sz w:val="28"/>
                <w:szCs w:val="28"/>
                <w:lang w:val="en-GB"/>
              </w:rPr>
            </w:pPr>
          </w:p>
        </w:tc>
      </w:tr>
      <w:tr w:rsidR="00907B6B" w:rsidRPr="00907B6B" w14:paraId="08FCE078" w14:textId="77777777" w:rsidTr="00407A63">
        <w:tc>
          <w:tcPr>
            <w:tcW w:w="6663" w:type="dxa"/>
            <w:tcBorders>
              <w:left w:val="single" w:sz="1" w:space="0" w:color="000000"/>
              <w:bottom w:val="single" w:sz="1" w:space="0" w:color="000000"/>
            </w:tcBorders>
            <w:shd w:val="clear" w:color="auto" w:fill="auto"/>
          </w:tcPr>
          <w:p w14:paraId="10907DD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Property, plant and equipment</w:t>
            </w:r>
          </w:p>
        </w:tc>
        <w:tc>
          <w:tcPr>
            <w:tcW w:w="2409" w:type="dxa"/>
            <w:tcBorders>
              <w:left w:val="single" w:sz="1" w:space="0" w:color="000000"/>
              <w:bottom w:val="single" w:sz="1" w:space="0" w:color="000000"/>
              <w:right w:val="single" w:sz="1" w:space="0" w:color="000000"/>
            </w:tcBorders>
            <w:shd w:val="clear" w:color="auto" w:fill="auto"/>
          </w:tcPr>
          <w:p w14:paraId="1237FD4B"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632730</w:t>
            </w:r>
          </w:p>
        </w:tc>
      </w:tr>
      <w:tr w:rsidR="00907B6B" w:rsidRPr="00907B6B" w14:paraId="55853676" w14:textId="77777777" w:rsidTr="00407A63">
        <w:tc>
          <w:tcPr>
            <w:tcW w:w="6663" w:type="dxa"/>
            <w:tcBorders>
              <w:left w:val="single" w:sz="1" w:space="0" w:color="000000"/>
              <w:bottom w:val="single" w:sz="1" w:space="0" w:color="000000"/>
            </w:tcBorders>
            <w:shd w:val="clear" w:color="auto" w:fill="auto"/>
          </w:tcPr>
          <w:p w14:paraId="683C143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Current Assets</w:t>
            </w:r>
          </w:p>
        </w:tc>
        <w:tc>
          <w:tcPr>
            <w:tcW w:w="2409" w:type="dxa"/>
            <w:tcBorders>
              <w:left w:val="single" w:sz="1" w:space="0" w:color="000000"/>
              <w:bottom w:val="single" w:sz="1" w:space="0" w:color="000000"/>
              <w:right w:val="single" w:sz="1" w:space="0" w:color="000000"/>
            </w:tcBorders>
            <w:shd w:val="clear" w:color="auto" w:fill="auto"/>
          </w:tcPr>
          <w:p w14:paraId="63E14E49" w14:textId="77777777" w:rsidR="00907B6B" w:rsidRPr="00907B6B" w:rsidRDefault="00907B6B" w:rsidP="00907B6B">
            <w:pPr>
              <w:rPr>
                <w:rFonts w:ascii="Times New Roman" w:hAnsi="Times New Roman" w:cs="Times New Roman"/>
                <w:sz w:val="28"/>
                <w:szCs w:val="28"/>
                <w:lang w:val="en-GB"/>
              </w:rPr>
            </w:pPr>
          </w:p>
        </w:tc>
      </w:tr>
      <w:tr w:rsidR="00907B6B" w:rsidRPr="00907B6B" w14:paraId="4BD32936" w14:textId="77777777" w:rsidTr="00407A63">
        <w:tc>
          <w:tcPr>
            <w:tcW w:w="6663" w:type="dxa"/>
            <w:tcBorders>
              <w:left w:val="single" w:sz="1" w:space="0" w:color="000000"/>
              <w:bottom w:val="single" w:sz="1" w:space="0" w:color="000000"/>
            </w:tcBorders>
            <w:shd w:val="clear" w:color="auto" w:fill="auto"/>
          </w:tcPr>
          <w:p w14:paraId="728734F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Inventory</w:t>
            </w:r>
          </w:p>
        </w:tc>
        <w:tc>
          <w:tcPr>
            <w:tcW w:w="2409" w:type="dxa"/>
            <w:tcBorders>
              <w:left w:val="single" w:sz="1" w:space="0" w:color="000000"/>
              <w:bottom w:val="single" w:sz="1" w:space="0" w:color="000000"/>
              <w:right w:val="single" w:sz="1" w:space="0" w:color="000000"/>
            </w:tcBorders>
            <w:shd w:val="clear" w:color="auto" w:fill="auto"/>
          </w:tcPr>
          <w:p w14:paraId="4806E6DB"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330600</w:t>
            </w:r>
          </w:p>
        </w:tc>
      </w:tr>
      <w:tr w:rsidR="00907B6B" w:rsidRPr="00907B6B" w14:paraId="24D35EDF" w14:textId="77777777" w:rsidTr="00407A63">
        <w:tc>
          <w:tcPr>
            <w:tcW w:w="6663" w:type="dxa"/>
            <w:tcBorders>
              <w:left w:val="single" w:sz="1" w:space="0" w:color="000000"/>
              <w:bottom w:val="single" w:sz="1" w:space="0" w:color="000000"/>
            </w:tcBorders>
            <w:shd w:val="clear" w:color="auto" w:fill="auto"/>
          </w:tcPr>
          <w:p w14:paraId="7EE0EBA8"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Trade receivables (inc. accrued sales debtors)</w:t>
            </w:r>
          </w:p>
        </w:tc>
        <w:tc>
          <w:tcPr>
            <w:tcW w:w="2409" w:type="dxa"/>
            <w:tcBorders>
              <w:left w:val="single" w:sz="1" w:space="0" w:color="000000"/>
              <w:bottom w:val="single" w:sz="1" w:space="0" w:color="000000"/>
              <w:right w:val="single" w:sz="1" w:space="0" w:color="000000"/>
            </w:tcBorders>
            <w:shd w:val="clear" w:color="auto" w:fill="auto"/>
          </w:tcPr>
          <w:p w14:paraId="15BD9394"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171105</w:t>
            </w:r>
          </w:p>
        </w:tc>
      </w:tr>
      <w:tr w:rsidR="00907B6B" w:rsidRPr="00907B6B" w14:paraId="75DEB20B" w14:textId="77777777" w:rsidTr="00407A63">
        <w:tc>
          <w:tcPr>
            <w:tcW w:w="6663" w:type="dxa"/>
            <w:tcBorders>
              <w:left w:val="single" w:sz="1" w:space="0" w:color="000000"/>
              <w:bottom w:val="single" w:sz="1" w:space="0" w:color="000000"/>
            </w:tcBorders>
            <w:shd w:val="clear" w:color="auto" w:fill="auto"/>
          </w:tcPr>
          <w:p w14:paraId="5BEB5D23"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Cash</w:t>
            </w:r>
          </w:p>
        </w:tc>
        <w:tc>
          <w:tcPr>
            <w:tcW w:w="2409" w:type="dxa"/>
            <w:tcBorders>
              <w:left w:val="single" w:sz="1" w:space="0" w:color="000000"/>
              <w:bottom w:val="single" w:sz="1" w:space="0" w:color="000000"/>
              <w:right w:val="single" w:sz="1" w:space="0" w:color="000000"/>
            </w:tcBorders>
            <w:shd w:val="clear" w:color="auto" w:fill="auto"/>
          </w:tcPr>
          <w:p w14:paraId="6F60F688"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12900</w:t>
            </w:r>
          </w:p>
        </w:tc>
      </w:tr>
      <w:tr w:rsidR="00907B6B" w:rsidRPr="00907B6B" w14:paraId="6E67D8AC" w14:textId="77777777" w:rsidTr="00407A63">
        <w:tc>
          <w:tcPr>
            <w:tcW w:w="6663" w:type="dxa"/>
            <w:tcBorders>
              <w:left w:val="single" w:sz="1" w:space="0" w:color="000000"/>
              <w:bottom w:val="single" w:sz="1" w:space="0" w:color="000000"/>
            </w:tcBorders>
            <w:shd w:val="clear" w:color="auto" w:fill="auto"/>
          </w:tcPr>
          <w:p w14:paraId="7B614CE6"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Total Assets</w:t>
            </w:r>
          </w:p>
        </w:tc>
        <w:tc>
          <w:tcPr>
            <w:tcW w:w="2409" w:type="dxa"/>
            <w:tcBorders>
              <w:left w:val="single" w:sz="1" w:space="0" w:color="000000"/>
              <w:bottom w:val="single" w:sz="1" w:space="0" w:color="000000"/>
              <w:right w:val="single" w:sz="1" w:space="0" w:color="000000"/>
            </w:tcBorders>
            <w:shd w:val="clear" w:color="auto" w:fill="auto"/>
          </w:tcPr>
          <w:p w14:paraId="5ED00BF7"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1147335</w:t>
            </w:r>
          </w:p>
        </w:tc>
      </w:tr>
      <w:tr w:rsidR="00907B6B" w:rsidRPr="00907B6B" w14:paraId="1B620FA7" w14:textId="77777777" w:rsidTr="00407A63">
        <w:tc>
          <w:tcPr>
            <w:tcW w:w="6663" w:type="dxa"/>
            <w:tcBorders>
              <w:left w:val="single" w:sz="1" w:space="0" w:color="000000"/>
              <w:bottom w:val="single" w:sz="1" w:space="0" w:color="000000"/>
            </w:tcBorders>
            <w:shd w:val="clear" w:color="auto" w:fill="auto"/>
          </w:tcPr>
          <w:p w14:paraId="20F02570"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Current Liabilities</w:t>
            </w:r>
          </w:p>
        </w:tc>
        <w:tc>
          <w:tcPr>
            <w:tcW w:w="2409" w:type="dxa"/>
            <w:tcBorders>
              <w:left w:val="single" w:sz="1" w:space="0" w:color="000000"/>
              <w:bottom w:val="single" w:sz="1" w:space="0" w:color="000000"/>
              <w:right w:val="single" w:sz="1" w:space="0" w:color="000000"/>
            </w:tcBorders>
            <w:shd w:val="clear" w:color="auto" w:fill="auto"/>
          </w:tcPr>
          <w:p w14:paraId="37D90358" w14:textId="77777777" w:rsidR="00907B6B" w:rsidRPr="00907B6B" w:rsidRDefault="00907B6B" w:rsidP="00907B6B">
            <w:pPr>
              <w:rPr>
                <w:rFonts w:ascii="Times New Roman" w:hAnsi="Times New Roman" w:cs="Times New Roman"/>
                <w:sz w:val="28"/>
                <w:szCs w:val="28"/>
                <w:lang w:val="en-GB"/>
              </w:rPr>
            </w:pPr>
          </w:p>
        </w:tc>
      </w:tr>
      <w:tr w:rsidR="00907B6B" w:rsidRPr="00907B6B" w14:paraId="5412D935" w14:textId="77777777" w:rsidTr="00407A63">
        <w:tc>
          <w:tcPr>
            <w:tcW w:w="6663" w:type="dxa"/>
            <w:tcBorders>
              <w:left w:val="single" w:sz="1" w:space="0" w:color="000000"/>
              <w:bottom w:val="single" w:sz="1" w:space="0" w:color="000000"/>
            </w:tcBorders>
            <w:shd w:val="clear" w:color="auto" w:fill="auto"/>
          </w:tcPr>
          <w:p w14:paraId="1BFF347D"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Trade Payables</w:t>
            </w:r>
          </w:p>
        </w:tc>
        <w:tc>
          <w:tcPr>
            <w:tcW w:w="2409" w:type="dxa"/>
            <w:tcBorders>
              <w:left w:val="single" w:sz="1" w:space="0" w:color="000000"/>
              <w:bottom w:val="single" w:sz="1" w:space="0" w:color="000000"/>
              <w:right w:val="single" w:sz="1" w:space="0" w:color="000000"/>
            </w:tcBorders>
            <w:shd w:val="clear" w:color="auto" w:fill="auto"/>
          </w:tcPr>
          <w:p w14:paraId="288D697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171355</w:t>
            </w:r>
          </w:p>
        </w:tc>
      </w:tr>
      <w:tr w:rsidR="00907B6B" w:rsidRPr="00907B6B" w14:paraId="790B8929" w14:textId="77777777" w:rsidTr="00407A63">
        <w:tc>
          <w:tcPr>
            <w:tcW w:w="6663" w:type="dxa"/>
            <w:tcBorders>
              <w:left w:val="single" w:sz="1" w:space="0" w:color="000000"/>
              <w:bottom w:val="single" w:sz="1" w:space="0" w:color="000000"/>
            </w:tcBorders>
            <w:shd w:val="clear" w:color="auto" w:fill="auto"/>
          </w:tcPr>
          <w:p w14:paraId="7223B93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Other creditors (inc. outstanding commission)</w:t>
            </w:r>
          </w:p>
        </w:tc>
        <w:tc>
          <w:tcPr>
            <w:tcW w:w="2409" w:type="dxa"/>
            <w:tcBorders>
              <w:left w:val="single" w:sz="1" w:space="0" w:color="000000"/>
              <w:bottom w:val="single" w:sz="1" w:space="0" w:color="000000"/>
              <w:right w:val="single" w:sz="1" w:space="0" w:color="000000"/>
            </w:tcBorders>
            <w:shd w:val="clear" w:color="auto" w:fill="auto"/>
          </w:tcPr>
          <w:p w14:paraId="5F847F1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3000</w:t>
            </w:r>
          </w:p>
        </w:tc>
      </w:tr>
      <w:tr w:rsidR="00907B6B" w:rsidRPr="00907B6B" w14:paraId="5B56A915" w14:textId="77777777" w:rsidTr="00407A63">
        <w:tc>
          <w:tcPr>
            <w:tcW w:w="6663" w:type="dxa"/>
            <w:tcBorders>
              <w:left w:val="single" w:sz="1" w:space="0" w:color="000000"/>
              <w:bottom w:val="single" w:sz="1" w:space="0" w:color="000000"/>
            </w:tcBorders>
            <w:shd w:val="clear" w:color="auto" w:fill="auto"/>
          </w:tcPr>
          <w:p w14:paraId="4A99EFDE"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Non-current liabilities</w:t>
            </w:r>
          </w:p>
        </w:tc>
        <w:tc>
          <w:tcPr>
            <w:tcW w:w="2409" w:type="dxa"/>
            <w:tcBorders>
              <w:left w:val="single" w:sz="1" w:space="0" w:color="000000"/>
              <w:bottom w:val="single" w:sz="1" w:space="0" w:color="000000"/>
              <w:right w:val="single" w:sz="1" w:space="0" w:color="000000"/>
            </w:tcBorders>
            <w:shd w:val="clear" w:color="auto" w:fill="auto"/>
          </w:tcPr>
          <w:p w14:paraId="0E93E8CD" w14:textId="77777777" w:rsidR="00907B6B" w:rsidRPr="00907B6B" w:rsidRDefault="00907B6B" w:rsidP="00907B6B">
            <w:pPr>
              <w:rPr>
                <w:rFonts w:ascii="Times New Roman" w:hAnsi="Times New Roman" w:cs="Times New Roman"/>
                <w:sz w:val="28"/>
                <w:szCs w:val="28"/>
                <w:lang w:val="en-GB"/>
              </w:rPr>
            </w:pPr>
          </w:p>
        </w:tc>
      </w:tr>
      <w:tr w:rsidR="00907B6B" w:rsidRPr="00907B6B" w14:paraId="328429F2" w14:textId="77777777" w:rsidTr="00407A63">
        <w:tc>
          <w:tcPr>
            <w:tcW w:w="6663" w:type="dxa"/>
            <w:tcBorders>
              <w:left w:val="single" w:sz="1" w:space="0" w:color="000000"/>
              <w:bottom w:val="single" w:sz="1" w:space="0" w:color="000000"/>
            </w:tcBorders>
            <w:shd w:val="clear" w:color="auto" w:fill="auto"/>
          </w:tcPr>
          <w:p w14:paraId="26A175B4"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Loans and other borrowings (4 % Debentures)</w:t>
            </w:r>
          </w:p>
        </w:tc>
        <w:tc>
          <w:tcPr>
            <w:tcW w:w="2409" w:type="dxa"/>
            <w:tcBorders>
              <w:left w:val="single" w:sz="1" w:space="0" w:color="000000"/>
              <w:bottom w:val="single" w:sz="1" w:space="0" w:color="000000"/>
              <w:right w:val="single" w:sz="1" w:space="0" w:color="000000"/>
            </w:tcBorders>
            <w:shd w:val="clear" w:color="auto" w:fill="auto"/>
          </w:tcPr>
          <w:p w14:paraId="1B2D4386"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100000</w:t>
            </w:r>
          </w:p>
        </w:tc>
      </w:tr>
      <w:tr w:rsidR="00907B6B" w:rsidRPr="00907B6B" w14:paraId="73FE3494" w14:textId="77777777" w:rsidTr="00407A63">
        <w:tc>
          <w:tcPr>
            <w:tcW w:w="6663" w:type="dxa"/>
            <w:tcBorders>
              <w:left w:val="single" w:sz="1" w:space="0" w:color="000000"/>
              <w:bottom w:val="single" w:sz="1" w:space="0" w:color="000000"/>
            </w:tcBorders>
            <w:shd w:val="clear" w:color="auto" w:fill="auto"/>
          </w:tcPr>
          <w:p w14:paraId="134A0095"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Net Assets</w:t>
            </w:r>
          </w:p>
        </w:tc>
        <w:tc>
          <w:tcPr>
            <w:tcW w:w="2409" w:type="dxa"/>
            <w:tcBorders>
              <w:left w:val="single" w:sz="1" w:space="0" w:color="000000"/>
              <w:bottom w:val="single" w:sz="1" w:space="0" w:color="000000"/>
              <w:right w:val="single" w:sz="1" w:space="0" w:color="000000"/>
            </w:tcBorders>
            <w:shd w:val="clear" w:color="auto" w:fill="auto"/>
          </w:tcPr>
          <w:p w14:paraId="19051B8A"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872980</w:t>
            </w:r>
          </w:p>
        </w:tc>
      </w:tr>
      <w:tr w:rsidR="00907B6B" w:rsidRPr="00907B6B" w14:paraId="3F818957" w14:textId="77777777" w:rsidTr="00407A63">
        <w:tc>
          <w:tcPr>
            <w:tcW w:w="6663" w:type="dxa"/>
            <w:tcBorders>
              <w:left w:val="single" w:sz="1" w:space="0" w:color="000000"/>
              <w:bottom w:val="single" w:sz="1" w:space="0" w:color="000000"/>
            </w:tcBorders>
            <w:shd w:val="clear" w:color="auto" w:fill="auto"/>
          </w:tcPr>
          <w:p w14:paraId="7A33FB7C"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b/>
                <w:bCs/>
                <w:sz w:val="28"/>
                <w:szCs w:val="28"/>
                <w:lang w:val="en-GB"/>
              </w:rPr>
              <w:t>Equity</w:t>
            </w:r>
          </w:p>
        </w:tc>
        <w:tc>
          <w:tcPr>
            <w:tcW w:w="2409" w:type="dxa"/>
            <w:tcBorders>
              <w:left w:val="single" w:sz="1" w:space="0" w:color="000000"/>
              <w:bottom w:val="single" w:sz="1" w:space="0" w:color="000000"/>
              <w:right w:val="single" w:sz="1" w:space="0" w:color="000000"/>
            </w:tcBorders>
            <w:shd w:val="clear" w:color="auto" w:fill="auto"/>
          </w:tcPr>
          <w:p w14:paraId="3743CFA4" w14:textId="77777777" w:rsidR="00907B6B" w:rsidRPr="00907B6B" w:rsidRDefault="00907B6B" w:rsidP="00907B6B">
            <w:pPr>
              <w:rPr>
                <w:rFonts w:ascii="Times New Roman" w:hAnsi="Times New Roman" w:cs="Times New Roman"/>
                <w:sz w:val="28"/>
                <w:szCs w:val="28"/>
                <w:lang w:val="en-GB"/>
              </w:rPr>
            </w:pPr>
          </w:p>
        </w:tc>
      </w:tr>
      <w:tr w:rsidR="00907B6B" w:rsidRPr="00907B6B" w14:paraId="1D69773E" w14:textId="77777777" w:rsidTr="00407A63">
        <w:tc>
          <w:tcPr>
            <w:tcW w:w="6663" w:type="dxa"/>
            <w:tcBorders>
              <w:left w:val="single" w:sz="1" w:space="0" w:color="000000"/>
              <w:bottom w:val="single" w:sz="1" w:space="0" w:color="000000"/>
            </w:tcBorders>
            <w:shd w:val="clear" w:color="auto" w:fill="auto"/>
          </w:tcPr>
          <w:p w14:paraId="677EA260"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Ordinary Share capital</w:t>
            </w:r>
          </w:p>
        </w:tc>
        <w:tc>
          <w:tcPr>
            <w:tcW w:w="2409" w:type="dxa"/>
            <w:tcBorders>
              <w:left w:val="single" w:sz="1" w:space="0" w:color="000000"/>
              <w:bottom w:val="single" w:sz="1" w:space="0" w:color="000000"/>
              <w:right w:val="single" w:sz="1" w:space="0" w:color="000000"/>
            </w:tcBorders>
            <w:shd w:val="clear" w:color="auto" w:fill="auto"/>
          </w:tcPr>
          <w:p w14:paraId="00281991"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610000</w:t>
            </w:r>
          </w:p>
        </w:tc>
      </w:tr>
      <w:tr w:rsidR="00907B6B" w:rsidRPr="00907B6B" w14:paraId="3A9A5A71" w14:textId="77777777" w:rsidTr="00407A63">
        <w:tc>
          <w:tcPr>
            <w:tcW w:w="6663" w:type="dxa"/>
            <w:tcBorders>
              <w:left w:val="single" w:sz="1" w:space="0" w:color="000000"/>
              <w:bottom w:val="single" w:sz="1" w:space="0" w:color="000000"/>
            </w:tcBorders>
            <w:shd w:val="clear" w:color="auto" w:fill="auto"/>
          </w:tcPr>
          <w:p w14:paraId="72103567"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Retained profits</w:t>
            </w:r>
          </w:p>
        </w:tc>
        <w:tc>
          <w:tcPr>
            <w:tcW w:w="2409" w:type="dxa"/>
            <w:tcBorders>
              <w:left w:val="single" w:sz="1" w:space="0" w:color="000000"/>
              <w:bottom w:val="single" w:sz="1" w:space="0" w:color="000000"/>
              <w:right w:val="single" w:sz="1" w:space="0" w:color="000000"/>
            </w:tcBorders>
            <w:shd w:val="clear" w:color="auto" w:fill="auto"/>
          </w:tcPr>
          <w:p w14:paraId="72DD9B43" w14:textId="77777777" w:rsidR="00907B6B" w:rsidRPr="00907B6B" w:rsidRDefault="00907B6B" w:rsidP="00907B6B">
            <w:pPr>
              <w:rPr>
                <w:rFonts w:ascii="Times New Roman" w:hAnsi="Times New Roman" w:cs="Times New Roman"/>
                <w:sz w:val="28"/>
                <w:szCs w:val="28"/>
                <w:lang w:val="en-GB"/>
              </w:rPr>
            </w:pPr>
            <w:r w:rsidRPr="00907B6B">
              <w:rPr>
                <w:rFonts w:ascii="Times New Roman" w:hAnsi="Times New Roman" w:cs="Times New Roman"/>
                <w:sz w:val="28"/>
                <w:szCs w:val="28"/>
                <w:lang w:val="en-GB"/>
              </w:rPr>
              <w:t>262980</w:t>
            </w:r>
          </w:p>
        </w:tc>
      </w:tr>
      <w:tr w:rsidR="00907B6B" w:rsidRPr="00907B6B" w14:paraId="7890BFA3" w14:textId="77777777" w:rsidTr="00407A63">
        <w:tc>
          <w:tcPr>
            <w:tcW w:w="6663" w:type="dxa"/>
            <w:tcBorders>
              <w:left w:val="single" w:sz="1" w:space="0" w:color="000000"/>
              <w:bottom w:val="single" w:sz="1" w:space="0" w:color="000000"/>
            </w:tcBorders>
            <w:shd w:val="clear" w:color="auto" w:fill="auto"/>
          </w:tcPr>
          <w:p w14:paraId="4E8C79B1"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Total Equity</w:t>
            </w:r>
          </w:p>
        </w:tc>
        <w:tc>
          <w:tcPr>
            <w:tcW w:w="2409" w:type="dxa"/>
            <w:tcBorders>
              <w:left w:val="single" w:sz="1" w:space="0" w:color="000000"/>
              <w:bottom w:val="single" w:sz="1" w:space="0" w:color="000000"/>
              <w:right w:val="single" w:sz="1" w:space="0" w:color="000000"/>
            </w:tcBorders>
            <w:shd w:val="clear" w:color="auto" w:fill="auto"/>
          </w:tcPr>
          <w:p w14:paraId="7E255091" w14:textId="77777777" w:rsidR="00907B6B" w:rsidRPr="00907B6B" w:rsidRDefault="00907B6B" w:rsidP="00907B6B">
            <w:pPr>
              <w:rPr>
                <w:rFonts w:ascii="Times New Roman" w:hAnsi="Times New Roman" w:cs="Times New Roman"/>
                <w:b/>
                <w:bCs/>
                <w:sz w:val="28"/>
                <w:szCs w:val="28"/>
                <w:lang w:val="en-GB"/>
              </w:rPr>
            </w:pPr>
            <w:r w:rsidRPr="00907B6B">
              <w:rPr>
                <w:rFonts w:ascii="Times New Roman" w:hAnsi="Times New Roman" w:cs="Times New Roman"/>
                <w:b/>
                <w:bCs/>
                <w:sz w:val="28"/>
                <w:szCs w:val="28"/>
                <w:lang w:val="en-GB"/>
              </w:rPr>
              <w:t>872980</w:t>
            </w:r>
          </w:p>
        </w:tc>
      </w:tr>
    </w:tbl>
    <w:p w14:paraId="6AF242F7" w14:textId="4F93DA95" w:rsidR="000A5852" w:rsidRDefault="00907B6B" w:rsidP="000A5852">
      <w:pPr>
        <w:rPr>
          <w:rFonts w:asciiTheme="majorHAnsi" w:hAnsiTheme="majorHAnsi" w:cstheme="majorHAnsi"/>
          <w:sz w:val="28"/>
          <w:szCs w:val="28"/>
          <w:lang w:val="en-US"/>
        </w:rPr>
      </w:pPr>
      <w:r>
        <w:rPr>
          <w:rFonts w:asciiTheme="majorHAnsi" w:hAnsiTheme="majorHAnsi" w:cstheme="majorHAnsi"/>
          <w:sz w:val="28"/>
          <w:szCs w:val="28"/>
          <w:lang w:val="en-US"/>
        </w:rPr>
        <w:t xml:space="preserve">     </w:t>
      </w:r>
    </w:p>
    <w:p w14:paraId="7635789E" w14:textId="7C613437" w:rsidR="00907B6B" w:rsidRDefault="00907B6B" w:rsidP="000A5852">
      <w:pPr>
        <w:rPr>
          <w:rFonts w:asciiTheme="majorHAnsi" w:hAnsiTheme="majorHAnsi" w:cstheme="majorHAnsi"/>
          <w:sz w:val="28"/>
          <w:szCs w:val="28"/>
          <w:lang w:val="en-US"/>
        </w:rPr>
      </w:pPr>
    </w:p>
    <w:p w14:paraId="31B96661" w14:textId="5008C2EA" w:rsidR="00907B6B" w:rsidRDefault="00CE4872" w:rsidP="000A5852">
      <w:pPr>
        <w:rPr>
          <w:rFonts w:ascii="Times New Roman" w:hAnsi="Times New Roman" w:cs="Times New Roman"/>
          <w:b/>
          <w:bCs/>
          <w:sz w:val="32"/>
          <w:szCs w:val="32"/>
          <w:lang w:val="en-US"/>
        </w:rPr>
      </w:pPr>
      <w:r>
        <w:rPr>
          <w:rFonts w:asciiTheme="majorHAnsi" w:hAnsiTheme="majorHAnsi" w:cstheme="majorHAnsi"/>
          <w:sz w:val="28"/>
          <w:szCs w:val="28"/>
          <w:lang w:val="en-US"/>
        </w:rPr>
        <w:br w:type="page"/>
      </w:r>
      <w:r w:rsidRPr="00CE4872">
        <w:rPr>
          <w:rFonts w:ascii="Times New Roman" w:hAnsi="Times New Roman" w:cs="Times New Roman"/>
          <w:b/>
          <w:bCs/>
          <w:sz w:val="32"/>
          <w:szCs w:val="32"/>
          <w:lang w:val="en-US"/>
        </w:rPr>
        <w:lastRenderedPageBreak/>
        <w:t>Workings:</w:t>
      </w:r>
    </w:p>
    <w:p w14:paraId="151837BA" w14:textId="215201E4"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Ordinary Shares - £1 equity shares – 310,000</w:t>
      </w:r>
    </w:p>
    <w:p w14:paraId="5D1EAA38" w14:textId="77777777"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Add: 10% £1 preference shares – 300,000 = 610,000</w:t>
      </w:r>
    </w:p>
    <w:p w14:paraId="7C750367" w14:textId="0A69B650"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Non-current Assets: Plant &amp; Machinery – 632,730</w:t>
      </w:r>
    </w:p>
    <w:p w14:paraId="30107730" w14:textId="4B22A92E"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Retained Profit: Opening Profit – 132,000</w:t>
      </w:r>
    </w:p>
    <w:p w14:paraId="02B92E27" w14:textId="77777777"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 xml:space="preserve">  Add: Profit adjustments – 18,000</w:t>
      </w:r>
    </w:p>
    <w:p w14:paraId="152C4D1C" w14:textId="77777777"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 xml:space="preserve">  Add: current year profit - 112,980 = 244,980</w:t>
      </w:r>
    </w:p>
    <w:p w14:paraId="5F96F4D4" w14:textId="7C7D55A7"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There has been reported £3000 as outstanding commission which has not been recorded in ledgers yet but to present a true picture, they are to be reflected in financial statements. Therefore, company needs to pass following journal entry:</w:t>
      </w:r>
    </w:p>
    <w:p w14:paraId="3D3B48B3" w14:textId="440A6A14"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Commission A/c Dr.</w:t>
      </w:r>
      <w:r w:rsidR="00805652">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3000</w:t>
      </w:r>
    </w:p>
    <w:p w14:paraId="58D9951B" w14:textId="52BDCE7F" w:rsidR="00805652"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To Outstanding Commission</w:t>
      </w:r>
      <w:r w:rsidR="00805652">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 xml:space="preserve"> A/c.</w:t>
      </w:r>
      <w:r w:rsidR="00805652">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 xml:space="preserve">3000 </w:t>
      </w:r>
    </w:p>
    <w:p w14:paraId="45AAAC8D" w14:textId="621BA018"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Accordingly, these accounts will now be reflected in income statement by adding outstanding commission to commission account while outstanding commission will be reflected in current liabilities of the Statement of Financial position.</w:t>
      </w:r>
    </w:p>
    <w:p w14:paraId="3FAA8539" w14:textId="3A9A766C"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sz w:val="28"/>
          <w:szCs w:val="28"/>
          <w:lang w:val="en-US"/>
        </w:rPr>
        <w:t xml:space="preserve"> </w:t>
      </w:r>
      <w:r w:rsidRPr="00C45F3D">
        <w:rPr>
          <w:rFonts w:ascii="Times New Roman" w:hAnsi="Times New Roman" w:cs="Times New Roman"/>
          <w:sz w:val="28"/>
          <w:szCs w:val="28"/>
          <w:lang w:val="en-US"/>
        </w:rPr>
        <w:t>It has also been reported that the goods were worth £980 were sent to customers, payment of which will be received later and therefore, it has not been recorded in ledgers but to present a true picture, company needs to pass following journal entry so that it can reflect in financial statement:</w:t>
      </w:r>
    </w:p>
    <w:p w14:paraId="0BC5BA0C" w14:textId="02E74270"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Accrued sales debtors A/c Dr.</w:t>
      </w:r>
      <w:r w:rsidRPr="00C45F3D">
        <w:rPr>
          <w:rFonts w:ascii="Times New Roman" w:hAnsi="Times New Roman" w:cs="Times New Roman"/>
          <w:sz w:val="28"/>
          <w:szCs w:val="28"/>
          <w:lang w:val="en-US"/>
        </w:rPr>
        <w:tab/>
        <w:t>980</w:t>
      </w:r>
    </w:p>
    <w:p w14:paraId="3B7F05C6" w14:textId="14A585C3"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b/>
        <w:t>To Sales debtors A/c</w:t>
      </w:r>
      <w:r w:rsidRPr="00C45F3D">
        <w:rPr>
          <w:rFonts w:ascii="Times New Roman" w:hAnsi="Times New Roman" w:cs="Times New Roman"/>
          <w:sz w:val="28"/>
          <w:szCs w:val="28"/>
          <w:lang w:val="en-US"/>
        </w:rPr>
        <w:tab/>
        <w:t>980</w:t>
      </w:r>
    </w:p>
    <w:p w14:paraId="5F83E6B5" w14:textId="39E1AC66"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b/>
        <w:t xml:space="preserve">Accordingly, these accounts will now be reflected in income statement by adding accrued sales debtors to sales debtors account while accrued sales debtors will be reflected in current assets of the Statement of Financial position. </w:t>
      </w:r>
    </w:p>
    <w:p w14:paraId="3E173345" w14:textId="77777777" w:rsidR="00C45F3D" w:rsidRDefault="00C45F3D" w:rsidP="00CE4872">
      <w:pPr>
        <w:rPr>
          <w:rFonts w:ascii="Times New Roman" w:hAnsi="Times New Roman" w:cs="Times New Roman"/>
          <w:sz w:val="28"/>
          <w:szCs w:val="28"/>
          <w:u w:val="single"/>
          <w:lang w:val="en-US"/>
        </w:rPr>
      </w:pPr>
    </w:p>
    <w:p w14:paraId="50F91832" w14:textId="77777777" w:rsidR="00C45F3D" w:rsidRDefault="00C45F3D" w:rsidP="00CE4872">
      <w:pPr>
        <w:rPr>
          <w:rFonts w:ascii="Times New Roman" w:hAnsi="Times New Roman" w:cs="Times New Roman"/>
          <w:sz w:val="28"/>
          <w:szCs w:val="28"/>
          <w:u w:val="single"/>
          <w:lang w:val="en-US"/>
        </w:rPr>
      </w:pPr>
    </w:p>
    <w:p w14:paraId="58D287C6" w14:textId="77777777" w:rsidR="00C45F3D" w:rsidRDefault="00C45F3D" w:rsidP="00CE4872">
      <w:pPr>
        <w:rPr>
          <w:rFonts w:ascii="Times New Roman" w:hAnsi="Times New Roman" w:cs="Times New Roman"/>
          <w:sz w:val="28"/>
          <w:szCs w:val="28"/>
          <w:u w:val="single"/>
          <w:lang w:val="en-US"/>
        </w:rPr>
      </w:pPr>
    </w:p>
    <w:p w14:paraId="31C3F407" w14:textId="77777777" w:rsidR="00C45F3D" w:rsidRDefault="00C45F3D" w:rsidP="00CE4872">
      <w:pPr>
        <w:rPr>
          <w:rFonts w:ascii="Times New Roman" w:hAnsi="Times New Roman" w:cs="Times New Roman"/>
          <w:sz w:val="28"/>
          <w:szCs w:val="28"/>
          <w:u w:val="single"/>
          <w:lang w:val="en-US"/>
        </w:rPr>
      </w:pPr>
    </w:p>
    <w:p w14:paraId="462007BE" w14:textId="77777777" w:rsidR="00C45F3D" w:rsidRDefault="00C45F3D" w:rsidP="00CE4872">
      <w:pPr>
        <w:rPr>
          <w:rFonts w:ascii="Times New Roman" w:hAnsi="Times New Roman" w:cs="Times New Roman"/>
          <w:sz w:val="28"/>
          <w:szCs w:val="28"/>
          <w:u w:val="single"/>
          <w:lang w:val="en-US"/>
        </w:rPr>
      </w:pPr>
    </w:p>
    <w:p w14:paraId="5A2AC10A" w14:textId="45757541" w:rsidR="00CE4872" w:rsidRPr="00C45F3D" w:rsidRDefault="00CE4872" w:rsidP="00CE4872">
      <w:pPr>
        <w:rPr>
          <w:rFonts w:ascii="Times New Roman" w:hAnsi="Times New Roman" w:cs="Times New Roman"/>
          <w:sz w:val="28"/>
          <w:szCs w:val="28"/>
          <w:lang w:val="en-US"/>
        </w:rPr>
      </w:pPr>
      <w:r w:rsidRPr="00641FF2">
        <w:rPr>
          <w:rFonts w:ascii="Times New Roman" w:hAnsi="Times New Roman" w:cs="Times New Roman"/>
          <w:b/>
          <w:bCs/>
          <w:sz w:val="32"/>
          <w:szCs w:val="32"/>
          <w:u w:val="single"/>
          <w:lang w:val="en-US"/>
        </w:rPr>
        <w:lastRenderedPageBreak/>
        <w:t>B.</w:t>
      </w:r>
      <w:r w:rsidRPr="00C45F3D">
        <w:rPr>
          <w:rFonts w:ascii="Times New Roman" w:hAnsi="Times New Roman" w:cs="Times New Roman"/>
          <w:sz w:val="28"/>
          <w:szCs w:val="28"/>
          <w:lang w:val="en-US"/>
        </w:rPr>
        <w:t xml:space="preserve"> </w:t>
      </w:r>
      <w:r w:rsidRPr="00C45F3D">
        <w:rPr>
          <w:rFonts w:ascii="Times New Roman" w:hAnsi="Times New Roman" w:cs="Times New Roman"/>
          <w:b/>
          <w:bCs/>
          <w:sz w:val="28"/>
          <w:szCs w:val="28"/>
          <w:lang w:val="en-US"/>
        </w:rPr>
        <w:t>Why the statement of financial position balances.</w:t>
      </w:r>
    </w:p>
    <w:p w14:paraId="353C786C" w14:textId="77777777"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ab/>
        <w:t xml:space="preserve">Balance Sheet or statement of financial position follows the accounting principle of double entry which says that all transactions shall be recorded in two different accounts in which they have an equal and opposite effects (Brown and Johnston, 2019). This principle also helps in checking whether the entries are consistent and properly recorded or not. Balance Sheet is also based on this principle and has formula of, </w:t>
      </w:r>
    </w:p>
    <w:p w14:paraId="6BE49CA6" w14:textId="77777777" w:rsidR="00CE4872" w:rsidRPr="00C45F3D" w:rsidRDefault="00CE4872" w:rsidP="00CE4872">
      <w:pPr>
        <w:rPr>
          <w:rFonts w:ascii="Times New Roman" w:hAnsi="Times New Roman" w:cs="Times New Roman"/>
          <w:b/>
          <w:bCs/>
          <w:sz w:val="28"/>
          <w:szCs w:val="28"/>
          <w:lang w:val="en-US"/>
        </w:rPr>
      </w:pPr>
      <w:r w:rsidRPr="00C45F3D">
        <w:rPr>
          <w:rFonts w:ascii="Times New Roman" w:hAnsi="Times New Roman" w:cs="Times New Roman"/>
          <w:b/>
          <w:bCs/>
          <w:sz w:val="28"/>
          <w:szCs w:val="28"/>
          <w:lang w:val="en-US"/>
        </w:rPr>
        <w:t>Assets = Liabilities + Equity</w:t>
      </w:r>
    </w:p>
    <w:p w14:paraId="20A29D67" w14:textId="6100EF40" w:rsidR="00CE4872" w:rsidRPr="00C45F3D" w:rsidRDefault="00CE4872" w:rsidP="00CE4872">
      <w:pPr>
        <w:rPr>
          <w:rFonts w:ascii="Times New Roman" w:hAnsi="Times New Roman" w:cs="Times New Roman"/>
          <w:sz w:val="28"/>
          <w:szCs w:val="28"/>
          <w:lang w:val="en-US"/>
        </w:rPr>
      </w:pPr>
      <w:r w:rsidRPr="00C45F3D">
        <w:rPr>
          <w:rFonts w:ascii="Times New Roman" w:hAnsi="Times New Roman" w:cs="Times New Roman"/>
          <w:sz w:val="28"/>
          <w:szCs w:val="28"/>
          <w:lang w:val="en-US"/>
        </w:rPr>
        <w:t>Two sides of this formula add up to make the total value in the business on its own. Assets side represents break down of the value used in the business while other side of liabilities and equity breaks down the source of funding, as to how this value was acquired. Since, one side represents value in the business and other side represents source of that funding, they must be equal so as to ensure that all financial transactions are duly recorded.</w:t>
      </w:r>
      <w:r w:rsidR="00641FF2">
        <w:rPr>
          <w:rFonts w:ascii="Times New Roman" w:hAnsi="Times New Roman" w:cs="Times New Roman"/>
          <w:sz w:val="28"/>
          <w:szCs w:val="28"/>
          <w:lang w:val="en-US"/>
        </w:rPr>
        <w:t xml:space="preserve"> </w:t>
      </w:r>
    </w:p>
    <w:p w14:paraId="1AE35516" w14:textId="77777777" w:rsidR="002006C0" w:rsidRPr="002006C0" w:rsidRDefault="002006C0" w:rsidP="002006C0">
      <w:pPr>
        <w:rPr>
          <w:rFonts w:ascii="Times New Roman" w:hAnsi="Times New Roman" w:cs="Times New Roman"/>
          <w:b/>
          <w:bCs/>
          <w:sz w:val="32"/>
          <w:szCs w:val="32"/>
          <w:lang w:val="en-US"/>
        </w:rPr>
      </w:pPr>
      <w:r w:rsidRPr="002006C0">
        <w:rPr>
          <w:rFonts w:ascii="Times New Roman" w:hAnsi="Times New Roman" w:cs="Times New Roman"/>
          <w:b/>
          <w:bCs/>
          <w:sz w:val="32"/>
          <w:szCs w:val="32"/>
          <w:lang w:val="en-US"/>
        </w:rPr>
        <w:t>Question 2</w:t>
      </w:r>
    </w:p>
    <w:p w14:paraId="1E440004" w14:textId="77777777" w:rsidR="002006C0" w:rsidRPr="002006C0" w:rsidRDefault="002006C0" w:rsidP="002006C0">
      <w:pPr>
        <w:rPr>
          <w:rFonts w:ascii="Times New Roman" w:hAnsi="Times New Roman" w:cs="Times New Roman"/>
          <w:b/>
          <w:bCs/>
          <w:sz w:val="32"/>
          <w:szCs w:val="32"/>
          <w:lang w:val="en-US"/>
        </w:rPr>
      </w:pPr>
      <w:r w:rsidRPr="002006C0">
        <w:rPr>
          <w:rFonts w:ascii="Times New Roman" w:hAnsi="Times New Roman" w:cs="Times New Roman"/>
          <w:b/>
          <w:bCs/>
          <w:sz w:val="32"/>
          <w:szCs w:val="32"/>
          <w:lang w:val="en-US"/>
        </w:rPr>
        <w:t>A. Ratio Analysis</w:t>
      </w:r>
    </w:p>
    <w:p w14:paraId="741ECE80" w14:textId="77777777" w:rsidR="00C45F3D" w:rsidRPr="00C45F3D" w:rsidRDefault="002006C0" w:rsidP="002006C0">
      <w:pPr>
        <w:rPr>
          <w:rFonts w:ascii="Times New Roman" w:hAnsi="Times New Roman" w:cs="Times New Roman"/>
          <w:sz w:val="28"/>
          <w:szCs w:val="28"/>
          <w:lang w:val="en-US"/>
        </w:rPr>
      </w:pPr>
      <w:r w:rsidRPr="002006C0">
        <w:rPr>
          <w:rFonts w:ascii="Times New Roman" w:hAnsi="Times New Roman" w:cs="Times New Roman"/>
          <w:sz w:val="24"/>
          <w:szCs w:val="24"/>
          <w:lang w:val="en-US"/>
        </w:rPr>
        <w:tab/>
      </w:r>
      <w:r w:rsidRPr="00C45F3D">
        <w:rPr>
          <w:rFonts w:ascii="Times New Roman" w:hAnsi="Times New Roman" w:cs="Times New Roman"/>
          <w:sz w:val="28"/>
          <w:szCs w:val="28"/>
          <w:lang w:val="en-US"/>
        </w:rPr>
        <w:t xml:space="preserve">It is a quantitative method which helps a company in knowing about its liquidity, efficiency, profitability, etc. from the data presented in its financial statements (Samonas, 2015). Therefore, in other words, it is the analysis of financial health of company in mathematical terms. Below mentioned are different kinds of ratios: </w:t>
      </w:r>
    </w:p>
    <w:p w14:paraId="495C1718" w14:textId="77777777" w:rsidR="00C45F3D" w:rsidRPr="00C45F3D" w:rsidRDefault="002006C0" w:rsidP="002006C0">
      <w:pPr>
        <w:rPr>
          <w:rFonts w:ascii="Times New Roman" w:hAnsi="Times New Roman" w:cs="Times New Roman"/>
          <w:b/>
          <w:bCs/>
          <w:sz w:val="28"/>
          <w:szCs w:val="28"/>
          <w:lang w:val="en-US"/>
        </w:rPr>
      </w:pPr>
      <w:r w:rsidRPr="00C45F3D">
        <w:rPr>
          <w:rFonts w:ascii="Times New Roman" w:hAnsi="Times New Roman" w:cs="Times New Roman"/>
          <w:b/>
          <w:bCs/>
          <w:sz w:val="28"/>
          <w:szCs w:val="28"/>
          <w:lang w:val="en-US"/>
        </w:rPr>
        <w:t>Liquidity Ratios</w:t>
      </w:r>
    </w:p>
    <w:p w14:paraId="6393AE69" w14:textId="558E2631" w:rsidR="002006C0" w:rsidRPr="00C45F3D" w:rsidRDefault="002006C0" w:rsidP="002006C0">
      <w:pPr>
        <w:rPr>
          <w:rFonts w:ascii="Times New Roman" w:hAnsi="Times New Roman" w:cs="Times New Roman"/>
          <w:sz w:val="28"/>
          <w:szCs w:val="28"/>
          <w:lang w:val="en-US"/>
        </w:rPr>
      </w:pPr>
      <w:r w:rsidRPr="00C45F3D">
        <w:rPr>
          <w:rFonts w:ascii="Times New Roman" w:hAnsi="Times New Roman" w:cs="Times New Roman"/>
          <w:sz w:val="28"/>
          <w:szCs w:val="28"/>
          <w:lang w:val="en-US"/>
        </w:rPr>
        <w:t>These ratios are used to assess a company’s ability to pay off its short-term liabilities from the resources presented within company (Tsadira-Pocha, 2020). It includes:</w:t>
      </w:r>
    </w:p>
    <w:p w14:paraId="3396D859" w14:textId="769B64F1" w:rsidR="002006C0" w:rsidRPr="00C45F3D" w:rsidRDefault="002006C0" w:rsidP="002006C0">
      <w:pPr>
        <w:rPr>
          <w:rFonts w:ascii="Times New Roman" w:hAnsi="Times New Roman" w:cs="Times New Roman"/>
          <w:sz w:val="28"/>
          <w:szCs w:val="28"/>
          <w:lang w:val="en-US"/>
        </w:rPr>
      </w:pPr>
      <w:r w:rsidRPr="00C45F3D">
        <w:rPr>
          <w:rFonts w:ascii="Times New Roman" w:hAnsi="Times New Roman" w:cs="Times New Roman"/>
          <w:b/>
          <w:bCs/>
          <w:sz w:val="28"/>
          <w:szCs w:val="28"/>
          <w:lang w:val="en-US"/>
        </w:rPr>
        <w:t>•</w:t>
      </w:r>
      <w:r w:rsidR="00641FF2">
        <w:rPr>
          <w:rFonts w:ascii="Times New Roman" w:hAnsi="Times New Roman" w:cs="Times New Roman"/>
          <w:b/>
          <w:bCs/>
          <w:sz w:val="28"/>
          <w:szCs w:val="28"/>
          <w:lang w:val="en-US"/>
        </w:rPr>
        <w:t xml:space="preserve"> </w:t>
      </w:r>
      <w:r w:rsidRPr="00C45F3D">
        <w:rPr>
          <w:rFonts w:ascii="Times New Roman" w:hAnsi="Times New Roman" w:cs="Times New Roman"/>
          <w:b/>
          <w:bCs/>
          <w:sz w:val="28"/>
          <w:szCs w:val="28"/>
          <w:lang w:val="en-US"/>
        </w:rPr>
        <w:t>Current Ratio -</w:t>
      </w:r>
      <w:r w:rsidRPr="00C45F3D">
        <w:rPr>
          <w:rFonts w:ascii="Times New Roman" w:hAnsi="Times New Roman" w:cs="Times New Roman"/>
          <w:sz w:val="28"/>
          <w:szCs w:val="28"/>
          <w:lang w:val="en-US"/>
        </w:rPr>
        <w:t xml:space="preserve"> It determines a company’s ability to pay off its near-term liabilities with its current assets. Higher the ratio, better the position.</w:t>
      </w:r>
    </w:p>
    <w:p w14:paraId="4DAE0B51" w14:textId="77777777" w:rsidR="002006C0" w:rsidRPr="00C45F3D" w:rsidRDefault="002006C0" w:rsidP="002006C0">
      <w:pPr>
        <w:rPr>
          <w:rFonts w:ascii="Times New Roman" w:hAnsi="Times New Roman" w:cs="Times New Roman"/>
          <w:b/>
          <w:bCs/>
          <w:sz w:val="28"/>
          <w:szCs w:val="28"/>
          <w:lang w:val="en-US"/>
        </w:rPr>
      </w:pPr>
      <w:r w:rsidRPr="00C45F3D">
        <w:rPr>
          <w:rFonts w:ascii="Times New Roman" w:hAnsi="Times New Roman" w:cs="Times New Roman"/>
          <w:b/>
          <w:bCs/>
          <w:sz w:val="28"/>
          <w:szCs w:val="28"/>
          <w:lang w:val="en-US"/>
        </w:rPr>
        <w:t xml:space="preserve">Current Ratio = Current Assets/Current Liabilities </w:t>
      </w:r>
    </w:p>
    <w:p w14:paraId="1E97F8AB" w14:textId="389B2817" w:rsidR="002006C0" w:rsidRPr="00C45F3D" w:rsidRDefault="002006C0" w:rsidP="002006C0">
      <w:pPr>
        <w:rPr>
          <w:rFonts w:ascii="Times New Roman" w:hAnsi="Times New Roman" w:cs="Times New Roman"/>
          <w:sz w:val="28"/>
          <w:szCs w:val="28"/>
          <w:lang w:val="en-US"/>
        </w:rPr>
      </w:pPr>
      <w:r w:rsidRPr="002006C0">
        <w:rPr>
          <w:noProof/>
          <w:lang w:eastAsia="bg-BG"/>
        </w:rPr>
        <w:lastRenderedPageBreak/>
        <w:drawing>
          <wp:inline distT="0" distB="0" distL="0" distR="0" wp14:anchorId="5F45FE8B" wp14:editId="7B2F0AEE">
            <wp:extent cx="5734050" cy="134620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r w:rsidRPr="00C45F3D">
        <w:rPr>
          <w:rFonts w:ascii="Times New Roman" w:hAnsi="Times New Roman" w:cs="Times New Roman"/>
          <w:sz w:val="28"/>
          <w:szCs w:val="28"/>
          <w:lang w:val="en-US"/>
        </w:rPr>
        <w:t>Current Ratio of Chocco Plc in both 2018 and 2019 is less than</w:t>
      </w:r>
      <w:r w:rsidRPr="00641FF2">
        <w:rPr>
          <w:rFonts w:ascii="Times New Roman" w:hAnsi="Times New Roman" w:cs="Times New Roman"/>
          <w:sz w:val="28"/>
          <w:szCs w:val="28"/>
          <w:lang w:val="en-US"/>
        </w:rPr>
        <w:t xml:space="preserve"> 1 </w:t>
      </w:r>
      <w:r w:rsidRPr="00C45F3D">
        <w:rPr>
          <w:rFonts w:ascii="Times New Roman" w:hAnsi="Times New Roman" w:cs="Times New Roman"/>
          <w:sz w:val="28"/>
          <w:szCs w:val="28"/>
          <w:lang w:val="en-US"/>
        </w:rPr>
        <w:t xml:space="preserve">which is not good indicator, for it indicates that company’s current assets will not able to cover current liabilities, in case of need. Although, the good sign for company is that its ratio has improved in 2019 from 2018. </w:t>
      </w:r>
    </w:p>
    <w:p w14:paraId="28C245E2" w14:textId="77777777" w:rsidR="002006C0" w:rsidRPr="00C45F3D" w:rsidRDefault="002006C0" w:rsidP="002006C0">
      <w:pPr>
        <w:rPr>
          <w:rFonts w:ascii="Times New Roman" w:hAnsi="Times New Roman" w:cs="Times New Roman"/>
          <w:sz w:val="28"/>
          <w:szCs w:val="28"/>
          <w:lang w:val="en-US"/>
        </w:rPr>
      </w:pPr>
    </w:p>
    <w:p w14:paraId="715511B2" w14:textId="65C25385" w:rsidR="002006C0" w:rsidRPr="00C45F3D" w:rsidRDefault="002006C0" w:rsidP="002006C0">
      <w:pPr>
        <w:rPr>
          <w:rFonts w:ascii="Times New Roman" w:hAnsi="Times New Roman" w:cs="Times New Roman"/>
          <w:sz w:val="28"/>
          <w:szCs w:val="28"/>
          <w:lang w:val="en-US"/>
        </w:rPr>
      </w:pPr>
      <w:r w:rsidRPr="00C45F3D">
        <w:rPr>
          <w:rFonts w:ascii="Times New Roman" w:hAnsi="Times New Roman" w:cs="Times New Roman"/>
          <w:sz w:val="28"/>
          <w:szCs w:val="28"/>
          <w:lang w:val="en-US"/>
        </w:rPr>
        <w:t>•</w:t>
      </w:r>
      <w:r w:rsidR="006E25C9">
        <w:rPr>
          <w:rFonts w:ascii="Times New Roman" w:hAnsi="Times New Roman" w:cs="Times New Roman"/>
          <w:b/>
          <w:bCs/>
          <w:sz w:val="28"/>
          <w:szCs w:val="28"/>
          <w:lang w:val="en-US"/>
        </w:rPr>
        <w:t xml:space="preserve"> </w:t>
      </w:r>
      <w:r w:rsidRPr="00C45F3D">
        <w:rPr>
          <w:rFonts w:ascii="Times New Roman" w:hAnsi="Times New Roman" w:cs="Times New Roman"/>
          <w:b/>
          <w:bCs/>
          <w:sz w:val="28"/>
          <w:szCs w:val="28"/>
          <w:lang w:val="en-US"/>
        </w:rPr>
        <w:t>Acid Test Ratio –</w:t>
      </w:r>
      <w:r w:rsidRPr="00C45F3D">
        <w:rPr>
          <w:rFonts w:ascii="Times New Roman" w:hAnsi="Times New Roman" w:cs="Times New Roman"/>
          <w:sz w:val="28"/>
          <w:szCs w:val="28"/>
          <w:lang w:val="en-US"/>
        </w:rPr>
        <w:t xml:space="preserve"> Also known as quick ratio, it analyses the abilities of company’s most liquid assets. Therefore, it excludes inventory and prepaid instruments from current assets. </w:t>
      </w:r>
    </w:p>
    <w:p w14:paraId="54D7C812" w14:textId="77777777" w:rsidR="002006C0" w:rsidRPr="00C45F3D" w:rsidRDefault="002006C0" w:rsidP="002006C0">
      <w:pPr>
        <w:rPr>
          <w:rFonts w:ascii="Times New Roman" w:hAnsi="Times New Roman" w:cs="Times New Roman"/>
          <w:b/>
          <w:bCs/>
          <w:sz w:val="28"/>
          <w:szCs w:val="28"/>
          <w:lang w:val="en-US"/>
        </w:rPr>
      </w:pPr>
      <w:r w:rsidRPr="00C45F3D">
        <w:rPr>
          <w:rFonts w:ascii="Times New Roman" w:hAnsi="Times New Roman" w:cs="Times New Roman"/>
          <w:b/>
          <w:bCs/>
          <w:sz w:val="28"/>
          <w:szCs w:val="28"/>
          <w:lang w:val="en-US"/>
        </w:rPr>
        <w:t xml:space="preserve">Quick Ratio = (Current Assets – Inventory – Prepaid Instruments) / Current Liabilities </w:t>
      </w:r>
    </w:p>
    <w:p w14:paraId="1FDC93E0" w14:textId="1F929EE3" w:rsidR="002006C0" w:rsidRPr="00C45F3D" w:rsidRDefault="002006C0" w:rsidP="002006C0">
      <w:pPr>
        <w:rPr>
          <w:rFonts w:ascii="Times New Roman" w:hAnsi="Times New Roman" w:cs="Times New Roman"/>
          <w:sz w:val="28"/>
          <w:szCs w:val="28"/>
          <w:lang w:val="en-US"/>
        </w:rPr>
      </w:pPr>
      <w:r w:rsidRPr="002006C0">
        <w:rPr>
          <w:noProof/>
          <w:lang w:eastAsia="bg-BG"/>
        </w:rPr>
        <w:drawing>
          <wp:inline distT="0" distB="0" distL="0" distR="0" wp14:anchorId="3826BE96" wp14:editId="2D8397F9">
            <wp:extent cx="5734050" cy="134620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r w:rsidRPr="00C45F3D">
        <w:rPr>
          <w:rFonts w:ascii="Times New Roman" w:hAnsi="Times New Roman" w:cs="Times New Roman"/>
          <w:sz w:val="28"/>
          <w:szCs w:val="28"/>
          <w:lang w:val="en-US"/>
        </w:rPr>
        <w:t xml:space="preserve">Quick Ratio of Chocco Plc is less than 1 which is not good indicator, for it indicates that company’s quick assets are unable to cover current liabilities, in case of contingencies. Although, the ratio has improved in 2019 from 2018. </w:t>
      </w:r>
    </w:p>
    <w:p w14:paraId="56E62821" w14:textId="569E66A2" w:rsidR="002006C0" w:rsidRDefault="002006C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F03E49C" w14:textId="1D0519F1" w:rsidR="002006C0" w:rsidRPr="00A3416C" w:rsidRDefault="002006C0" w:rsidP="002006C0">
      <w:pPr>
        <w:rPr>
          <w:rFonts w:ascii="Times New Roman" w:hAnsi="Times New Roman" w:cs="Times New Roman"/>
          <w:b/>
          <w:bCs/>
          <w:sz w:val="28"/>
          <w:szCs w:val="28"/>
          <w:lang w:val="en-US"/>
        </w:rPr>
      </w:pPr>
      <w:r w:rsidRPr="00A3416C">
        <w:rPr>
          <w:rFonts w:ascii="Times New Roman" w:hAnsi="Times New Roman" w:cs="Times New Roman"/>
          <w:b/>
          <w:bCs/>
          <w:sz w:val="28"/>
          <w:szCs w:val="28"/>
          <w:lang w:val="en-US"/>
        </w:rPr>
        <w:lastRenderedPageBreak/>
        <w:t>Solvency Ratios</w:t>
      </w:r>
    </w:p>
    <w:p w14:paraId="4365F316" w14:textId="77777777" w:rsidR="002006C0" w:rsidRPr="00A3416C" w:rsidRDefault="002006C0" w:rsidP="002006C0">
      <w:pPr>
        <w:rPr>
          <w:rFonts w:ascii="Times New Roman" w:hAnsi="Times New Roman" w:cs="Times New Roman"/>
          <w:sz w:val="28"/>
          <w:szCs w:val="28"/>
          <w:lang w:val="en-US"/>
        </w:rPr>
      </w:pPr>
      <w:r w:rsidRPr="00A3416C">
        <w:rPr>
          <w:rFonts w:ascii="Times New Roman" w:hAnsi="Times New Roman" w:cs="Times New Roman"/>
          <w:sz w:val="28"/>
          <w:szCs w:val="28"/>
          <w:lang w:val="en-US"/>
        </w:rPr>
        <w:t>They are also known as leverage ratios. They are used to analyse the prospects of long-term sufficiency and capabilities of the business to finance itself (Brown and et.al., 2016). It includes:</w:t>
      </w:r>
    </w:p>
    <w:p w14:paraId="392B7898" w14:textId="14AFEB83" w:rsidR="002006C0" w:rsidRPr="00A3416C" w:rsidRDefault="002006C0" w:rsidP="002006C0">
      <w:pPr>
        <w:rPr>
          <w:rFonts w:ascii="Times New Roman" w:hAnsi="Times New Roman" w:cs="Times New Roman"/>
          <w:sz w:val="28"/>
          <w:szCs w:val="28"/>
          <w:lang w:val="en-US"/>
        </w:rPr>
      </w:pPr>
      <w:r w:rsidRPr="00A3416C">
        <w:rPr>
          <w:rFonts w:ascii="Times New Roman" w:hAnsi="Times New Roman" w:cs="Times New Roman"/>
          <w:b/>
          <w:bCs/>
          <w:sz w:val="28"/>
          <w:szCs w:val="28"/>
          <w:lang w:val="en-US"/>
        </w:rPr>
        <w:t>•</w:t>
      </w:r>
      <w:r w:rsidR="006E25C9">
        <w:rPr>
          <w:rFonts w:ascii="Times New Roman" w:hAnsi="Times New Roman" w:cs="Times New Roman"/>
          <w:b/>
          <w:bCs/>
          <w:sz w:val="28"/>
          <w:szCs w:val="28"/>
          <w:lang w:val="en-US"/>
        </w:rPr>
        <w:t xml:space="preserve"> </w:t>
      </w:r>
      <w:r w:rsidR="00F36A43">
        <w:rPr>
          <w:rFonts w:ascii="Times New Roman" w:hAnsi="Times New Roman" w:cs="Times New Roman"/>
          <w:b/>
          <w:bCs/>
          <w:sz w:val="28"/>
          <w:szCs w:val="28"/>
          <w:lang w:val="en-US"/>
        </w:rPr>
        <w:t xml:space="preserve"> </w:t>
      </w:r>
      <w:r w:rsidRPr="00A3416C">
        <w:rPr>
          <w:rFonts w:ascii="Times New Roman" w:hAnsi="Times New Roman" w:cs="Times New Roman"/>
          <w:b/>
          <w:bCs/>
          <w:sz w:val="28"/>
          <w:szCs w:val="28"/>
          <w:lang w:val="en-US"/>
        </w:rPr>
        <w:t>Debt-to-equity Ratio –</w:t>
      </w:r>
      <w:r w:rsidRPr="00A3416C">
        <w:rPr>
          <w:rFonts w:ascii="Times New Roman" w:hAnsi="Times New Roman" w:cs="Times New Roman"/>
          <w:sz w:val="28"/>
          <w:szCs w:val="28"/>
          <w:lang w:val="en-US"/>
        </w:rPr>
        <w:t xml:space="preserve"> This ratio determines the quantum of debt financed by equity. Lower the ratio, better it is. </w:t>
      </w:r>
    </w:p>
    <w:p w14:paraId="304A2D03" w14:textId="05EB1139" w:rsidR="00CE4872" w:rsidRPr="00A3416C" w:rsidRDefault="002006C0" w:rsidP="00CE4872">
      <w:pPr>
        <w:rPr>
          <w:rFonts w:ascii="Times New Roman" w:hAnsi="Times New Roman" w:cs="Times New Roman"/>
          <w:b/>
          <w:bCs/>
          <w:sz w:val="28"/>
          <w:szCs w:val="28"/>
          <w:lang w:val="en-US"/>
        </w:rPr>
      </w:pPr>
      <w:r w:rsidRPr="00A3416C">
        <w:rPr>
          <w:rFonts w:ascii="Times New Roman" w:hAnsi="Times New Roman" w:cs="Times New Roman"/>
          <w:b/>
          <w:bCs/>
          <w:sz w:val="28"/>
          <w:szCs w:val="28"/>
          <w:lang w:val="en-US"/>
        </w:rPr>
        <w:t xml:space="preserve">Debt-to-equity ratio = Total debt/total equity </w:t>
      </w:r>
    </w:p>
    <w:p w14:paraId="78CAEF85" w14:textId="34E7837E" w:rsidR="00A3416C" w:rsidRPr="00A3416C" w:rsidRDefault="00A3416C" w:rsidP="00CE4872">
      <w:pPr>
        <w:rPr>
          <w:rFonts w:ascii="Times New Roman" w:hAnsi="Times New Roman" w:cs="Times New Roman"/>
          <w:sz w:val="28"/>
          <w:szCs w:val="28"/>
          <w:lang w:val="en-US"/>
        </w:rPr>
      </w:pPr>
      <w:r w:rsidRPr="00A3416C">
        <w:rPr>
          <w:noProof/>
          <w:lang w:eastAsia="bg-BG"/>
        </w:rPr>
        <w:drawing>
          <wp:inline distT="0" distB="0" distL="0" distR="0" wp14:anchorId="2D758F1E" wp14:editId="4021367C">
            <wp:extent cx="5734050" cy="1346200"/>
            <wp:effectExtent l="0" t="0" r="0" b="0"/>
            <wp:docPr id="99" name="Картина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r w:rsidRPr="00A3416C">
        <w:rPr>
          <w:rFonts w:ascii="Times New Roman" w:hAnsi="Times New Roman" w:cs="Times New Roman"/>
          <w:sz w:val="28"/>
          <w:szCs w:val="28"/>
          <w:lang w:val="en-US"/>
        </w:rPr>
        <w:t xml:space="preserve">As said earlier, higher debt to equity ratio is not considered positive for the company. Debt to equity ratio of Chocco Plc shows that debt is more than twice of equity of the company which increases the likelihood of default as the equity is unable to finance debts in case of need. </w:t>
      </w:r>
    </w:p>
    <w:p w14:paraId="7826DC10" w14:textId="37105614" w:rsidR="00A3416C" w:rsidRPr="00A3416C" w:rsidRDefault="00A3416C" w:rsidP="00A3416C">
      <w:pPr>
        <w:rPr>
          <w:rFonts w:ascii="Times New Roman" w:hAnsi="Times New Roman" w:cs="Times New Roman"/>
          <w:sz w:val="28"/>
          <w:szCs w:val="28"/>
          <w:lang w:val="en-US"/>
        </w:rPr>
      </w:pPr>
      <w:r w:rsidRPr="00A3416C">
        <w:rPr>
          <w:rFonts w:ascii="Times New Roman" w:hAnsi="Times New Roman" w:cs="Times New Roman"/>
          <w:b/>
          <w:bCs/>
          <w:sz w:val="28"/>
          <w:szCs w:val="28"/>
          <w:lang w:val="en-US"/>
        </w:rPr>
        <w:t>•</w:t>
      </w:r>
      <w:r w:rsidR="006E25C9">
        <w:rPr>
          <w:rFonts w:ascii="Times New Roman" w:hAnsi="Times New Roman" w:cs="Times New Roman"/>
          <w:sz w:val="28"/>
          <w:szCs w:val="28"/>
          <w:lang w:val="en-US"/>
        </w:rPr>
        <w:t xml:space="preserve"> </w:t>
      </w:r>
      <w:r w:rsidRPr="00A3416C">
        <w:rPr>
          <w:rFonts w:ascii="Times New Roman" w:hAnsi="Times New Roman" w:cs="Times New Roman"/>
          <w:b/>
          <w:bCs/>
          <w:sz w:val="28"/>
          <w:szCs w:val="28"/>
          <w:lang w:val="en-US"/>
        </w:rPr>
        <w:t>Debt-to-asset Ratio –</w:t>
      </w:r>
      <w:r w:rsidRPr="00A3416C">
        <w:rPr>
          <w:rFonts w:ascii="Times New Roman" w:hAnsi="Times New Roman" w:cs="Times New Roman"/>
          <w:sz w:val="28"/>
          <w:szCs w:val="28"/>
          <w:lang w:val="en-US"/>
        </w:rPr>
        <w:t xml:space="preserve"> This ratio analyses a company’s leverage by determining the quantity of debts financed by assets of the company (Rachlin, 2019).</w:t>
      </w:r>
    </w:p>
    <w:p w14:paraId="30AC4C9F" w14:textId="64DA8810" w:rsidR="00A3416C" w:rsidRPr="00A3416C" w:rsidRDefault="00A3416C" w:rsidP="00A3416C">
      <w:pPr>
        <w:rPr>
          <w:rFonts w:ascii="Times New Roman" w:hAnsi="Times New Roman" w:cs="Times New Roman"/>
          <w:b/>
          <w:bCs/>
          <w:sz w:val="28"/>
          <w:szCs w:val="28"/>
          <w:lang w:val="en-US"/>
        </w:rPr>
      </w:pPr>
      <w:r w:rsidRPr="00A3416C">
        <w:rPr>
          <w:rFonts w:ascii="Times New Roman" w:hAnsi="Times New Roman" w:cs="Times New Roman"/>
          <w:b/>
          <w:bCs/>
          <w:sz w:val="28"/>
          <w:szCs w:val="28"/>
          <w:lang w:val="en-US"/>
        </w:rPr>
        <w:t>Debt-to-asset Ratio = Total debt/Total assets</w:t>
      </w:r>
    </w:p>
    <w:p w14:paraId="06AFC662" w14:textId="5ECEAE19" w:rsidR="00A3416C" w:rsidRPr="00A3416C" w:rsidRDefault="00A3416C" w:rsidP="00A3416C">
      <w:pPr>
        <w:rPr>
          <w:rFonts w:ascii="Times New Roman" w:hAnsi="Times New Roman" w:cs="Times New Roman"/>
          <w:sz w:val="24"/>
          <w:szCs w:val="24"/>
          <w:lang w:val="en-US"/>
        </w:rPr>
      </w:pPr>
      <w:r w:rsidRPr="00A3416C">
        <w:rPr>
          <w:noProof/>
          <w:lang w:eastAsia="bg-BG"/>
        </w:rPr>
        <w:drawing>
          <wp:inline distT="0" distB="0" distL="0" distR="0" wp14:anchorId="553557FB" wp14:editId="6645A111">
            <wp:extent cx="5734050" cy="1346200"/>
            <wp:effectExtent l="0" t="0" r="0" b="0"/>
            <wp:docPr id="100" name="Картина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r w:rsidRPr="00A3416C">
        <w:rPr>
          <w:rFonts w:ascii="Times New Roman" w:hAnsi="Times New Roman" w:cs="Times New Roman"/>
          <w:sz w:val="28"/>
          <w:szCs w:val="28"/>
          <w:lang w:val="en-US"/>
        </w:rPr>
        <w:t>Debt to asset ratio more than 1 is not considered healthy. Debt to asset ratio of Chocco plc is less than one which shows that debt is not funded significantly against assets of the company. Moreover, its ratio has improved from 2018 in 2019.</w:t>
      </w:r>
    </w:p>
    <w:p w14:paraId="6DD18D28" w14:textId="1B213018" w:rsidR="00A3416C" w:rsidRDefault="00A3416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DB29F46" w14:textId="77777777" w:rsidR="00A3416C" w:rsidRPr="00A3416C" w:rsidRDefault="00A3416C" w:rsidP="00A3416C">
      <w:pPr>
        <w:rPr>
          <w:rFonts w:ascii="Times New Roman" w:hAnsi="Times New Roman" w:cs="Times New Roman"/>
          <w:b/>
          <w:bCs/>
          <w:sz w:val="28"/>
          <w:szCs w:val="28"/>
          <w:lang w:val="en-US"/>
        </w:rPr>
      </w:pPr>
      <w:r w:rsidRPr="00A3416C">
        <w:rPr>
          <w:rFonts w:ascii="Times New Roman" w:hAnsi="Times New Roman" w:cs="Times New Roman"/>
          <w:b/>
          <w:bCs/>
          <w:sz w:val="28"/>
          <w:szCs w:val="28"/>
          <w:lang w:val="en-US"/>
        </w:rPr>
        <w:lastRenderedPageBreak/>
        <w:t>Profitability Ratios</w:t>
      </w:r>
    </w:p>
    <w:p w14:paraId="78953949" w14:textId="77777777" w:rsidR="00A3416C" w:rsidRPr="00A3416C" w:rsidRDefault="00A3416C" w:rsidP="00A3416C">
      <w:pPr>
        <w:rPr>
          <w:rFonts w:ascii="Times New Roman" w:hAnsi="Times New Roman" w:cs="Times New Roman"/>
          <w:sz w:val="28"/>
          <w:szCs w:val="28"/>
          <w:lang w:val="en-US"/>
        </w:rPr>
      </w:pPr>
      <w:r w:rsidRPr="00A3416C">
        <w:rPr>
          <w:rFonts w:ascii="Times New Roman" w:hAnsi="Times New Roman" w:cs="Times New Roman"/>
          <w:sz w:val="28"/>
          <w:szCs w:val="28"/>
          <w:lang w:val="en-US"/>
        </w:rPr>
        <w:t>These ratios are used to assess the capabilities of a company to generate profit in relation to its revenues and other operations of the business (Ehrhardt and Brigham, 2016). It includes:</w:t>
      </w:r>
    </w:p>
    <w:p w14:paraId="0FC3A547" w14:textId="6D438695" w:rsidR="00A3416C" w:rsidRPr="00A3416C" w:rsidRDefault="00A3416C" w:rsidP="00A3416C">
      <w:pPr>
        <w:rPr>
          <w:rFonts w:ascii="Times New Roman" w:hAnsi="Times New Roman" w:cs="Times New Roman"/>
          <w:sz w:val="28"/>
          <w:szCs w:val="28"/>
          <w:lang w:val="en-US"/>
        </w:rPr>
      </w:pPr>
      <w:r w:rsidRPr="00A3416C">
        <w:rPr>
          <w:rFonts w:ascii="Times New Roman" w:hAnsi="Times New Roman" w:cs="Times New Roman"/>
          <w:sz w:val="28"/>
          <w:szCs w:val="28"/>
          <w:lang w:val="en-US"/>
        </w:rPr>
        <w:t>•</w:t>
      </w:r>
      <w:r w:rsidR="00F36A43">
        <w:rPr>
          <w:rFonts w:ascii="Times New Roman" w:hAnsi="Times New Roman" w:cs="Times New Roman"/>
          <w:sz w:val="28"/>
          <w:szCs w:val="28"/>
          <w:lang w:val="en-US"/>
        </w:rPr>
        <w:t xml:space="preserve"> </w:t>
      </w:r>
      <w:r w:rsidRPr="00A3416C">
        <w:rPr>
          <w:rFonts w:ascii="Times New Roman" w:hAnsi="Times New Roman" w:cs="Times New Roman"/>
          <w:b/>
          <w:bCs/>
          <w:sz w:val="28"/>
          <w:szCs w:val="28"/>
          <w:lang w:val="en-US"/>
        </w:rPr>
        <w:t>Return on Assets –</w:t>
      </w:r>
      <w:r w:rsidRPr="00A3416C">
        <w:rPr>
          <w:rFonts w:ascii="Times New Roman" w:hAnsi="Times New Roman" w:cs="Times New Roman"/>
          <w:sz w:val="28"/>
          <w:szCs w:val="28"/>
          <w:lang w:val="en-US"/>
        </w:rPr>
        <w:t xml:space="preserve"> This ratio is used by both internal and external stakeholders to analyse the efficiency of a company in using its assets.</w:t>
      </w:r>
    </w:p>
    <w:p w14:paraId="633EC63C" w14:textId="2422E3EF" w:rsidR="00A3416C" w:rsidRDefault="00A3416C" w:rsidP="00A3416C">
      <w:pPr>
        <w:rPr>
          <w:rFonts w:ascii="Times New Roman" w:hAnsi="Times New Roman" w:cs="Times New Roman"/>
          <w:b/>
          <w:bCs/>
          <w:sz w:val="28"/>
          <w:szCs w:val="28"/>
          <w:lang w:val="en-US"/>
        </w:rPr>
      </w:pPr>
      <w:r w:rsidRPr="00A3416C">
        <w:rPr>
          <w:rFonts w:ascii="Times New Roman" w:hAnsi="Times New Roman" w:cs="Times New Roman"/>
          <w:b/>
          <w:bCs/>
          <w:sz w:val="28"/>
          <w:szCs w:val="28"/>
          <w:lang w:val="en-US"/>
        </w:rPr>
        <w:t xml:space="preserve">Return on Assets = Net income / Total Assets </w:t>
      </w:r>
    </w:p>
    <w:p w14:paraId="698F1D2A" w14:textId="77777777" w:rsidR="00A3416C" w:rsidRDefault="00A3416C" w:rsidP="00A3416C">
      <w:pPr>
        <w:rPr>
          <w:rFonts w:ascii="Times New Roman" w:hAnsi="Times New Roman" w:cs="Times New Roman"/>
          <w:b/>
          <w:bCs/>
          <w:sz w:val="28"/>
          <w:szCs w:val="28"/>
          <w:lang w:val="en-US"/>
        </w:rPr>
      </w:pPr>
    </w:p>
    <w:p w14:paraId="750E8280" w14:textId="04636E59" w:rsidR="00A3416C" w:rsidRDefault="00A3416C" w:rsidP="00A3416C">
      <w:pPr>
        <w:rPr>
          <w:rFonts w:ascii="Times New Roman" w:hAnsi="Times New Roman" w:cs="Times New Roman"/>
          <w:b/>
          <w:bCs/>
          <w:sz w:val="28"/>
          <w:szCs w:val="28"/>
          <w:lang w:val="en-US"/>
        </w:rPr>
      </w:pPr>
      <w:r w:rsidRPr="00A3416C">
        <w:rPr>
          <w:noProof/>
          <w:lang w:eastAsia="bg-BG"/>
        </w:rPr>
        <w:drawing>
          <wp:inline distT="0" distB="0" distL="0" distR="0" wp14:anchorId="0A8A62E0" wp14:editId="62BB114A">
            <wp:extent cx="5734050" cy="1346200"/>
            <wp:effectExtent l="0" t="0" r="0" b="0"/>
            <wp:docPr id="103" name="Картина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p>
    <w:p w14:paraId="758D0E7E" w14:textId="325ED031" w:rsidR="00A3416C" w:rsidRDefault="00A3416C" w:rsidP="00A3416C">
      <w:pPr>
        <w:rPr>
          <w:rFonts w:ascii="Times New Roman" w:hAnsi="Times New Roman" w:cs="Times New Roman"/>
          <w:sz w:val="28"/>
          <w:szCs w:val="28"/>
          <w:lang w:val="en-US"/>
        </w:rPr>
      </w:pPr>
      <w:r w:rsidRPr="00A3416C">
        <w:rPr>
          <w:rFonts w:ascii="Times New Roman" w:hAnsi="Times New Roman" w:cs="Times New Roman"/>
          <w:sz w:val="28"/>
          <w:szCs w:val="28"/>
          <w:lang w:val="en-US"/>
        </w:rPr>
        <w:t xml:space="preserve">Higher return on assets, more are the assets considered efficient. Return on Asset ratio of Chocco Plc has improved from last year which is a good sign for the company. Although, the ratio is not high enough and company needs to keep on making efforts to improve their profit so that it can have better returns on assets. </w:t>
      </w:r>
    </w:p>
    <w:p w14:paraId="73F1414A" w14:textId="77777777" w:rsidR="00F36A43" w:rsidRPr="00F36A43"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Efficiency Ratios</w:t>
      </w:r>
    </w:p>
    <w:p w14:paraId="0962A58D" w14:textId="3ECF7249"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These ratios are also called as activity ratios and are used to evaluate the capabilities of a company in utilizing its assets and liabilities to improvise its profits (Chandra, 2017). It includes:</w:t>
      </w:r>
    </w:p>
    <w:p w14:paraId="2875DAD4" w14:textId="06DCE401"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F36A43">
        <w:rPr>
          <w:rFonts w:ascii="Times New Roman" w:hAnsi="Times New Roman" w:cs="Times New Roman"/>
          <w:b/>
          <w:bCs/>
          <w:sz w:val="28"/>
          <w:szCs w:val="28"/>
          <w:lang w:val="en-US"/>
        </w:rPr>
        <w:t>Asset turnover ratio</w:t>
      </w:r>
      <w:r w:rsidRPr="00F36A43">
        <w:rPr>
          <w:rFonts w:ascii="Times New Roman" w:hAnsi="Times New Roman" w:cs="Times New Roman"/>
          <w:sz w:val="28"/>
          <w:szCs w:val="28"/>
          <w:lang w:val="en-US"/>
        </w:rPr>
        <w:t xml:space="preserve"> – It is used to determine the efficiency with which a company is able to maximize its sales or revenue using its assets.</w:t>
      </w:r>
    </w:p>
    <w:p w14:paraId="7A65ABE8" w14:textId="37601E68" w:rsidR="00A3416C"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 xml:space="preserve">Asset turnover ratio = Total sales / Average Assets </w:t>
      </w:r>
    </w:p>
    <w:p w14:paraId="7D7B44FC" w14:textId="2A314798" w:rsidR="00F36A43" w:rsidRDefault="00F36A43" w:rsidP="00F36A43">
      <w:pPr>
        <w:rPr>
          <w:rFonts w:ascii="Times New Roman" w:hAnsi="Times New Roman" w:cs="Times New Roman"/>
          <w:b/>
          <w:bCs/>
          <w:sz w:val="28"/>
          <w:szCs w:val="28"/>
          <w:lang w:val="en-US"/>
        </w:rPr>
      </w:pPr>
      <w:r w:rsidRPr="00F36A43">
        <w:rPr>
          <w:noProof/>
          <w:lang w:eastAsia="bg-BG"/>
        </w:rPr>
        <w:drawing>
          <wp:inline distT="0" distB="0" distL="0" distR="0" wp14:anchorId="5DDC73EA" wp14:editId="73B5198A">
            <wp:extent cx="5734050" cy="1873250"/>
            <wp:effectExtent l="0" t="0" r="0" b="0"/>
            <wp:docPr id="104" name="Картина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1873250"/>
                    </a:xfrm>
                    <a:prstGeom prst="rect">
                      <a:avLst/>
                    </a:prstGeom>
                    <a:noFill/>
                    <a:ln>
                      <a:noFill/>
                    </a:ln>
                  </pic:spPr>
                </pic:pic>
              </a:graphicData>
            </a:graphic>
          </wp:inline>
        </w:drawing>
      </w:r>
    </w:p>
    <w:p w14:paraId="3F94598D" w14:textId="722A754D" w:rsid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lastRenderedPageBreak/>
        <w:t xml:space="preserve">Higher the ratio, more efficient the company is. Asset turnover ratio of Chocco Plc for 2019 is 0.643 while, ratio of 2018 couldn’t be ascertained because opening value of assets for 2018 was not provided. Therefore, comparative analysis for the ratio of 2 years couldn’t be determined. </w:t>
      </w:r>
    </w:p>
    <w:p w14:paraId="21C50BA6" w14:textId="77777777" w:rsidR="00F36A43" w:rsidRPr="00F36A43"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Coverage Ratios</w:t>
      </w:r>
    </w:p>
    <w:p w14:paraId="1F5CB2A1" w14:textId="77777777"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These ratios determine a company’s abilities to cover its debt expenses and other financial obligations such as interest and dividend payments (Howard, 2019). It includes ratios such as interest coverage ratio, debt service coverage ratio, asset coverage ratio, etc.</w:t>
      </w:r>
    </w:p>
    <w:p w14:paraId="423D7D5D" w14:textId="1F8FCB67"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F36A43">
        <w:rPr>
          <w:rFonts w:ascii="Times New Roman" w:hAnsi="Times New Roman" w:cs="Times New Roman"/>
          <w:b/>
          <w:bCs/>
          <w:sz w:val="28"/>
          <w:szCs w:val="28"/>
          <w:lang w:val="en-US"/>
        </w:rPr>
        <w:t>Interest coverage ratio –</w:t>
      </w:r>
      <w:r w:rsidRPr="00F36A43">
        <w:rPr>
          <w:rFonts w:ascii="Times New Roman" w:hAnsi="Times New Roman" w:cs="Times New Roman"/>
          <w:sz w:val="28"/>
          <w:szCs w:val="28"/>
          <w:lang w:val="en-US"/>
        </w:rPr>
        <w:t xml:space="preserve"> It is used to assess a company’s ability to pay interest expenses on its external liabilities.</w:t>
      </w:r>
    </w:p>
    <w:p w14:paraId="7D3F525F" w14:textId="62A35EAB" w:rsidR="00F36A43"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 xml:space="preserve">Interest coverage ratio = EBIT / Interest Expense </w:t>
      </w:r>
    </w:p>
    <w:p w14:paraId="0D98DECB" w14:textId="49DC60CC" w:rsidR="00F36A43" w:rsidRDefault="00F36A43" w:rsidP="00F36A43">
      <w:pPr>
        <w:rPr>
          <w:rFonts w:ascii="Times New Roman" w:hAnsi="Times New Roman" w:cs="Times New Roman"/>
          <w:b/>
          <w:bCs/>
          <w:sz w:val="28"/>
          <w:szCs w:val="28"/>
          <w:lang w:val="en-US"/>
        </w:rPr>
      </w:pPr>
      <w:r w:rsidRPr="00F36A43">
        <w:rPr>
          <w:noProof/>
          <w:lang w:eastAsia="bg-BG"/>
        </w:rPr>
        <w:drawing>
          <wp:inline distT="0" distB="0" distL="0" distR="0" wp14:anchorId="41F18AE4" wp14:editId="39679122">
            <wp:extent cx="5734050" cy="1873250"/>
            <wp:effectExtent l="0" t="0" r="0" b="0"/>
            <wp:docPr id="197" name="Картина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1873250"/>
                    </a:xfrm>
                    <a:prstGeom prst="rect">
                      <a:avLst/>
                    </a:prstGeom>
                    <a:noFill/>
                    <a:ln>
                      <a:noFill/>
                    </a:ln>
                  </pic:spPr>
                </pic:pic>
              </a:graphicData>
            </a:graphic>
          </wp:inline>
        </w:drawing>
      </w:r>
      <w:r w:rsidRPr="00F36A43">
        <w:rPr>
          <w:rFonts w:ascii="Times New Roman" w:hAnsi="Times New Roman" w:cs="Times New Roman"/>
          <w:sz w:val="28"/>
          <w:szCs w:val="28"/>
          <w:lang w:val="en-US"/>
        </w:rPr>
        <w:t xml:space="preserve">Higher the ratio, better it is. Interest coverage ratio of Chocco Plc is satisfactory and shows that company’s profits are enough to cover its interest expense and there are no doubts over company’s performance. Although, this need to be noticed that ratio has decreased in comparison to last year. </w:t>
      </w:r>
    </w:p>
    <w:p w14:paraId="58156F81" w14:textId="77777777" w:rsidR="00F36A43" w:rsidRPr="00F36A43"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Market Prospect Ratios</w:t>
      </w:r>
    </w:p>
    <w:p w14:paraId="267A547E" w14:textId="6BF7D07C" w:rsid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These ratios are used by primarily by investors to predict earnings of the company and its future performance, before taking investment decision (Vogel, 2020). It includes ratios like dividend yield, P/E Ratio, earnings per share, dividend pay-out ratio, etc.</w:t>
      </w:r>
      <w:r>
        <w:rPr>
          <w:rFonts w:ascii="Times New Roman" w:hAnsi="Times New Roman" w:cs="Times New Roman"/>
          <w:sz w:val="28"/>
          <w:szCs w:val="28"/>
          <w:lang w:val="en-US"/>
        </w:rPr>
        <w:t xml:space="preserve"> </w:t>
      </w:r>
    </w:p>
    <w:p w14:paraId="42FDDDE5" w14:textId="77777777" w:rsidR="00C45F3D" w:rsidRDefault="00C45F3D" w:rsidP="00F36A43">
      <w:pPr>
        <w:rPr>
          <w:rFonts w:ascii="Times New Roman" w:hAnsi="Times New Roman" w:cs="Times New Roman"/>
          <w:sz w:val="28"/>
          <w:szCs w:val="28"/>
          <w:lang w:val="en-US"/>
        </w:rPr>
      </w:pPr>
    </w:p>
    <w:p w14:paraId="65E2B37F" w14:textId="77777777" w:rsidR="00C45F3D" w:rsidRDefault="00C45F3D" w:rsidP="00F36A43">
      <w:pPr>
        <w:rPr>
          <w:rFonts w:ascii="Times New Roman" w:hAnsi="Times New Roman" w:cs="Times New Roman"/>
          <w:sz w:val="28"/>
          <w:szCs w:val="28"/>
          <w:lang w:val="en-US"/>
        </w:rPr>
      </w:pPr>
    </w:p>
    <w:p w14:paraId="1E12D0CF" w14:textId="77777777" w:rsidR="00C45F3D" w:rsidRDefault="00C45F3D" w:rsidP="00F36A43">
      <w:pPr>
        <w:rPr>
          <w:rFonts w:ascii="Times New Roman" w:hAnsi="Times New Roman" w:cs="Times New Roman"/>
          <w:sz w:val="28"/>
          <w:szCs w:val="28"/>
          <w:lang w:val="en-US"/>
        </w:rPr>
      </w:pPr>
    </w:p>
    <w:p w14:paraId="2B87DA2A" w14:textId="77777777" w:rsidR="00C45F3D" w:rsidRDefault="00C45F3D" w:rsidP="00F36A43">
      <w:pPr>
        <w:rPr>
          <w:rFonts w:ascii="Times New Roman" w:hAnsi="Times New Roman" w:cs="Times New Roman"/>
          <w:sz w:val="28"/>
          <w:szCs w:val="28"/>
          <w:lang w:val="en-US"/>
        </w:rPr>
      </w:pPr>
    </w:p>
    <w:p w14:paraId="42205352" w14:textId="4185C09A"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lastRenderedPageBreak/>
        <w:t>•</w:t>
      </w:r>
      <w:r w:rsidR="006E25C9">
        <w:rPr>
          <w:rFonts w:ascii="Times New Roman" w:hAnsi="Times New Roman" w:cs="Times New Roman"/>
          <w:sz w:val="28"/>
          <w:szCs w:val="28"/>
          <w:lang w:val="en-US"/>
        </w:rPr>
        <w:t xml:space="preserve"> </w:t>
      </w:r>
      <w:r w:rsidRPr="00F36A43">
        <w:rPr>
          <w:rFonts w:ascii="Times New Roman" w:hAnsi="Times New Roman" w:cs="Times New Roman"/>
          <w:b/>
          <w:bCs/>
          <w:sz w:val="28"/>
          <w:szCs w:val="28"/>
          <w:lang w:val="en-US"/>
        </w:rPr>
        <w:t>Dividend yield –</w:t>
      </w:r>
      <w:r w:rsidRPr="00F36A43">
        <w:rPr>
          <w:rFonts w:ascii="Times New Roman" w:hAnsi="Times New Roman" w:cs="Times New Roman"/>
          <w:sz w:val="28"/>
          <w:szCs w:val="28"/>
          <w:lang w:val="en-US"/>
        </w:rPr>
        <w:t xml:space="preserve"> It is used to analyse how much a company is paying out on its dividends every year in relation with its share price.</w:t>
      </w:r>
    </w:p>
    <w:p w14:paraId="1D0617FD" w14:textId="017ABC92" w:rsidR="00F36A43" w:rsidRDefault="00F36A43" w:rsidP="00F36A43">
      <w:pPr>
        <w:rPr>
          <w:rFonts w:ascii="Times New Roman" w:hAnsi="Times New Roman" w:cs="Times New Roman"/>
          <w:b/>
          <w:bCs/>
          <w:sz w:val="28"/>
          <w:szCs w:val="28"/>
          <w:lang w:val="en-US"/>
        </w:rPr>
      </w:pPr>
      <w:r w:rsidRPr="00F36A43">
        <w:rPr>
          <w:rFonts w:ascii="Times New Roman" w:hAnsi="Times New Roman" w:cs="Times New Roman"/>
          <w:b/>
          <w:bCs/>
          <w:sz w:val="28"/>
          <w:szCs w:val="28"/>
          <w:lang w:val="en-US"/>
        </w:rPr>
        <w:t xml:space="preserve">Dividend yield = Annual dividends per share / price per share </w:t>
      </w:r>
    </w:p>
    <w:p w14:paraId="5CA0E10A" w14:textId="77777777" w:rsidR="00F36A43" w:rsidRPr="00F36A43" w:rsidRDefault="00F36A43" w:rsidP="00F36A43">
      <w:pPr>
        <w:rPr>
          <w:rFonts w:ascii="Times New Roman" w:hAnsi="Times New Roman" w:cs="Times New Roman"/>
          <w:b/>
          <w:bCs/>
          <w:sz w:val="28"/>
          <w:szCs w:val="28"/>
          <w:lang w:val="en-US"/>
        </w:rPr>
      </w:pPr>
    </w:p>
    <w:p w14:paraId="5AB89300" w14:textId="43FEFE81" w:rsidR="00F36A43" w:rsidRDefault="00F36A43" w:rsidP="00F36A43">
      <w:pPr>
        <w:rPr>
          <w:rFonts w:ascii="Times New Roman" w:hAnsi="Times New Roman" w:cs="Times New Roman"/>
          <w:sz w:val="28"/>
          <w:szCs w:val="28"/>
          <w:lang w:val="en-US"/>
        </w:rPr>
      </w:pPr>
      <w:r w:rsidRPr="00F36A43">
        <w:rPr>
          <w:noProof/>
          <w:lang w:eastAsia="bg-BG"/>
        </w:rPr>
        <w:drawing>
          <wp:inline distT="0" distB="0" distL="0" distR="0" wp14:anchorId="3BF10C18" wp14:editId="2A14F002">
            <wp:extent cx="5734050" cy="1346200"/>
            <wp:effectExtent l="0" t="0" r="0" b="0"/>
            <wp:docPr id="199" name="Картина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1346200"/>
                    </a:xfrm>
                    <a:prstGeom prst="rect">
                      <a:avLst/>
                    </a:prstGeom>
                    <a:noFill/>
                    <a:ln>
                      <a:noFill/>
                    </a:ln>
                  </pic:spPr>
                </pic:pic>
              </a:graphicData>
            </a:graphic>
          </wp:inline>
        </w:drawing>
      </w:r>
      <w:r w:rsidRPr="00F36A43">
        <w:rPr>
          <w:rFonts w:ascii="Times New Roman" w:hAnsi="Times New Roman" w:cs="Times New Roman"/>
          <w:sz w:val="28"/>
          <w:szCs w:val="28"/>
          <w:lang w:val="en-US"/>
        </w:rPr>
        <w:t>It is to be noticed that company has paid out dividend in both the years which means Chocco Plc is regular in paying out dividends but it cannot be ignored by the investors that dividend yield of company is not positive when two years are compared as company has not increased its dividend pay-out rate in accordance with the increase in share prices.</w:t>
      </w:r>
      <w:r>
        <w:rPr>
          <w:rFonts w:ascii="Times New Roman" w:hAnsi="Times New Roman" w:cs="Times New Roman"/>
          <w:sz w:val="28"/>
          <w:szCs w:val="28"/>
          <w:lang w:val="en-US"/>
        </w:rPr>
        <w:t xml:space="preserve"> </w:t>
      </w:r>
    </w:p>
    <w:p w14:paraId="123A9557" w14:textId="77777777"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b/>
          <w:bCs/>
          <w:sz w:val="32"/>
          <w:szCs w:val="32"/>
          <w:u w:val="single"/>
          <w:lang w:val="en-US"/>
        </w:rPr>
        <w:t>B</w:t>
      </w:r>
      <w:r w:rsidRPr="00F36A43">
        <w:rPr>
          <w:rFonts w:ascii="Times New Roman" w:hAnsi="Times New Roman" w:cs="Times New Roman"/>
          <w:sz w:val="28"/>
          <w:szCs w:val="28"/>
          <w:u w:val="single"/>
          <w:lang w:val="en-US"/>
        </w:rPr>
        <w:t>.</w:t>
      </w:r>
      <w:r w:rsidRPr="00F36A43">
        <w:rPr>
          <w:rFonts w:ascii="Times New Roman" w:hAnsi="Times New Roman" w:cs="Times New Roman"/>
          <w:sz w:val="28"/>
          <w:szCs w:val="28"/>
          <w:lang w:val="en-US"/>
        </w:rPr>
        <w:t xml:space="preserve"> </w:t>
      </w:r>
      <w:r w:rsidRPr="00F36A43">
        <w:rPr>
          <w:rFonts w:ascii="Times New Roman" w:hAnsi="Times New Roman" w:cs="Times New Roman"/>
          <w:b/>
          <w:bCs/>
          <w:sz w:val="28"/>
          <w:szCs w:val="28"/>
          <w:lang w:val="en-US"/>
        </w:rPr>
        <w:t>Comment on financial performance and position of Chocco Plc.</w:t>
      </w:r>
    </w:p>
    <w:p w14:paraId="6C7FDD08" w14:textId="77777777" w:rsidR="00F36A43" w:rsidRPr="00F36A43" w:rsidRDefault="00F36A43" w:rsidP="00F36A43">
      <w:pPr>
        <w:rPr>
          <w:rFonts w:ascii="Times New Roman" w:hAnsi="Times New Roman" w:cs="Times New Roman"/>
          <w:sz w:val="28"/>
          <w:szCs w:val="28"/>
          <w:lang w:val="en-US"/>
        </w:rPr>
      </w:pPr>
      <w:r w:rsidRPr="00F36A43">
        <w:rPr>
          <w:rFonts w:ascii="Times New Roman" w:hAnsi="Times New Roman" w:cs="Times New Roman"/>
          <w:sz w:val="28"/>
          <w:szCs w:val="28"/>
          <w:lang w:val="en-US"/>
        </w:rPr>
        <w:tab/>
        <w:t>Analysis of financial statements and ratio analysis are most effective tools to evaluate financial health of a company (Warren and Farmer, 2020). Ratios are determined from financial statements only to facilitate comparison by both internal and external stakeholders.</w:t>
      </w:r>
    </w:p>
    <w:p w14:paraId="28766CFD" w14:textId="10175B19" w:rsidR="00F36A43" w:rsidRDefault="00C45F3D" w:rsidP="00F36A43">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F36A43" w:rsidRPr="00F36A43">
        <w:rPr>
          <w:rFonts w:ascii="Times New Roman" w:hAnsi="Times New Roman" w:cs="Times New Roman"/>
          <w:sz w:val="28"/>
          <w:szCs w:val="28"/>
          <w:lang w:val="en-US"/>
        </w:rPr>
        <w:t>From the financial statements, it can be determined that revenue of the company has increased from 2018 to 2019 and so are expenses accordingly but assets of the company has reduced. Although, comparatively current liabilities have also shown a negative trend but not non-current liabilities. From the ratio analysis seen above, it can be noticed that company does not have satisfactory liquidity ratios, debt to equity ratio, return on asset ratio, etc. while its debt to asset ratio or interest coverage ratio are more or less satisfactory. But, overall performance of the company is not satisfactory and it is highly advisable to investors to take precautions with their investment with the company and shall think carefully before investing in it, because all these analyses may be just a result of up and down that happens while operating in a dynamic business environment. Financial ratios of Chocco Plc are also needed to be compared with its industry benchmark and competitors to know more about its market value, which is useful to determine a company's worth for investors.</w:t>
      </w:r>
    </w:p>
    <w:p w14:paraId="6B0E9A95" w14:textId="2A4D316E" w:rsidR="00C45F3D" w:rsidRDefault="00C45F3D">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6E6E00A1" w14:textId="78C27359" w:rsidR="00C45F3D" w:rsidRPr="006E25C9" w:rsidRDefault="00C45F3D" w:rsidP="00F36A43">
      <w:pPr>
        <w:rPr>
          <w:rFonts w:ascii="Times New Roman" w:hAnsi="Times New Roman" w:cs="Times New Roman"/>
          <w:b/>
          <w:bCs/>
          <w:sz w:val="36"/>
          <w:szCs w:val="36"/>
          <w:lang w:val="en-US"/>
        </w:rPr>
      </w:pPr>
      <w:r w:rsidRPr="006E25C9">
        <w:rPr>
          <w:rFonts w:ascii="Times New Roman" w:hAnsi="Times New Roman" w:cs="Times New Roman"/>
          <w:b/>
          <w:bCs/>
          <w:sz w:val="36"/>
          <w:szCs w:val="36"/>
          <w:lang w:val="en-US"/>
        </w:rPr>
        <w:lastRenderedPageBreak/>
        <w:t>References:</w:t>
      </w:r>
    </w:p>
    <w:p w14:paraId="47561442" w14:textId="77777777" w:rsidR="00C45F3D" w:rsidRPr="006E25C9" w:rsidRDefault="00C45F3D" w:rsidP="00C45F3D">
      <w:pPr>
        <w:rPr>
          <w:rFonts w:ascii="Times New Roman" w:hAnsi="Times New Roman" w:cs="Times New Roman"/>
          <w:sz w:val="28"/>
          <w:szCs w:val="28"/>
          <w:u w:val="single"/>
          <w:lang w:val="en-US"/>
        </w:rPr>
      </w:pPr>
      <w:r w:rsidRPr="006E25C9">
        <w:rPr>
          <w:rFonts w:ascii="Times New Roman" w:hAnsi="Times New Roman" w:cs="Times New Roman"/>
          <w:sz w:val="28"/>
          <w:szCs w:val="28"/>
          <w:u w:val="single"/>
          <w:lang w:val="en-US"/>
        </w:rPr>
        <w:t>Books and Journal</w:t>
      </w:r>
    </w:p>
    <w:p w14:paraId="1863A03D" w14:textId="77777777" w:rsid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Brown, R.G. and Johnston, K.S., 2019. Paciolo on accounting. Routledge.</w:t>
      </w:r>
    </w:p>
    <w:p w14:paraId="4D2CF3B1" w14:textId="31DD787A"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Samonas, M., 2015. Financial forecasting, analysis, and modelling: a framework for long-term forecasting. John Wiley &amp; Sons.</w:t>
      </w:r>
    </w:p>
    <w:p w14:paraId="508DABA3"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Tsadira-Pocha, Z., 2020. Fair value accounting hierarchy, value relevance, quality of financial statements and procyclical leverage: an empirical analysis in context’ (Doctoral dissertation, School of Business Administration).</w:t>
      </w:r>
    </w:p>
    <w:p w14:paraId="65FE59FD"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Brown, M.T. and et.al., 2016. Financial management in the sport industry. Taylor &amp; Francis.</w:t>
      </w:r>
    </w:p>
    <w:p w14:paraId="69CF2D94"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Rachlin, R., 2019. Return on Investment Manual: Tools and Applications for Managing Financial Results: Tools and Applications for Managing Financial Results. Routledge.</w:t>
      </w:r>
    </w:p>
    <w:p w14:paraId="4C146B78"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Ehrhardt, M.C. and Brigham, E.F., 2016. Corporate finance: A focused approach. Cengage learning.</w:t>
      </w:r>
    </w:p>
    <w:p w14:paraId="466BB93A"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Chandra, P., 2017. Investment analysis and portfolio management. McGraw-hill education.</w:t>
      </w:r>
    </w:p>
    <w:p w14:paraId="2DADCFB8"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Howard, D.R., 2019. Financing sport. International Journal of Sport Communication, 12, pp.306-309.</w:t>
      </w:r>
    </w:p>
    <w:p w14:paraId="0006A408" w14:textId="77777777"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Vogel, H.L., 2020. Entertainment industry economics: A guide for financial analysis. Cambridge University Press.</w:t>
      </w:r>
    </w:p>
    <w:p w14:paraId="56D0252D" w14:textId="49711DF0" w:rsidR="00C45F3D" w:rsidRPr="00C45F3D" w:rsidRDefault="00C45F3D" w:rsidP="00C45F3D">
      <w:pPr>
        <w:rPr>
          <w:rFonts w:ascii="Times New Roman" w:hAnsi="Times New Roman" w:cs="Times New Roman"/>
          <w:sz w:val="24"/>
          <w:szCs w:val="24"/>
          <w:lang w:val="en-US"/>
        </w:rPr>
      </w:pPr>
      <w:r w:rsidRPr="00C45F3D">
        <w:rPr>
          <w:rFonts w:ascii="Times New Roman" w:hAnsi="Times New Roman" w:cs="Times New Roman"/>
          <w:sz w:val="24"/>
          <w:szCs w:val="24"/>
          <w:lang w:val="en-US"/>
        </w:rPr>
        <w:t xml:space="preserve">Warren, C.S. and Farmer, A., 2020. Survey of accounting. Cengage Learning. </w:t>
      </w:r>
    </w:p>
    <w:p w14:paraId="77C38DC6" w14:textId="77777777" w:rsidR="00A3416C" w:rsidRPr="00A3416C" w:rsidRDefault="00A3416C" w:rsidP="00A3416C">
      <w:pPr>
        <w:rPr>
          <w:rFonts w:ascii="Times New Roman" w:hAnsi="Times New Roman" w:cs="Times New Roman"/>
          <w:sz w:val="28"/>
          <w:szCs w:val="28"/>
          <w:lang w:val="en-US"/>
        </w:rPr>
      </w:pPr>
    </w:p>
    <w:sectPr w:rsidR="00A3416C" w:rsidRPr="00A3416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Segoe UI">
    <w:panose1 w:val="020B0502040204020203"/>
    <w:charset w:val="CC"/>
    <w:family w:val="swiss"/>
    <w:pitch w:val="variable"/>
    <w:sig w:usb0="E10022FF" w:usb1="C000E47F" w:usb2="00000029" w:usb3="00000000" w:csb0="000001D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FC3"/>
    <w:rsid w:val="000A2CC2"/>
    <w:rsid w:val="000A5852"/>
    <w:rsid w:val="001B0FC3"/>
    <w:rsid w:val="002006C0"/>
    <w:rsid w:val="00280C09"/>
    <w:rsid w:val="00641FF2"/>
    <w:rsid w:val="006E25C9"/>
    <w:rsid w:val="00701740"/>
    <w:rsid w:val="00783068"/>
    <w:rsid w:val="00805652"/>
    <w:rsid w:val="00907B6B"/>
    <w:rsid w:val="009F3CA2"/>
    <w:rsid w:val="00A3416C"/>
    <w:rsid w:val="00A96480"/>
    <w:rsid w:val="00C45F3D"/>
    <w:rsid w:val="00CE4872"/>
    <w:rsid w:val="00F36A4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BF9B6"/>
  <w15:chartTrackingRefBased/>
  <w15:docId w15:val="{C4A23035-DA37-4271-A5AB-80568CC16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E4872"/>
    <w:rPr>
      <w:sz w:val="16"/>
      <w:szCs w:val="16"/>
    </w:rPr>
  </w:style>
  <w:style w:type="paragraph" w:styleId="CommentText">
    <w:name w:val="annotation text"/>
    <w:basedOn w:val="Normal"/>
    <w:link w:val="CommentTextChar"/>
    <w:uiPriority w:val="99"/>
    <w:semiHidden/>
    <w:unhideWhenUsed/>
    <w:rsid w:val="00CE4872"/>
    <w:pPr>
      <w:spacing w:line="240" w:lineRule="auto"/>
    </w:pPr>
    <w:rPr>
      <w:sz w:val="20"/>
      <w:szCs w:val="20"/>
    </w:rPr>
  </w:style>
  <w:style w:type="character" w:customStyle="1" w:styleId="CommentTextChar">
    <w:name w:val="Comment Text Char"/>
    <w:basedOn w:val="DefaultParagraphFont"/>
    <w:link w:val="CommentText"/>
    <w:uiPriority w:val="99"/>
    <w:semiHidden/>
    <w:rsid w:val="00CE4872"/>
    <w:rPr>
      <w:sz w:val="20"/>
      <w:szCs w:val="20"/>
    </w:rPr>
  </w:style>
  <w:style w:type="paragraph" w:styleId="CommentSubject">
    <w:name w:val="annotation subject"/>
    <w:basedOn w:val="CommentText"/>
    <w:next w:val="CommentText"/>
    <w:link w:val="CommentSubjectChar"/>
    <w:uiPriority w:val="99"/>
    <w:semiHidden/>
    <w:unhideWhenUsed/>
    <w:rsid w:val="00CE4872"/>
    <w:rPr>
      <w:b/>
      <w:bCs/>
    </w:rPr>
  </w:style>
  <w:style w:type="character" w:customStyle="1" w:styleId="CommentSubjectChar">
    <w:name w:val="Comment Subject Char"/>
    <w:basedOn w:val="CommentTextChar"/>
    <w:link w:val="CommentSubject"/>
    <w:uiPriority w:val="99"/>
    <w:semiHidden/>
    <w:rsid w:val="00CE4872"/>
    <w:rPr>
      <w:b/>
      <w:bCs/>
      <w:sz w:val="20"/>
      <w:szCs w:val="20"/>
    </w:rPr>
  </w:style>
  <w:style w:type="paragraph" w:styleId="BalloonText">
    <w:name w:val="Balloon Text"/>
    <w:basedOn w:val="Normal"/>
    <w:link w:val="BalloonTextChar"/>
    <w:uiPriority w:val="99"/>
    <w:semiHidden/>
    <w:unhideWhenUsed/>
    <w:rsid w:val="00CE48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8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0" Type="http://schemas.openxmlformats.org/officeDocument/2006/relationships/image" Target="media/image7.emf"/><Relationship Id="rId4" Type="http://schemas.openxmlformats.org/officeDocument/2006/relationships/image" Target="media/image1.emf"/><Relationship Id="rId9" Type="http://schemas.openxmlformats.org/officeDocument/2006/relationships/image" Target="media/image6.emf"/></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1826</Words>
  <Characters>10410</Characters>
  <Application>Microsoft Office Word</Application>
  <DocSecurity>0</DocSecurity>
  <Lines>86</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HP</cp:lastModifiedBy>
  <cp:revision>5</cp:revision>
  <dcterms:created xsi:type="dcterms:W3CDTF">2020-11-13T13:33:00Z</dcterms:created>
  <dcterms:modified xsi:type="dcterms:W3CDTF">2020-11-13T15:07:00Z</dcterms:modified>
</cp:coreProperties>
</file>