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footnotes.xml" ContentType="application/vnd.openxmlformats-officedocument.wordprocessingml.footnot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7644A4A2" w:rsidRDefault="7644A4A2" w14:noSpellErr="1" w14:paraId="030DCBDF" w14:textId="1E6BDFEC">
      <w:r w:rsidRPr="7644A4A2" w:rsidR="7644A4A2">
        <w:rPr>
          <w:rStyle w:val="Heading1Char"/>
        </w:rPr>
        <w:t>Abstract</w:t>
      </w:r>
    </w:p>
    <w:p w:rsidR="7644A4A2" w:rsidP="7644A4A2" w:rsidRDefault="7644A4A2" w14:noSpellErr="1" w14:paraId="2FB3EAC1" w14:textId="0AA9D940">
      <w:pPr>
        <w:pStyle w:val="Normal"/>
      </w:pPr>
      <w:r w:rsidRPr="7644A4A2" w:rsidR="7644A4A2">
        <w:rPr/>
        <w:t xml:space="preserve">This is a report into why the destruction of the Second Temple in 70CE proved to be a decisive turning point for the Jewish community. In this report, I will be outlining all significant changes such as the growing importance of the </w:t>
      </w:r>
      <w:r w:rsidRPr="7644A4A2" w:rsidR="7644A4A2">
        <w:rPr>
          <w:i w:val="1"/>
          <w:iCs w:val="1"/>
        </w:rPr>
        <w:t xml:space="preserve">Synagogue. </w:t>
      </w:r>
    </w:p>
    <w:p w:rsidR="62D07424" w:rsidP="62D07424" w:rsidRDefault="62D07424" w14:noSpellErr="1" w14:paraId="6138E465" w14:textId="3A1E4FE6">
      <w:pPr>
        <w:pStyle w:val="Normal"/>
      </w:pPr>
      <w:r w:rsidRPr="62D07424" w:rsidR="62D07424">
        <w:rPr>
          <w:rStyle w:val="Heading1Char"/>
        </w:rPr>
        <w:t>Introduction</w:t>
      </w:r>
    </w:p>
    <w:p w:rsidR="62D07424" w:rsidP="62D07424" w:rsidRDefault="62D07424" w14:paraId="2583A4B9" w14:noSpellErr="1" w14:textId="549D5BFB">
      <w:pPr>
        <w:pStyle w:val="Normal"/>
        <w:jc w:val="both"/>
      </w:pPr>
      <w:r w:rsidR="56BBFE65">
        <w:rPr/>
        <w:t xml:space="preserve">In this report, I am going to argue why the destruction of the Second Temple in 70CE proved to be a decisive turning point for Judaism as significant changes were made. I am going to focus on three main sections, the creation of Oral Law, the rise and significance of the synagogue; And celebrations created after the destruction of the Second Temple. In the years after the destruction, the Synagogue was significant to the Jewish people and was the main place to worship God. Secondly, the introduction of Oral Law changed Judaism as it left the 613 mitzvot open to interpretation. From the destruction of the Second Temple, new Jewish celebration started to </w:t>
      </w:r>
      <w:r w:rsidR="56BBFE65">
        <w:rPr/>
        <w:t>emerge</w:t>
      </w:r>
      <w:r w:rsidR="56BBFE65">
        <w:rPr/>
        <w:t>,</w:t>
      </w:r>
      <w:r w:rsidR="56BBFE65">
        <w:rPr/>
        <w:t xml:space="preserve"> and the religion</w:t>
      </w:r>
      <w:r w:rsidR="56BBFE65">
        <w:rPr/>
        <w:t xml:space="preserve"> became more family oriented.</w:t>
      </w:r>
    </w:p>
    <w:p w:rsidR="62D07424" w:rsidP="62D07424" w:rsidRDefault="62D07424" w14:noSpellErr="1" w14:paraId="17F2B0BD" w14:textId="4FA2FBFF">
      <w:pPr>
        <w:pStyle w:val="Normal"/>
      </w:pPr>
      <w:r w:rsidRPr="62D07424" w:rsidR="62D07424">
        <w:rPr>
          <w:rStyle w:val="Heading1Char"/>
        </w:rPr>
        <w:t>Main Body</w:t>
      </w:r>
    </w:p>
    <w:p w:rsidR="62D07424" w:rsidP="62D07424" w:rsidRDefault="62D07424" w14:noSpellErr="1" w14:paraId="2E57907F" w14:textId="0B65B0C6">
      <w:pPr>
        <w:pStyle w:val="Normal"/>
        <w:bidi w:val="0"/>
        <w:spacing w:before="0" w:beforeAutospacing="off" w:after="160" w:afterAutospacing="off" w:line="259" w:lineRule="auto"/>
        <w:ind w:left="360" w:right="0"/>
        <w:jc w:val="left"/>
      </w:pPr>
      <w:r w:rsidRPr="62D07424" w:rsidR="62D07424">
        <w:rPr>
          <w:b w:val="1"/>
          <w:bCs w:val="1"/>
        </w:rPr>
        <w:t>The Creation of Oral Law</w:t>
      </w:r>
    </w:p>
    <w:p w:rsidR="62D07424" w:rsidP="62D07424" w:rsidRDefault="62D07424" w14:noSpellErr="1" w14:paraId="46C3E924" w14:textId="5E3C1637">
      <w:pPr>
        <w:pStyle w:val="ListParagraph"/>
        <w:numPr>
          <w:ilvl w:val="0"/>
          <w:numId w:val="2"/>
        </w:numPr>
        <w:bidi w:val="0"/>
        <w:spacing w:before="0" w:beforeAutospacing="off" w:after="160" w:afterAutospacing="off" w:line="259" w:lineRule="auto"/>
        <w:ind w:right="0"/>
        <w:jc w:val="left"/>
        <w:rPr>
          <w:sz w:val="22"/>
          <w:szCs w:val="22"/>
        </w:rPr>
      </w:pPr>
      <w:r w:rsidR="56BBFE65">
        <w:rPr>
          <w:b w:val="0"/>
          <w:bCs w:val="0"/>
        </w:rPr>
        <w:t>Mishnah</w:t>
      </w:r>
    </w:p>
    <w:p w:rsidR="56BBFE65" w:rsidP="56BBFE65" w:rsidRDefault="56BBFE65" w14:paraId="44BF9D8A" w14:textId="414260E8">
      <w:pPr>
        <w:pStyle w:val="Normal"/>
        <w:bidi w:val="0"/>
        <w:spacing w:before="0" w:beforeAutospacing="off" w:after="160" w:afterAutospacing="off" w:line="259" w:lineRule="auto"/>
        <w:ind w:left="360" w:right="0"/>
        <w:jc w:val="left"/>
        <w:rPr>
          <w:b w:val="0"/>
          <w:bCs w:val="0"/>
        </w:rPr>
      </w:pPr>
      <w:r w:rsidR="56BBFE65">
        <w:rPr>
          <w:b w:val="0"/>
          <w:bCs w:val="0"/>
        </w:rPr>
        <w:t xml:space="preserve">The Mishnah was written down by the Pharisees and is known as the ‘Book of Laws’. It includes every law and regulation to do with celebrations such as </w:t>
      </w:r>
      <w:r w:rsidR="56BBFE65">
        <w:rPr>
          <w:b w:val="0"/>
          <w:bCs w:val="0"/>
        </w:rPr>
        <w:t>the</w:t>
      </w:r>
      <w:r w:rsidR="56BBFE65">
        <w:rPr>
          <w:b w:val="0"/>
          <w:bCs w:val="0"/>
        </w:rPr>
        <w:t xml:space="preserve"> Sabbath or </w:t>
      </w:r>
      <w:r w:rsidRPr="56BBFE65" w:rsidR="56BBFE65">
        <w:rPr>
          <w:b w:val="0"/>
          <w:bCs w:val="0"/>
          <w:i w:val="1"/>
          <w:iCs w:val="1"/>
        </w:rPr>
        <w:t>Shabbat</w:t>
      </w:r>
      <w:r w:rsidRPr="56BBFE65">
        <w:rPr>
          <w:rStyle w:val="FootnoteReference"/>
          <w:b w:val="0"/>
          <w:bCs w:val="0"/>
        </w:rPr>
        <w:footnoteReference w:id="8465"/>
      </w:r>
      <w:r w:rsidR="56BBFE65">
        <w:rPr>
          <w:b w:val="0"/>
          <w:bCs w:val="0"/>
        </w:rPr>
        <w:t>. The creation of the Mishnah is documented by Josephus</w:t>
      </w:r>
      <w:r w:rsidRPr="56BBFE65">
        <w:rPr>
          <w:rStyle w:val="FootnoteReference"/>
          <w:b w:val="0"/>
          <w:bCs w:val="0"/>
        </w:rPr>
        <w:footnoteReference w:id="4014"/>
      </w:r>
      <w:r w:rsidR="56BBFE65">
        <w:rPr>
          <w:b w:val="0"/>
          <w:bCs w:val="0"/>
        </w:rPr>
        <w:t xml:space="preserve"> and it was created as a reaction to the destruction of the Second Temple.  The Mishnah is </w:t>
      </w:r>
      <w:r w:rsidR="56BBFE65">
        <w:rPr>
          <w:b w:val="0"/>
          <w:bCs w:val="0"/>
        </w:rPr>
        <w:t>compiled</w:t>
      </w:r>
      <w:r w:rsidR="56BBFE65">
        <w:rPr>
          <w:b w:val="0"/>
          <w:bCs w:val="0"/>
        </w:rPr>
        <w:t xml:space="preserve"> of</w:t>
      </w:r>
      <w:r w:rsidR="56BBFE65">
        <w:rPr>
          <w:b w:val="0"/>
          <w:bCs w:val="0"/>
        </w:rPr>
        <w:t xml:space="preserve"> six </w:t>
      </w:r>
      <w:r w:rsidR="56BBFE65">
        <w:rPr>
          <w:b w:val="0"/>
          <w:bCs w:val="0"/>
        </w:rPr>
        <w:t>categories</w:t>
      </w:r>
      <w:r w:rsidR="56BBFE65">
        <w:rPr>
          <w:b w:val="0"/>
          <w:bCs w:val="0"/>
        </w:rPr>
        <w:t xml:space="preserve">, all detailing what is done in certain situations and how to take care things.  Th are the six </w:t>
      </w:r>
      <w:r w:rsidR="56BBFE65">
        <w:rPr>
          <w:b w:val="0"/>
          <w:bCs w:val="0"/>
        </w:rPr>
        <w:t>categories</w:t>
      </w:r>
      <w:r w:rsidR="56BBFE65">
        <w:rPr>
          <w:b w:val="0"/>
          <w:bCs w:val="0"/>
        </w:rPr>
        <w:t xml:space="preserve"> of the </w:t>
      </w:r>
      <w:proofErr w:type="spellStart"/>
      <w:r w:rsidRPr="56BBFE65" w:rsidR="56BBFE65">
        <w:rPr>
          <w:b w:val="0"/>
          <w:bCs w:val="0"/>
          <w:i w:val="1"/>
          <w:iCs w:val="1"/>
        </w:rPr>
        <w:t>MIshnah</w:t>
      </w:r>
      <w:proofErr w:type="spellEnd"/>
      <w:r w:rsidRPr="56BBFE65" w:rsidR="56BBFE65">
        <w:rPr>
          <w:b w:val="0"/>
          <w:bCs w:val="0"/>
          <w:i w:val="1"/>
          <w:iCs w:val="1"/>
        </w:rPr>
        <w:t>.</w:t>
      </w:r>
      <w:r w:rsidRPr="56BBFE65">
        <w:rPr>
          <w:rStyle w:val="FootnoteReference"/>
          <w:b w:val="0"/>
          <w:bCs w:val="0"/>
        </w:rPr>
        <w:footnoteReference w:id="4043"/>
      </w:r>
      <w:r w:rsidRPr="56BBFE65" w:rsidR="56BBFE65">
        <w:rPr>
          <w:b w:val="0"/>
          <w:bCs w:val="0"/>
          <w:i w:val="1"/>
          <w:iCs w:val="1"/>
        </w:rPr>
        <w:t xml:space="preserve"> </w:t>
      </w:r>
      <w:r w:rsidRPr="56BBFE65" w:rsidR="56BBFE65">
        <w:rPr>
          <w:b w:val="0"/>
          <w:bCs w:val="0"/>
          <w:i w:val="0"/>
          <w:iCs w:val="0"/>
        </w:rPr>
        <w:t xml:space="preserve">Before the </w:t>
      </w:r>
      <w:r w:rsidRPr="56BBFE65" w:rsidR="56BBFE65">
        <w:rPr>
          <w:b w:val="0"/>
          <w:bCs w:val="0"/>
          <w:i w:val="1"/>
          <w:iCs w:val="1"/>
        </w:rPr>
        <w:t xml:space="preserve">Mishnah </w:t>
      </w:r>
      <w:r w:rsidRPr="56BBFE65" w:rsidR="56BBFE65">
        <w:rPr>
          <w:b w:val="0"/>
          <w:bCs w:val="0"/>
          <w:i w:val="0"/>
          <w:iCs w:val="0"/>
        </w:rPr>
        <w:t>was written, the Temple was a place to learn the laws in Judaism. This proves the destruction of the second Temple was a turning point for Judaism.</w:t>
      </w:r>
    </w:p>
    <w:p w:rsidR="62D07424" w:rsidP="62D07424" w:rsidRDefault="62D07424" w14:noSpellErr="1" w14:paraId="1CF50FA4" w14:textId="18C0DF13">
      <w:pPr>
        <w:pStyle w:val="ListParagraph"/>
        <w:numPr>
          <w:ilvl w:val="0"/>
          <w:numId w:val="2"/>
        </w:numPr>
        <w:bidi w:val="0"/>
        <w:spacing w:before="0" w:beforeAutospacing="off" w:after="160" w:afterAutospacing="off" w:line="259" w:lineRule="auto"/>
        <w:ind w:right="0"/>
        <w:jc w:val="left"/>
        <w:rPr>
          <w:sz w:val="22"/>
          <w:szCs w:val="22"/>
        </w:rPr>
      </w:pPr>
      <w:r w:rsidR="56BBFE65">
        <w:rPr>
          <w:b w:val="0"/>
          <w:bCs w:val="0"/>
        </w:rPr>
        <w:t>Talmud</w:t>
      </w:r>
    </w:p>
    <w:p w:rsidR="56BBFE65" w:rsidP="56BBFE65" w:rsidRDefault="56BBFE65" w14:paraId="3AC0AE65" w14:textId="2CC81FD0">
      <w:pPr>
        <w:pStyle w:val="Normal"/>
        <w:bidi w:val="0"/>
        <w:spacing w:before="0" w:beforeAutospacing="off" w:after="160" w:afterAutospacing="off" w:line="259" w:lineRule="auto"/>
        <w:ind w:left="360" w:right="0"/>
        <w:jc w:val="left"/>
        <w:rPr>
          <w:b w:val="0"/>
          <w:bCs w:val="0"/>
        </w:rPr>
      </w:pPr>
      <w:r w:rsidR="7644A4A2">
        <w:rPr>
          <w:b w:val="0"/>
          <w:bCs w:val="0"/>
        </w:rPr>
        <w:t xml:space="preserve">The Talmud is piece of Rabbinical text and law in Judaism. </w:t>
      </w:r>
      <w:r w:rsidR="7644A4A2">
        <w:rPr>
          <w:b w:val="0"/>
          <w:bCs w:val="0"/>
        </w:rPr>
        <w:t>It</w:t>
      </w:r>
      <w:r w:rsidR="7644A4A2">
        <w:rPr>
          <w:b w:val="0"/>
          <w:bCs w:val="0"/>
        </w:rPr>
        <w:t xml:space="preserve"> was recorded after the destruction of </w:t>
      </w:r>
      <w:r w:rsidR="7644A4A2">
        <w:rPr>
          <w:b w:val="0"/>
          <w:bCs w:val="0"/>
        </w:rPr>
        <w:t>the</w:t>
      </w:r>
      <w:r w:rsidR="7644A4A2">
        <w:rPr>
          <w:b w:val="0"/>
          <w:bCs w:val="0"/>
        </w:rPr>
        <w:t xml:space="preserve"> Temple, </w:t>
      </w:r>
      <w:r w:rsidR="7644A4A2">
        <w:rPr>
          <w:b w:val="0"/>
          <w:bCs w:val="0"/>
        </w:rPr>
        <w:t>between 2</w:t>
      </w:r>
      <w:r w:rsidRPr="7644A4A2" w:rsidR="7644A4A2">
        <w:rPr>
          <w:b w:val="0"/>
          <w:bCs w:val="0"/>
          <w:vertAlign w:val="superscript"/>
        </w:rPr>
        <w:t>nd</w:t>
      </w:r>
      <w:r w:rsidR="7644A4A2">
        <w:rPr>
          <w:b w:val="0"/>
          <w:bCs w:val="0"/>
        </w:rPr>
        <w:t xml:space="preserve"> and 5</w:t>
      </w:r>
      <w:r w:rsidRPr="7644A4A2" w:rsidR="7644A4A2">
        <w:rPr>
          <w:b w:val="0"/>
          <w:bCs w:val="0"/>
          <w:vertAlign w:val="superscript"/>
        </w:rPr>
        <w:t>th</w:t>
      </w:r>
      <w:r w:rsidR="7644A4A2">
        <w:rPr>
          <w:b w:val="0"/>
          <w:bCs w:val="0"/>
        </w:rPr>
        <w:t xml:space="preserve"> Century.</w:t>
      </w:r>
      <w:r w:rsidR="7644A4A2">
        <w:rPr>
          <w:b w:val="0"/>
          <w:bCs w:val="0"/>
        </w:rPr>
        <w:t xml:space="preserve"> It includes the </w:t>
      </w:r>
      <w:r w:rsidRPr="7644A4A2" w:rsidR="7644A4A2">
        <w:rPr>
          <w:b w:val="0"/>
          <w:bCs w:val="0"/>
          <w:i w:val="1"/>
          <w:iCs w:val="1"/>
        </w:rPr>
        <w:t xml:space="preserve">Halakah, Mishnah and </w:t>
      </w:r>
      <w:proofErr w:type="spellStart"/>
      <w:r w:rsidRPr="7644A4A2" w:rsidR="7644A4A2">
        <w:rPr>
          <w:b w:val="0"/>
          <w:bCs w:val="0"/>
          <w:i w:val="1"/>
          <w:iCs w:val="1"/>
        </w:rPr>
        <w:t>Gemara</w:t>
      </w:r>
      <w:proofErr w:type="spellEnd"/>
      <w:r w:rsidR="7644A4A2">
        <w:rPr>
          <w:b w:val="0"/>
          <w:bCs w:val="0"/>
        </w:rPr>
        <w:t xml:space="preserve"> </w:t>
      </w:r>
      <w:r w:rsidR="7644A4A2">
        <w:rPr>
          <w:b w:val="0"/>
          <w:bCs w:val="0"/>
        </w:rPr>
        <w:t xml:space="preserve">(see above for the </w:t>
      </w:r>
      <w:proofErr w:type="spellStart"/>
      <w:r w:rsidR="7644A4A2">
        <w:rPr>
          <w:b w:val="0"/>
          <w:bCs w:val="0"/>
        </w:rPr>
        <w:t>Misnah</w:t>
      </w:r>
      <w:proofErr w:type="spellEnd"/>
      <w:r w:rsidR="7644A4A2">
        <w:rPr>
          <w:b w:val="0"/>
          <w:bCs w:val="0"/>
        </w:rPr>
        <w:t>).</w:t>
      </w:r>
      <w:r w:rsidR="7644A4A2">
        <w:rPr>
          <w:b w:val="0"/>
          <w:bCs w:val="0"/>
        </w:rPr>
        <w:t>The</w:t>
      </w:r>
      <w:r w:rsidR="7644A4A2">
        <w:rPr>
          <w:b w:val="0"/>
          <w:bCs w:val="0"/>
        </w:rPr>
        <w:t xml:space="preserve"> </w:t>
      </w:r>
      <w:r w:rsidRPr="7644A4A2" w:rsidR="7644A4A2">
        <w:rPr>
          <w:b w:val="0"/>
          <w:bCs w:val="0"/>
          <w:i w:val="1"/>
          <w:iCs w:val="1"/>
        </w:rPr>
        <w:t>Halakah</w:t>
      </w:r>
      <w:r w:rsidR="7644A4A2">
        <w:rPr>
          <w:b w:val="0"/>
          <w:bCs w:val="0"/>
        </w:rPr>
        <w:t xml:space="preserve"> is Jewish food laws which deem something kosher</w:t>
      </w:r>
      <w:r w:rsidRPr="7644A4A2">
        <w:rPr>
          <w:rStyle w:val="FootnoteReference"/>
          <w:b w:val="0"/>
          <w:bCs w:val="0"/>
        </w:rPr>
        <w:footnoteReference w:id="10021"/>
      </w:r>
      <w:r w:rsidR="7644A4A2">
        <w:rPr>
          <w:b w:val="0"/>
          <w:bCs w:val="0"/>
        </w:rPr>
        <w:t xml:space="preserve"> </w:t>
      </w:r>
      <w:r w:rsidR="7644A4A2">
        <w:rPr>
          <w:b w:val="0"/>
          <w:bCs w:val="0"/>
        </w:rPr>
        <w:t xml:space="preserve">  </w:t>
      </w:r>
    </w:p>
    <w:p w:rsidR="62D07424" w:rsidP="62D07424" w:rsidRDefault="62D07424" w14:noSpellErr="1" w14:paraId="37D90EC7" w14:textId="224A46CA">
      <w:pPr>
        <w:pStyle w:val="Normal"/>
        <w:ind w:left="360"/>
      </w:pPr>
      <w:r w:rsidRPr="62D07424" w:rsidR="62D07424">
        <w:rPr>
          <w:b w:val="1"/>
          <w:bCs w:val="1"/>
        </w:rPr>
        <w:t>The Rise and Significance of the Synagogue</w:t>
      </w:r>
    </w:p>
    <w:p w:rsidR="62D07424" w:rsidP="56BBFE65" w:rsidRDefault="62D07424" w14:paraId="25A75111" w14:textId="1A58E4F6" w14:noSpellErr="1">
      <w:pPr>
        <w:pStyle w:val="ListParagraph"/>
        <w:numPr>
          <w:ilvl w:val="0"/>
          <w:numId w:val="2"/>
        </w:numPr>
        <w:bidi w:val="0"/>
        <w:spacing w:before="0" w:beforeAutospacing="off" w:after="160" w:afterAutospacing="off" w:line="259" w:lineRule="auto"/>
        <w:ind w:right="0"/>
        <w:jc w:val="left"/>
        <w:rPr>
          <w:sz w:val="22"/>
          <w:szCs w:val="22"/>
        </w:rPr>
      </w:pPr>
      <w:r w:rsidR="56BBFE65">
        <w:rPr>
          <w:b w:val="0"/>
          <w:bCs w:val="0"/>
        </w:rPr>
        <w:t xml:space="preserve">Rabbinical Importance and </w:t>
      </w:r>
      <w:r w:rsidRPr="56BBFE65" w:rsidR="56BBFE65">
        <w:rPr>
          <w:b w:val="0"/>
          <w:bCs w:val="0"/>
          <w:highlight w:val="yellow"/>
        </w:rPr>
        <w:t>Yeshivot (University for Rabbi’s)</w:t>
      </w:r>
    </w:p>
    <w:p w:rsidR="56BBFE65" w:rsidP="34DA933E" w:rsidRDefault="56BBFE65" w14:paraId="0CC2DAA0" w14:textId="475813FA">
      <w:pPr>
        <w:pStyle w:val="Normal"/>
        <w:bidi w:val="0"/>
        <w:spacing w:before="0" w:beforeAutospacing="off" w:after="160" w:afterAutospacing="off" w:line="259" w:lineRule="auto"/>
        <w:ind w:left="360" w:right="0"/>
        <w:jc w:val="both"/>
        <w:rPr>
          <w:b w:val="0"/>
          <w:bCs w:val="0"/>
          <w:i w:val="0"/>
          <w:iCs w:val="0"/>
        </w:rPr>
      </w:pPr>
      <w:r w:rsidR="34DA933E">
        <w:rPr>
          <w:b w:val="0"/>
          <w:bCs w:val="0"/>
        </w:rPr>
        <w:t xml:space="preserve">The Rabbi became a more important necessity after the destruction of the Temple. This is because Judaism moved away from a priestly order and to an accessible person who perform all religious ceremonies. </w:t>
      </w:r>
      <w:r w:rsidRPr="7644A4A2" w:rsidR="34DA933E">
        <w:rPr>
          <w:b w:val="0"/>
          <w:bCs w:val="0"/>
          <w:i w:val="1"/>
          <w:iCs w:val="1"/>
        </w:rPr>
        <w:t>Rabbi’s</w:t>
      </w:r>
      <w:r w:rsidR="34DA933E">
        <w:rPr>
          <w:b w:val="0"/>
          <w:bCs w:val="0"/>
        </w:rPr>
        <w:t xml:space="preserve"> are now important to perform ceremonies such as a </w:t>
      </w:r>
      <w:r w:rsidRPr="7644A4A2" w:rsidR="34DA933E">
        <w:rPr>
          <w:b w:val="0"/>
          <w:bCs w:val="0"/>
          <w:i w:val="1"/>
          <w:iCs w:val="1"/>
        </w:rPr>
        <w:t>Bar Mitzvah/Bat Mitzvah</w:t>
      </w:r>
      <w:r w:rsidRPr="7644A4A2" w:rsidR="34DA933E">
        <w:rPr>
          <w:b w:val="0"/>
          <w:bCs w:val="0"/>
          <w:i w:val="0"/>
          <w:iCs w:val="0"/>
        </w:rPr>
        <w:t>.</w:t>
      </w:r>
      <w:r w:rsidRPr="7644A4A2">
        <w:rPr>
          <w:rStyle w:val="FootnoteReference"/>
          <w:b w:val="0"/>
          <w:bCs w:val="0"/>
          <w:i w:val="0"/>
          <w:iCs w:val="0"/>
        </w:rPr>
        <w:footnoteReference w:id="13530"/>
      </w:r>
      <w:r w:rsidRPr="7644A4A2" w:rsidR="34DA933E">
        <w:rPr>
          <w:b w:val="0"/>
          <w:bCs w:val="0"/>
          <w:i w:val="0"/>
          <w:iCs w:val="0"/>
        </w:rPr>
        <w:t xml:space="preserve"> Since the Second Temple’s </w:t>
      </w:r>
      <w:r w:rsidRPr="7644A4A2" w:rsidR="34DA933E">
        <w:rPr>
          <w:b w:val="0"/>
          <w:bCs w:val="0"/>
          <w:i w:val="0"/>
          <w:iCs w:val="0"/>
        </w:rPr>
        <w:t>destruction</w:t>
      </w:r>
      <w:r w:rsidRPr="7644A4A2" w:rsidR="34DA933E">
        <w:rPr>
          <w:b w:val="0"/>
          <w:bCs w:val="0"/>
          <w:i w:val="0"/>
          <w:iCs w:val="0"/>
        </w:rPr>
        <w:t xml:space="preserve">, the term </w:t>
      </w:r>
      <w:r w:rsidRPr="7644A4A2" w:rsidR="34DA933E">
        <w:rPr>
          <w:b w:val="0"/>
          <w:bCs w:val="0"/>
          <w:i w:val="1"/>
          <w:iCs w:val="1"/>
        </w:rPr>
        <w:t xml:space="preserve">Rabbi </w:t>
      </w:r>
      <w:r w:rsidRPr="7644A4A2" w:rsidR="34DA933E">
        <w:rPr>
          <w:b w:val="0"/>
          <w:bCs w:val="0"/>
          <w:i w:val="0"/>
          <w:iCs w:val="0"/>
        </w:rPr>
        <w:t xml:space="preserve">can used to describe a person of both </w:t>
      </w:r>
      <w:r w:rsidRPr="7644A4A2" w:rsidR="34DA933E">
        <w:rPr>
          <w:b w:val="0"/>
          <w:bCs w:val="0"/>
          <w:i w:val="0"/>
          <w:iCs w:val="0"/>
        </w:rPr>
        <w:t>genders</w:t>
      </w:r>
      <w:r w:rsidRPr="7644A4A2" w:rsidR="34DA933E">
        <w:rPr>
          <w:b w:val="0"/>
          <w:bCs w:val="0"/>
          <w:i w:val="0"/>
          <w:iCs w:val="0"/>
        </w:rPr>
        <w:t>. However, this is only in certain branches of Judaism. Talk about the population of Rabbi’s</w:t>
      </w:r>
    </w:p>
    <w:p w:rsidR="62D07424" w:rsidP="62D07424" w:rsidRDefault="62D07424" w14:noSpellErr="1" w14:paraId="6817B4B8" w14:textId="5106893D">
      <w:pPr>
        <w:pStyle w:val="ListParagraph"/>
        <w:numPr>
          <w:ilvl w:val="0"/>
          <w:numId w:val="2"/>
        </w:numPr>
        <w:bidi w:val="0"/>
        <w:spacing w:before="0" w:beforeAutospacing="off" w:after="160" w:afterAutospacing="off" w:line="259" w:lineRule="auto"/>
        <w:ind w:right="0"/>
        <w:jc w:val="left"/>
        <w:rPr>
          <w:sz w:val="22"/>
          <w:szCs w:val="22"/>
        </w:rPr>
      </w:pPr>
      <w:r w:rsidR="56BBFE65">
        <w:rPr>
          <w:b w:val="0"/>
          <w:bCs w:val="0"/>
        </w:rPr>
        <w:t xml:space="preserve">The </w:t>
      </w:r>
      <w:r w:rsidR="56BBFE65">
        <w:rPr>
          <w:b w:val="0"/>
          <w:bCs w:val="0"/>
        </w:rPr>
        <w:t>role of</w:t>
      </w:r>
      <w:r w:rsidR="56BBFE65">
        <w:rPr>
          <w:b w:val="0"/>
          <w:bCs w:val="0"/>
        </w:rPr>
        <w:t xml:space="preserve"> the Synagogue</w:t>
      </w:r>
    </w:p>
    <w:p w:rsidR="56BBFE65" w:rsidP="7644A4A2" w:rsidRDefault="56BBFE65" w14:paraId="079B2E9B" w14:textId="5E3F9BE6" w14:noSpellErr="1">
      <w:pPr>
        <w:pStyle w:val="Normal"/>
        <w:bidi w:val="0"/>
        <w:spacing w:before="0" w:beforeAutospacing="off" w:after="160" w:afterAutospacing="off" w:line="259" w:lineRule="auto"/>
        <w:ind w:left="360" w:right="0"/>
        <w:jc w:val="left"/>
        <w:rPr>
          <w:b w:val="0"/>
          <w:bCs w:val="0"/>
          <w:i w:val="0"/>
          <w:iCs w:val="0"/>
        </w:rPr>
      </w:pPr>
      <w:r w:rsidRPr="7644A4A2" w:rsidR="4E5EC243">
        <w:rPr>
          <w:b w:val="0"/>
          <w:bCs w:val="0"/>
          <w:i w:val="1"/>
          <w:iCs w:val="1"/>
        </w:rPr>
        <w:t xml:space="preserve">Synagogues </w:t>
      </w:r>
      <w:r w:rsidRPr="7644A4A2" w:rsidR="4E5EC243">
        <w:rPr>
          <w:b w:val="0"/>
          <w:bCs w:val="0"/>
          <w:i w:val="0"/>
          <w:iCs w:val="0"/>
        </w:rPr>
        <w:t xml:space="preserve">were around in the ‘Temple </w:t>
      </w:r>
      <w:r w:rsidRPr="7644A4A2" w:rsidR="4E5EC243">
        <w:rPr>
          <w:b w:val="0"/>
          <w:bCs w:val="0"/>
          <w:i w:val="0"/>
          <w:iCs w:val="0"/>
        </w:rPr>
        <w:t xml:space="preserve">period’, however they weren’t seen as a sacred place like the Temple, just a place of prayer. </w:t>
      </w:r>
      <w:r w:rsidR="4E5EC243">
        <w:rPr>
          <w:b w:val="0"/>
          <w:bCs w:val="0"/>
        </w:rPr>
        <w:t xml:space="preserve">The</w:t>
      </w:r>
      <w:r w:rsidR="4E5EC243">
        <w:rPr>
          <w:b w:val="0"/>
          <w:bCs w:val="0"/>
        </w:rPr>
        <w:t xml:space="preserve"> role of the </w:t>
      </w:r>
      <w:r w:rsidRPr="7644A4A2" w:rsidR="4E5EC243">
        <w:rPr>
          <w:b w:val="0"/>
          <w:bCs w:val="0"/>
          <w:i w:val="1"/>
          <w:iCs w:val="1"/>
        </w:rPr>
        <w:t>Synagogue</w:t>
      </w:r>
      <w:r w:rsidRPr="7644A4A2" w:rsidR="4E5EC243">
        <w:rPr>
          <w:b w:val="0"/>
          <w:bCs w:val="0"/>
          <w:i w:val="0"/>
          <w:iCs w:val="0"/>
        </w:rPr>
        <w:t xml:space="preserve"> is to provide a place of prayer and unity for Jewish people. However, it is argued that the </w:t>
      </w:r>
      <w:r w:rsidRPr="7644A4A2" w:rsidR="4E5EC243">
        <w:rPr>
          <w:b w:val="0"/>
          <w:bCs w:val="0"/>
          <w:i w:val="1"/>
          <w:iCs w:val="1"/>
        </w:rPr>
        <w:t xml:space="preserve">synagogue </w:t>
      </w:r>
      <w:r w:rsidRPr="7644A4A2" w:rsidR="4E5EC243">
        <w:rPr>
          <w:b w:val="0"/>
          <w:bCs w:val="0"/>
          <w:i w:val="0"/>
          <w:iCs w:val="0"/>
        </w:rPr>
        <w:t>is not the most significant place of worship for Judaism and that the wailing wall, the only remaining part of the second temple, is more significant.</w:t>
      </w:r>
      <w:r w:rsidRPr="7644A4A2">
        <w:rPr>
          <w:rStyle w:val="FootnoteReference"/>
          <w:b w:val="0"/>
          <w:bCs w:val="0"/>
          <w:i w:val="0"/>
          <w:iCs w:val="0"/>
        </w:rPr>
        <w:footnoteReference w:id="8305"/>
      </w:r>
    </w:p>
    <w:p w:rsidR="62D07424" w:rsidP="62D07424" w:rsidRDefault="62D07424" w14:noSpellErr="1" w14:paraId="6D850B50" w14:textId="22512C5C">
      <w:pPr>
        <w:pStyle w:val="ListParagraph"/>
        <w:numPr>
          <w:ilvl w:val="0"/>
          <w:numId w:val="2"/>
        </w:numPr>
        <w:bidi w:val="0"/>
        <w:spacing w:before="0" w:beforeAutospacing="off" w:after="160" w:afterAutospacing="off" w:line="259" w:lineRule="auto"/>
        <w:ind w:right="0"/>
        <w:jc w:val="left"/>
        <w:rPr>
          <w:sz w:val="22"/>
          <w:szCs w:val="22"/>
        </w:rPr>
      </w:pPr>
      <w:r w:rsidR="56BBFE65">
        <w:rPr>
          <w:b w:val="0"/>
          <w:bCs w:val="0"/>
        </w:rPr>
        <w:t>The emulation of the Temple</w:t>
      </w:r>
    </w:p>
    <w:p w:rsidR="7644A4A2" w:rsidP="7644A4A2" w:rsidRDefault="7644A4A2" w14:noSpellErr="1" w14:paraId="31E99CCC" w14:textId="26834B57">
      <w:pPr>
        <w:pStyle w:val="Normal"/>
        <w:spacing w:before="0" w:beforeAutospacing="off" w:after="160" w:afterAutospacing="off" w:line="259" w:lineRule="auto"/>
        <w:ind w:left="360" w:right="0"/>
        <w:jc w:val="left"/>
        <w:rPr>
          <w:b w:val="0"/>
          <w:bCs w:val="0"/>
          <w:i w:val="0"/>
          <w:iCs w:val="0"/>
        </w:rPr>
      </w:pPr>
      <w:r w:rsidR="7644A4A2">
        <w:rPr>
          <w:b w:val="0"/>
          <w:bCs w:val="0"/>
        </w:rPr>
        <w:t>In the S</w:t>
      </w:r>
      <w:r w:rsidRPr="7644A4A2" w:rsidR="7644A4A2">
        <w:rPr>
          <w:b w:val="0"/>
          <w:bCs w:val="0"/>
          <w:i w:val="1"/>
          <w:iCs w:val="1"/>
        </w:rPr>
        <w:t xml:space="preserve">ynagogue, </w:t>
      </w:r>
      <w:r w:rsidRPr="7644A4A2" w:rsidR="7644A4A2">
        <w:rPr>
          <w:b w:val="0"/>
          <w:bCs w:val="0"/>
          <w:i w:val="0"/>
          <w:iCs w:val="0"/>
        </w:rPr>
        <w:t xml:space="preserve">there are emulations </w:t>
      </w:r>
      <w:r w:rsidRPr="7644A4A2" w:rsidR="7644A4A2">
        <w:rPr>
          <w:rFonts w:ascii="Calibri" w:hAnsi="Calibri" w:eastAsia="Calibri" w:cs="Calibri"/>
          <w:b w:val="0"/>
          <w:bCs w:val="0"/>
          <w:i w:val="0"/>
          <w:iCs w:val="0"/>
          <w:noProof w:val="0"/>
          <w:color w:val="000000" w:themeColor="text1" w:themeTint="FF" w:themeShade="FF"/>
          <w:sz w:val="21"/>
          <w:szCs w:val="21"/>
          <w:lang w:val="en-GB"/>
        </w:rPr>
        <w:t xml:space="preserve">and references to </w:t>
      </w:r>
      <w:r w:rsidRPr="7644A4A2" w:rsidR="7644A4A2">
        <w:rPr>
          <w:b w:val="0"/>
          <w:bCs w:val="0"/>
          <w:i w:val="0"/>
          <w:iCs w:val="0"/>
        </w:rPr>
        <w:t xml:space="preserve">the two Temples.  ‘The Ark’ of a synagogue, which always is directed to Israel’ references the </w:t>
      </w:r>
      <w:r w:rsidRPr="7644A4A2" w:rsidR="7644A4A2">
        <w:rPr>
          <w:b w:val="0"/>
          <w:bCs w:val="0"/>
          <w:i w:val="1"/>
          <w:iCs w:val="1"/>
        </w:rPr>
        <w:t xml:space="preserve">Ark of the Covenant, </w:t>
      </w:r>
      <w:r w:rsidRPr="7644A4A2" w:rsidR="7644A4A2">
        <w:rPr>
          <w:b w:val="0"/>
          <w:bCs w:val="0"/>
          <w:i w:val="0"/>
          <w:iCs w:val="0"/>
        </w:rPr>
        <w:t xml:space="preserve">which the Temple’s primary purpose was to keep. The </w:t>
      </w:r>
      <w:r w:rsidRPr="7644A4A2" w:rsidR="7644A4A2">
        <w:rPr>
          <w:b w:val="0"/>
          <w:bCs w:val="0"/>
          <w:i w:val="1"/>
          <w:iCs w:val="1"/>
        </w:rPr>
        <w:t xml:space="preserve">everlasting light </w:t>
      </w:r>
      <w:r w:rsidRPr="7644A4A2" w:rsidR="7644A4A2">
        <w:rPr>
          <w:b w:val="0"/>
          <w:bCs w:val="0"/>
          <w:i w:val="0"/>
          <w:iCs w:val="0"/>
        </w:rPr>
        <w:t>refers to the Menorah's which were always lit in the room of the Ark of the Covenant. It also refers to the rededication of the Second Temple (see Hanukkah).</w:t>
      </w:r>
      <w:r w:rsidRPr="7644A4A2" w:rsidR="7644A4A2">
        <w:rPr>
          <w:b w:val="0"/>
          <w:bCs w:val="0"/>
          <w:i w:val="0"/>
          <w:iCs w:val="0"/>
        </w:rPr>
        <w:t xml:space="preserve"> </w:t>
      </w:r>
      <w:r w:rsidRPr="7644A4A2" w:rsidR="7644A4A2">
        <w:rPr>
          <w:rFonts w:ascii="Calibri" w:hAnsi="Calibri" w:eastAsia="Calibri" w:cs="Calibri"/>
          <w:noProof w:val="0"/>
          <w:sz w:val="16"/>
          <w:szCs w:val="16"/>
          <w:lang w:val="en-GB"/>
        </w:rPr>
        <w:t>6</w:t>
      </w:r>
    </w:p>
    <w:p w:rsidR="62D07424" w:rsidP="62D07424" w:rsidRDefault="62D07424" w14:noSpellErr="1" w14:paraId="1C0161BE" w14:textId="01F7DD51">
      <w:pPr>
        <w:pStyle w:val="Normal"/>
        <w:ind w:left="360"/>
      </w:pPr>
      <w:r w:rsidRPr="62D07424" w:rsidR="62D07424">
        <w:rPr>
          <w:b w:val="1"/>
          <w:bCs w:val="1"/>
        </w:rPr>
        <w:t>Celebrations</w:t>
      </w:r>
    </w:p>
    <w:p w:rsidR="62D07424" w:rsidP="62D07424" w:rsidRDefault="62D07424" w14:noSpellErr="1" w14:paraId="7EF652DF" w14:textId="30E9C37D">
      <w:pPr>
        <w:pStyle w:val="ListParagraph"/>
        <w:numPr>
          <w:ilvl w:val="0"/>
          <w:numId w:val="4"/>
        </w:numPr>
        <w:rPr>
          <w:sz w:val="22"/>
          <w:szCs w:val="22"/>
        </w:rPr>
      </w:pPr>
      <w:r w:rsidR="56BBFE65">
        <w:rPr>
          <w:b w:val="0"/>
          <w:bCs w:val="0"/>
        </w:rPr>
        <w:t>Hanukkah</w:t>
      </w:r>
    </w:p>
    <w:p w:rsidR="56BBFE65" w:rsidP="7644A4A2" w:rsidRDefault="56BBFE65" w14:paraId="3A165E75" w14:textId="57533FFA" w14:noSpellErr="1">
      <w:pPr>
        <w:pStyle w:val="Normal"/>
        <w:ind w:left="360"/>
        <w:rPr>
          <w:i w:val="0"/>
          <w:iCs w:val="0"/>
        </w:rPr>
      </w:pPr>
      <w:r w:rsidRPr="7644A4A2" w:rsidR="56BBFE65">
        <w:rPr>
          <w:i w:val="1"/>
          <w:iCs w:val="1"/>
        </w:rPr>
        <w:t xml:space="preserve">Hanukkah</w:t>
      </w:r>
      <w:r w:rsidR="56BBFE65">
        <w:rPr/>
        <w:t xml:space="preserve"> was created to remember </w:t>
      </w:r>
      <w:r w:rsidR="56BBFE65">
        <w:rPr/>
        <w:t xml:space="preserve">the rededication of the Second Temple</w:t>
      </w:r>
      <w:r w:rsidR="56BBFE65">
        <w:rPr/>
        <w:t xml:space="preserve"> after the </w:t>
      </w:r>
      <w:r w:rsidRPr="7644A4A2" w:rsidR="56BBFE65">
        <w:rPr>
          <w:i w:val="1"/>
          <w:iCs w:val="1"/>
        </w:rPr>
        <w:t xml:space="preserve">Maccabean Revolt</w:t>
      </w:r>
      <w:r w:rsidR="56BBFE65">
        <w:rPr/>
        <w:t xml:space="preserve">. The festival includes a burning of eight candles using a </w:t>
      </w:r>
      <w:r w:rsidRPr="7644A4A2" w:rsidR="56BBFE65">
        <w:rPr>
          <w:i w:val="1"/>
          <w:iCs w:val="1"/>
        </w:rPr>
        <w:t xml:space="preserve">Menorah </w:t>
      </w:r>
      <w:r w:rsidRPr="7644A4A2" w:rsidR="56BBFE65">
        <w:rPr>
          <w:i w:val="0"/>
          <w:iCs w:val="0"/>
        </w:rPr>
        <w:t xml:space="preserve">to celebrate the </w:t>
      </w:r>
      <w:r w:rsidRPr="7644A4A2" w:rsidR="56BBFE65">
        <w:rPr>
          <w:i w:val="0"/>
          <w:iCs w:val="0"/>
        </w:rPr>
        <w:t>miraculous</w:t>
      </w:r>
      <w:r w:rsidRPr="7644A4A2" w:rsidR="56BBFE65">
        <w:rPr>
          <w:i w:val="0"/>
          <w:iCs w:val="0"/>
        </w:rPr>
        <w:t xml:space="preserve"> </w:t>
      </w:r>
      <w:r w:rsidRPr="7644A4A2" w:rsidR="56BBFE65">
        <w:rPr>
          <w:i w:val="0"/>
          <w:iCs w:val="0"/>
        </w:rPr>
        <w:t>burning of oil, that was supposed to burn for one night. The</w:t>
      </w:r>
      <w:r w:rsidRPr="7644A4A2" w:rsidR="56BBFE65">
        <w:rPr>
          <w:i w:val="0"/>
          <w:iCs w:val="0"/>
        </w:rPr>
        <w:t xml:space="preserve"> fact that </w:t>
      </w:r>
      <w:r w:rsidRPr="7644A4A2" w:rsidR="56BBFE65">
        <w:rPr>
          <w:i w:val="1"/>
          <w:iCs w:val="1"/>
        </w:rPr>
        <w:t xml:space="preserve">Hanukkah</w:t>
      </w:r>
      <w:r w:rsidRPr="7644A4A2" w:rsidR="56BBFE65">
        <w:rPr>
          <w:i w:val="0"/>
          <w:iCs w:val="0"/>
        </w:rPr>
        <w:t xml:space="preserve"> is still celebrated today proves the destruction of the second temple proved to be a decisive turning point</w:t>
      </w:r>
      <w:r w:rsidRPr="56BBFE65">
        <w:rPr>
          <w:rStyle w:val="FootnoteReference"/>
          <w:b w:val="0"/>
          <w:bCs w:val="0"/>
        </w:rPr>
        <w:footnoteReference w:id="10579"/>
      </w:r>
    </w:p>
    <w:p w:rsidR="7644A4A2" w:rsidP="7644A4A2" w:rsidRDefault="7644A4A2" w14:noSpellErr="1" w14:paraId="1E81B97B" w14:textId="1E855DDC">
      <w:pPr>
        <w:pStyle w:val="Normal"/>
        <w:ind w:left="360"/>
        <w:rPr>
          <w:rStyle w:val="EndnoteReference"/>
          <w:i w:val="0"/>
          <w:iCs w:val="0"/>
        </w:rPr>
      </w:pPr>
    </w:p>
    <w:sectPr>
      <w:pgSz w:w="11906" w:h="16838" w:orient="portrait"/>
      <w:pgMar w:top="1440" w:right="1440" w:bottom="1440" w:left="1440" w:header="720" w:footer="720" w:gutter="0"/>
      <w:cols w:space="720"/>
      <w:docGrid w:linePitch="360"/>
      <w:headerReference w:type="default" r:id="R9d75af9e43c74027"/>
      <w:footerReference w:type="default" r:id="R1335668eb99748e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009"/>
      <w:gridCol w:w="3009"/>
      <w:gridCol w:w="3009"/>
    </w:tblGrid>
    <w:tr w:rsidR="7644A4A2" w:rsidTr="7644A4A2" w14:paraId="5A5F81CD">
      <w:tc>
        <w:tcPr>
          <w:tcW w:w="3009" w:type="dxa"/>
          <w:tcMar/>
        </w:tcPr>
        <w:p w:rsidR="7644A4A2" w:rsidP="7644A4A2" w:rsidRDefault="7644A4A2" w14:paraId="000B2421" w14:textId="05755341">
          <w:pPr>
            <w:pStyle w:val="Header"/>
            <w:bidi w:val="0"/>
            <w:ind w:left="-115"/>
            <w:jc w:val="left"/>
          </w:pPr>
        </w:p>
      </w:tc>
      <w:tc>
        <w:tcPr>
          <w:tcW w:w="3009" w:type="dxa"/>
          <w:tcMar/>
        </w:tcPr>
        <w:p w:rsidR="7644A4A2" w:rsidP="7644A4A2" w:rsidRDefault="7644A4A2" w14:paraId="4512B7BF" w14:textId="18AE72BA">
          <w:pPr>
            <w:pStyle w:val="Header"/>
            <w:bidi w:val="0"/>
            <w:jc w:val="center"/>
          </w:pPr>
        </w:p>
      </w:tc>
      <w:tc>
        <w:tcPr>
          <w:tcW w:w="3009" w:type="dxa"/>
          <w:tcMar/>
        </w:tcPr>
        <w:p w:rsidR="7644A4A2" w:rsidP="7644A4A2" w:rsidRDefault="7644A4A2" w14:paraId="729D602B" w14:textId="0E6E671A">
          <w:pPr>
            <w:pStyle w:val="Header"/>
            <w:bidi w:val="0"/>
            <w:ind w:right="-115"/>
            <w:jc w:val="right"/>
          </w:pPr>
        </w:p>
      </w:tc>
    </w:tr>
  </w:tbl>
  <w:p w:rsidR="7644A4A2" w:rsidP="7644A4A2" w:rsidRDefault="7644A4A2" w14:paraId="393919D0" w14:textId="6DB1D57C">
    <w:pPr>
      <w:pStyle w:val="Footer"/>
      <w:bidi w:val="0"/>
    </w:pPr>
  </w:p>
</w:ftr>
</file>

<file path=word/footnotes.xml><?xml version="1.0" encoding="utf-8"?>
<w:footnotes xmlns:w14="http://schemas.microsoft.com/office/word/2010/wordml" xmlns:r="http://schemas.openxmlformats.org/officeDocument/2006/relationships" xmlns:w="http://schemas.openxmlformats.org/wordprocessingml/2006/main">
  <w:footnote w:type="separator" w:id="-1">
    <w:p w:rsidR="56BBFE65" w:rsidRDefault="56BBFE65" w14:paraId="2BDC4705" w14:textId="4AB3088A">
      <w:pPr>
        <w:spacing w:after="0" w:line="240" w:lineRule="auto"/>
      </w:pPr>
      <w:r>
        <w:separator/>
      </w:r>
    </w:p>
  </w:footnote>
  <w:footnote w:type="continuationSeparator" w:id="0">
    <w:p w:rsidR="56BBFE65" w:rsidRDefault="56BBFE65" w14:paraId="6C3F41B2" w14:textId="4A386937">
      <w:pPr>
        <w:spacing w:after="0" w:line="240" w:lineRule="auto"/>
      </w:pPr>
      <w:r>
        <w:continuationSeparator/>
      </w:r>
    </w:p>
  </w:footnote>
  <w:footnote w:id="4014">
    <w:p w:rsidR="56BBFE65" w:rsidP="56BBFE65" w:rsidRDefault="56BBFE65" w14:noSpellErr="1" w14:paraId="681C6A6B" w14:textId="3F677516">
      <w:pPr>
        <w:pStyle w:val="FootnoteText"/>
        <w:bidi w:val="0"/>
        <w:rPr>
          <w:i w:val="1"/>
          <w:iCs w:val="1"/>
        </w:rPr>
      </w:pPr>
      <w:r w:rsidRPr="56BBFE65">
        <w:rPr>
          <w:rStyle w:val="FootnoteReference"/>
        </w:rPr>
        <w:footnoteRef/>
      </w:r>
      <w:r w:rsidR="56BBFE65">
        <w:rPr/>
        <w:t xml:space="preserve"> </w:t>
      </w:r>
      <w:r w:rsidR="56BBFE65">
        <w:rPr/>
        <w:t>Josephus</w:t>
      </w:r>
      <w:r w:rsidR="56BBFE65">
        <w:rPr/>
        <w:t>, Antiquity of the Jews. Chapter 7</w:t>
      </w:r>
    </w:p>
  </w:footnote>
  <w:footnote w:id="8465">
    <w:p w:rsidR="56BBFE65" w:rsidP="56BBFE65" w:rsidRDefault="56BBFE65" w14:paraId="38B729B7" w14:textId="6EDDFF1C">
      <w:pPr>
        <w:pStyle w:val="FootnoteText"/>
        <w:bidi w:val="0"/>
      </w:pPr>
      <w:r w:rsidRPr="56BBFE65">
        <w:rPr>
          <w:rStyle w:val="FootnoteReference"/>
        </w:rPr>
        <w:footnoteRef/>
      </w:r>
      <w:r w:rsidR="56BBFE65">
        <w:rPr/>
        <w:t xml:space="preserve"> The </w:t>
      </w:r>
      <w:r w:rsidR="56BBFE65">
        <w:rPr/>
        <w:t xml:space="preserve">Mishnah, </w:t>
      </w:r>
      <w:proofErr w:type="spellStart"/>
      <w:r w:rsidR="56BBFE65">
        <w:rPr/>
        <w:t>Mo’ed</w:t>
      </w:r>
      <w:proofErr w:type="spellEnd"/>
    </w:p>
  </w:footnote>
  <w:footnote w:id="4043">
    <w:p w:rsidR="56BBFE65" w:rsidP="56BBFE65" w:rsidRDefault="56BBFE65" w14:noSpellErr="1" w14:paraId="05EBA461" w14:textId="3968A8BF">
      <w:pPr>
        <w:pStyle w:val="FootnoteText"/>
        <w:bidi w:val="0"/>
      </w:pPr>
      <w:r w:rsidRPr="56BBFE65">
        <w:rPr>
          <w:rStyle w:val="FootnoteReference"/>
        </w:rPr>
        <w:footnoteRef/>
      </w:r>
      <w:r w:rsidR="56BBFE65">
        <w:rPr/>
        <w:t xml:space="preserve"> The Mishnah, Hebrew Union College, Link: </w:t>
      </w:r>
      <w:hyperlink r:id="Rabacf73615c34e4a">
        <w:r w:rsidRPr="56BBFE65" w:rsidR="56BBFE65">
          <w:rPr>
            <w:rStyle w:val="Hyperlink"/>
          </w:rPr>
          <w:t>http://huc.edu/research/libraries/guides/rabbinic-literature/mishnah</w:t>
        </w:r>
      </w:hyperlink>
      <w:r w:rsidR="56BBFE65">
        <w:rPr/>
        <w:t xml:space="preserve"> [accessed 01/11/18]</w:t>
      </w:r>
    </w:p>
    <w:p w:rsidR="56BBFE65" w:rsidP="56BBFE65" w:rsidRDefault="56BBFE65" w14:noSpellErr="1" w14:paraId="78F54D2B" w14:textId="328BA363">
      <w:pPr>
        <w:pStyle w:val="FootnoteText"/>
        <w:bidi w:val="0"/>
      </w:pPr>
      <w:r w:rsidR="56BBFE65">
        <w:rPr/>
        <w:t>These are the six categories of the Mishnah:</w:t>
      </w:r>
    </w:p>
    <w:p w:rsidR="56BBFE65" w:rsidP="56BBFE65" w:rsidRDefault="56BBFE65" w14:paraId="0BB2C6FD" w14:textId="2D756626">
      <w:pPr>
        <w:pStyle w:val="ListParagraph"/>
        <w:numPr>
          <w:ilvl w:val="1"/>
          <w:numId w:val="6"/>
        </w:numPr>
        <w:bidi w:val="0"/>
        <w:spacing w:before="0" w:beforeAutospacing="off" w:after="160" w:afterAutospacing="off" w:line="259" w:lineRule="auto"/>
        <w:ind w:right="0"/>
        <w:jc w:val="left"/>
        <w:rPr>
          <w:sz w:val="22"/>
          <w:szCs w:val="22"/>
        </w:rPr>
      </w:pPr>
      <w:proofErr w:type="spellStart"/>
      <w:r w:rsidR="56BBFE65">
        <w:rPr>
          <w:b w:val="0"/>
          <w:bCs w:val="0"/>
        </w:rPr>
        <w:t>Zera’im</w:t>
      </w:r>
      <w:proofErr w:type="spellEnd"/>
      <w:r w:rsidR="56BBFE65">
        <w:rPr>
          <w:b w:val="0"/>
          <w:bCs w:val="0"/>
        </w:rPr>
        <w:t xml:space="preserve"> (seeds) - </w:t>
      </w:r>
      <w:r w:rsidR="56BBFE65">
        <w:rPr>
          <w:b w:val="0"/>
          <w:bCs w:val="0"/>
        </w:rPr>
        <w:t>agricultural laws</w:t>
      </w:r>
    </w:p>
    <w:p w:rsidR="56BBFE65" w:rsidP="56BBFE65" w:rsidRDefault="56BBFE65" w14:paraId="527F7F08" w14:textId="3E516AAC">
      <w:pPr>
        <w:pStyle w:val="ListParagraph"/>
        <w:numPr>
          <w:ilvl w:val="1"/>
          <w:numId w:val="6"/>
        </w:numPr>
        <w:bidi w:val="0"/>
        <w:spacing w:before="0" w:beforeAutospacing="off" w:after="160" w:afterAutospacing="off" w:line="259" w:lineRule="auto"/>
        <w:ind w:right="0"/>
        <w:jc w:val="left"/>
        <w:rPr>
          <w:sz w:val="22"/>
          <w:szCs w:val="22"/>
        </w:rPr>
      </w:pPr>
      <w:proofErr w:type="spellStart"/>
      <w:r w:rsidR="56BBFE65">
        <w:rPr>
          <w:b w:val="0"/>
          <w:bCs w:val="0"/>
        </w:rPr>
        <w:t>Mo’ed</w:t>
      </w:r>
      <w:proofErr w:type="spellEnd"/>
      <w:r w:rsidR="56BBFE65">
        <w:rPr>
          <w:b w:val="0"/>
          <w:bCs w:val="0"/>
        </w:rPr>
        <w:t xml:space="preserve"> (set times) - holidays and the </w:t>
      </w:r>
      <w:r w:rsidR="56BBFE65">
        <w:rPr>
          <w:b w:val="0"/>
          <w:bCs w:val="0"/>
        </w:rPr>
        <w:t>Sabbath</w:t>
      </w:r>
    </w:p>
    <w:p w:rsidR="56BBFE65" w:rsidP="56BBFE65" w:rsidRDefault="56BBFE65" w14:paraId="79351328" w14:textId="592DA9CB">
      <w:pPr>
        <w:pStyle w:val="ListParagraph"/>
        <w:numPr>
          <w:ilvl w:val="1"/>
          <w:numId w:val="6"/>
        </w:numPr>
        <w:bidi w:val="0"/>
        <w:spacing w:before="0" w:beforeAutospacing="off" w:after="160" w:afterAutospacing="off" w:line="259" w:lineRule="auto"/>
        <w:ind w:right="0"/>
        <w:jc w:val="left"/>
        <w:rPr>
          <w:sz w:val="22"/>
          <w:szCs w:val="22"/>
        </w:rPr>
      </w:pPr>
      <w:proofErr w:type="spellStart"/>
      <w:r w:rsidR="56BBFE65">
        <w:rPr>
          <w:b w:val="0"/>
          <w:bCs w:val="0"/>
        </w:rPr>
        <w:t>Nashim</w:t>
      </w:r>
      <w:proofErr w:type="spellEnd"/>
      <w:r w:rsidR="56BBFE65">
        <w:rPr>
          <w:b w:val="0"/>
          <w:bCs w:val="0"/>
        </w:rPr>
        <w:t xml:space="preserve"> (women) - marriage, divorce and vows laws</w:t>
      </w:r>
    </w:p>
    <w:p w:rsidR="56BBFE65" w:rsidP="56BBFE65" w:rsidRDefault="56BBFE65" w14:paraId="7AA69FAD" w14:textId="767DEE8A">
      <w:pPr>
        <w:pStyle w:val="ListParagraph"/>
        <w:numPr>
          <w:ilvl w:val="1"/>
          <w:numId w:val="6"/>
        </w:numPr>
        <w:bidi w:val="0"/>
        <w:spacing w:before="0" w:beforeAutospacing="off" w:after="160" w:afterAutospacing="off" w:line="259" w:lineRule="auto"/>
        <w:ind w:right="0"/>
        <w:jc w:val="left"/>
        <w:rPr>
          <w:sz w:val="22"/>
          <w:szCs w:val="22"/>
        </w:rPr>
      </w:pPr>
      <w:proofErr w:type="spellStart"/>
      <w:r w:rsidR="56BBFE65">
        <w:rPr>
          <w:b w:val="0"/>
          <w:bCs w:val="0"/>
        </w:rPr>
        <w:t>Nezikin</w:t>
      </w:r>
      <w:proofErr w:type="spellEnd"/>
      <w:r w:rsidR="56BBFE65">
        <w:rPr>
          <w:b w:val="0"/>
          <w:bCs w:val="0"/>
        </w:rPr>
        <w:t xml:space="preserve"> (damages) - civil and criminal laws</w:t>
      </w:r>
    </w:p>
    <w:p w:rsidR="56BBFE65" w:rsidP="56BBFE65" w:rsidRDefault="56BBFE65" w14:paraId="4D5E51A5" w14:textId="60A1D0AF">
      <w:pPr>
        <w:pStyle w:val="ListParagraph"/>
        <w:numPr>
          <w:ilvl w:val="1"/>
          <w:numId w:val="6"/>
        </w:numPr>
        <w:bidi w:val="0"/>
        <w:spacing w:before="0" w:beforeAutospacing="off" w:after="160" w:afterAutospacing="off" w:line="259" w:lineRule="auto"/>
        <w:ind w:right="0"/>
        <w:jc w:val="left"/>
        <w:rPr>
          <w:sz w:val="22"/>
          <w:szCs w:val="22"/>
        </w:rPr>
      </w:pPr>
      <w:proofErr w:type="spellStart"/>
      <w:r w:rsidR="56BBFE65">
        <w:rPr>
          <w:b w:val="0"/>
          <w:bCs w:val="0"/>
        </w:rPr>
        <w:t>Kodashim</w:t>
      </w:r>
      <w:proofErr w:type="spellEnd"/>
      <w:r w:rsidR="56BBFE65">
        <w:rPr>
          <w:b w:val="0"/>
          <w:bCs w:val="0"/>
        </w:rPr>
        <w:t xml:space="preserve"> (Holy things)</w:t>
      </w:r>
    </w:p>
    <w:p w:rsidR="56BBFE65" w:rsidP="56BBFE65" w:rsidRDefault="56BBFE65" w14:paraId="01C1A81C" w14:textId="298DBFCC">
      <w:pPr>
        <w:pStyle w:val="ListParagraph"/>
        <w:numPr>
          <w:ilvl w:val="1"/>
          <w:numId w:val="6"/>
        </w:numPr>
        <w:bidi w:val="0"/>
        <w:spacing w:before="0" w:beforeAutospacing="off" w:after="160" w:afterAutospacing="off" w:line="259" w:lineRule="auto"/>
        <w:ind w:right="0"/>
        <w:jc w:val="left"/>
        <w:rPr>
          <w:rStyle w:val="FootnoteReference"/>
          <w:sz w:val="22"/>
          <w:szCs w:val="22"/>
        </w:rPr>
      </w:pPr>
      <w:proofErr w:type="spellStart"/>
      <w:r w:rsidR="56BBFE65">
        <w:rPr>
          <w:b w:val="0"/>
          <w:bCs w:val="0"/>
        </w:rPr>
        <w:t>Tarohot</w:t>
      </w:r>
      <w:proofErr w:type="spellEnd"/>
      <w:r w:rsidR="56BBFE65">
        <w:rPr>
          <w:b w:val="0"/>
          <w:bCs w:val="0"/>
        </w:rPr>
        <w:t xml:space="preserve"> (purities) - laws of purity</w:t>
      </w:r>
    </w:p>
  </w:footnote>
  <w:footnote w:id="10579">
    <w:p w:rsidR="56BBFE65" w:rsidP="56BBFE65" w:rsidRDefault="56BBFE65" w14:noSpellErr="1" w14:paraId="329BB38F" w14:textId="02FF1F16">
      <w:pPr>
        <w:pStyle w:val="FootnoteText"/>
        <w:bidi w:val="0"/>
      </w:pPr>
      <w:r w:rsidRPr="56BBFE65">
        <w:rPr>
          <w:rStyle w:val="FootnoteReference"/>
        </w:rPr>
        <w:footnoteRef/>
      </w:r>
      <w:r w:rsidR="56BBFE65">
        <w:rPr/>
        <w:t xml:space="preserve"> </w:t>
      </w:r>
      <w:r w:rsidRPr="56BBFE65" w:rsidR="56BBFE65">
        <w:rPr>
          <w:i w:val="1"/>
          <w:iCs w:val="1"/>
        </w:rPr>
        <w:t>Blackwell’s Companion to Judaism</w:t>
      </w:r>
      <w:r w:rsidR="56BBFE65">
        <w:rPr/>
        <w:t xml:space="preserve">, </w:t>
      </w:r>
    </w:p>
  </w:footnote>
  <w:footnote w:id="8305">
    <w:p w:rsidR="4E5EC243" w:rsidP="4E5EC243" w:rsidRDefault="4E5EC243" w14:noSpellErr="1" w14:paraId="19B8E7AF" w14:textId="42CE0D34">
      <w:pPr>
        <w:pStyle w:val="FootnoteText"/>
        <w:bidi w:val="0"/>
      </w:pPr>
      <w:r w:rsidRPr="4E5EC243">
        <w:rPr>
          <w:rStyle w:val="FootnoteReference"/>
        </w:rPr>
        <w:footnoteRef/>
      </w:r>
      <w:r w:rsidR="4E5EC243">
        <w:rPr/>
        <w:t xml:space="preserve"> </w:t>
      </w:r>
      <w:r w:rsidRPr="4E5EC243" w:rsidR="4E5EC243">
        <w:rPr>
          <w:i w:val="1"/>
          <w:iCs w:val="1"/>
        </w:rPr>
        <w:t>A Community of Faith, Jonathan Sacks. Page 4</w:t>
      </w:r>
    </w:p>
  </w:footnote>
  <w:footnote w:id="13530">
    <w:p w:rsidR="34DA933E" w:rsidP="34DA933E" w:rsidRDefault="34DA933E" w14:noSpellErr="1" w14:paraId="0C2C036B" w14:textId="134B9E60">
      <w:pPr>
        <w:pStyle w:val="FootnoteText"/>
        <w:bidi w:val="0"/>
      </w:pPr>
      <w:r w:rsidRPr="34DA933E">
        <w:rPr>
          <w:rStyle w:val="FootnoteReference"/>
        </w:rPr>
        <w:footnoteRef/>
      </w:r>
      <w:r w:rsidR="34DA933E">
        <w:rPr/>
        <w:t xml:space="preserve"> Bar Mitzvah/Bat Mitzvah is a ceremony which welcomes a young person, usually aged 13, into Judaism.</w:t>
      </w:r>
    </w:p>
  </w:footnote>
  <w:footnote w:id="10021">
    <w:p w:rsidR="7644A4A2" w:rsidP="7644A4A2" w:rsidRDefault="7644A4A2" w14:paraId="0E33C391" w14:textId="2C2307F8">
      <w:pPr>
        <w:pStyle w:val="FootnoteText"/>
        <w:bidi w:val="0"/>
      </w:pPr>
      <w:r w:rsidRPr="7644A4A2">
        <w:rPr>
          <w:rStyle w:val="FootnoteReference"/>
        </w:rPr>
        <w:footnoteRef/>
      </w:r>
      <w:r w:rsidR="7644A4A2">
        <w:rPr/>
        <w:t xml:space="preserve"> BBC- Religion- Judaism: Talmud accessed </w:t>
      </w:r>
      <w:proofErr w:type="spellStart"/>
      <w:r w:rsidR="7644A4A2">
        <w:rPr/>
        <w:t>at:http</w:t>
      </w:r>
      <w:proofErr w:type="spellEnd"/>
      <w:r w:rsidR="7644A4A2">
        <w:rPr/>
        <w:t xml:space="preserve">://www.bbc.co.uk/religion/religions/judaism/texts/talmud.shtml </w:t>
      </w: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009"/>
      <w:gridCol w:w="3009"/>
      <w:gridCol w:w="3009"/>
    </w:tblGrid>
    <w:tr w:rsidR="7644A4A2" w:rsidTr="7644A4A2" w14:paraId="520AF931">
      <w:tc>
        <w:tcPr>
          <w:tcW w:w="3009" w:type="dxa"/>
          <w:tcMar/>
        </w:tcPr>
        <w:p w:rsidR="7644A4A2" w:rsidP="7644A4A2" w:rsidRDefault="7644A4A2" w14:noSpellErr="1" w14:paraId="3ABECC1C" w14:textId="62AE668B">
          <w:pPr>
            <w:pStyle w:val="Header"/>
            <w:bidi w:val="0"/>
            <w:ind w:left="-115"/>
            <w:jc w:val="left"/>
          </w:pPr>
          <w:r w:rsidR="7644A4A2">
            <w:rPr/>
            <w:t>Caitlin Vivian 1800517</w:t>
          </w:r>
        </w:p>
      </w:tc>
      <w:tc>
        <w:tcPr>
          <w:tcW w:w="3009" w:type="dxa"/>
          <w:tcMar/>
        </w:tcPr>
        <w:p w:rsidR="7644A4A2" w:rsidP="7644A4A2" w:rsidRDefault="7644A4A2" w14:paraId="3F0640E1" w14:textId="44A3EA33">
          <w:pPr>
            <w:pStyle w:val="Header"/>
            <w:bidi w:val="0"/>
            <w:jc w:val="center"/>
          </w:pPr>
        </w:p>
      </w:tc>
      <w:tc>
        <w:tcPr>
          <w:tcW w:w="3009" w:type="dxa"/>
          <w:tcMar/>
        </w:tcPr>
        <w:p w:rsidR="7644A4A2" w:rsidP="7644A4A2" w:rsidRDefault="7644A4A2" w14:paraId="7218EB28" w14:textId="3039C2C4">
          <w:pPr>
            <w:pStyle w:val="Header"/>
            <w:bidi w:val="0"/>
            <w:ind w:right="-115"/>
            <w:jc w:val="right"/>
          </w:pPr>
        </w:p>
      </w:tc>
    </w:tr>
  </w:tbl>
  <w:p w:rsidR="7644A4A2" w:rsidP="7644A4A2" w:rsidRDefault="7644A4A2" w14:paraId="39588F15" w14:textId="442352DE">
    <w:pPr>
      <w:pStyle w:val="Header"/>
      <w:bidi w:val="0"/>
    </w:pPr>
  </w:p>
</w:hdr>
</file>

<file path=word/numbering.xml><?xml version="1.0" encoding="utf-8"?>
<w:numbering xmlns:w="http://schemas.openxmlformats.org/wordprocessingml/2006/main">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71F06770"/>
  <w15:docId w15:val="{10861f61-c9d7-45be-adf1-73ff6752221e}"/>
  <w:rsids>
    <w:rsidRoot w:val="10497F24"/>
    <w:rsid w:val="0AA71D63"/>
    <w:rsid w:val="10497F24"/>
    <w:rsid w:val="34DA933E"/>
    <w:rsid w:val="4E5EC243"/>
    <w:rsid w:val="56BBFE65"/>
    <w:rsid w:val="62D07424"/>
    <w:rsid w:val="71F06770"/>
    <w:rsid w:val="7644A4A2"/>
  </w:rsids>
  <w:footnotePr>
    <w:footnote w:id="-1"/>
    <w:footnote w:id="0"/>
  </w:footnotePr>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FootnoteTextChar" w:customStyle="1" mc:Ignorable="w14">
    <w:name xmlns:w="http://schemas.openxmlformats.org/wordprocessingml/2006/main" w:val="Footnote Text Char"/>
    <w:basedOn xmlns:w="http://schemas.openxmlformats.org/wordprocessingml/2006/main" w:val="DefaultParagraphFont"/>
    <w:link xmlns:w="http://schemas.openxmlformats.org/wordprocessingml/2006/main" w:val="FootnoteText"/>
    <w:rPr xmlns:w="http://schemas.openxmlformats.org/wordprocessingml/2006/main">
      <w:sz w:val="20"/>
      <w:szCs w:val="20"/>
    </w:rPr>
    <w:semiHidden xmlns:w="http://schemas.openxmlformats.org/wordprocessingml/2006/main"/>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noteText" mc:Ignorable="w14">
    <w:basedOn xmlns:w="http://schemas.openxmlformats.org/wordprocessingml/2006/main" w:val="Normal"/>
    <w:link xmlns:w="http://schemas.openxmlformats.org/wordprocessingml/2006/main" w:val="FootnoteTextChar"/>
    <w:name xmlns:w="http://schemas.openxmlformats.org/wordprocessingml/2006/main" w:val="footnote text"/>
    <w:pPr xmlns:w="http://schemas.openxmlformats.org/wordprocessingml/2006/main">
      <w:spacing xmlns:w="http://schemas.openxmlformats.org/wordprocessingml/2006/main" w:after="0" w:line="240" w:lineRule="auto"/>
    </w:pPr>
    <w:rPr xmlns:w="http://schemas.openxmlformats.org/wordprocessingml/2006/main">
      <w:sz w:val="20"/>
      <w:szCs w:val="20"/>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EndnoteReference" mc:Ignorable="w14">
    <w:basedOn xmlns:w="http://schemas.openxmlformats.org/wordprocessingml/2006/main" w:val="DefaultParagraphFont"/>
    <w:name xmlns:w="http://schemas.openxmlformats.org/wordprocessingml/2006/main" w:val="end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ee7e6636321b4b4d" /><Relationship Type="http://schemas.openxmlformats.org/officeDocument/2006/relationships/footnotes" Target="/word/footnotes.xml" Id="R3656c170313740b2" /><Relationship Type="http://schemas.openxmlformats.org/officeDocument/2006/relationships/header" Target="/word/header.xml" Id="R9d75af9e43c74027" /><Relationship Type="http://schemas.openxmlformats.org/officeDocument/2006/relationships/footer" Target="/word/footer.xml" Id="R1335668eb99748e1" /></Relationships>
</file>

<file path=word/_rels/footnotes.xml.rels>&#65279;<?xml version="1.0" encoding="utf-8"?><Relationships xmlns="http://schemas.openxmlformats.org/package/2006/relationships"><Relationship Type="http://schemas.openxmlformats.org/officeDocument/2006/relationships/hyperlink" Target="http://huc.edu/research/libraries/guides/rabbinic-literature/mishnah" TargetMode="External" Id="Rabacf73615c34e4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Caitlin Vivian (1800517)</dc:creator>
  <keywords/>
  <dc:description/>
  <lastModifiedBy>Caitlin Vivian (1800517)</lastModifiedBy>
  <revision>6</revision>
  <dcterms:created xsi:type="dcterms:W3CDTF">2018-11-04T10:30:21.3483608Z</dcterms:created>
  <dcterms:modified xsi:type="dcterms:W3CDTF">2018-11-05T18:47:51.4734154Z</dcterms:modified>
</coreProperties>
</file>