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FDA74" w14:textId="089B7531"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134C8044" w14:textId="5E27DFD9" w:rsidR="00C6554A" w:rsidRDefault="006F079B" w:rsidP="00C6554A">
      <w:pPr>
        <w:pStyle w:val="Title"/>
      </w:pPr>
      <w:r>
        <w:t xml:space="preserve"> A </w:t>
      </w:r>
      <w:r w:rsidR="000E5BD7">
        <w:t>Reflection</w:t>
      </w:r>
    </w:p>
    <w:p w14:paraId="78E1684C" w14:textId="7007F1F6" w:rsidR="00C6554A" w:rsidRPr="00D5413C" w:rsidRDefault="000E5BD7" w:rsidP="00C6554A">
      <w:pPr>
        <w:pStyle w:val="Subtitle"/>
      </w:pPr>
      <w:r>
        <w:t>Ethical considerations</w:t>
      </w:r>
    </w:p>
    <w:p w14:paraId="7A6B2344" w14:textId="3A83BEB2" w:rsidR="00C6554A" w:rsidRDefault="000E5BD7" w:rsidP="00C6554A">
      <w:pPr>
        <w:pStyle w:val="ContactInfo"/>
      </w:pPr>
      <w:r>
        <w:t>Jacqueline Burke</w:t>
      </w:r>
      <w:r w:rsidR="00C6554A">
        <w:t xml:space="preserve"> | </w:t>
      </w:r>
      <w:r w:rsidR="006F079B">
        <w:t>ECGE7004Q</w:t>
      </w:r>
      <w:r w:rsidR="00C6554A">
        <w:t xml:space="preserve"> |</w:t>
      </w:r>
      <w:r w:rsidR="00C6554A" w:rsidRPr="00D5413C">
        <w:t xml:space="preserve"> </w:t>
      </w:r>
      <w:r w:rsidR="006F079B">
        <w:t>04/01/2020</w:t>
      </w:r>
      <w:r w:rsidR="00C6554A">
        <w:br w:type="page"/>
      </w:r>
    </w:p>
    <w:p w14:paraId="7B34EB0D" w14:textId="6101B979" w:rsidR="00C6554A" w:rsidRDefault="00C6554A" w:rsidP="00C6554A">
      <w:pPr>
        <w:pStyle w:val="Heading1"/>
      </w:pPr>
    </w:p>
    <w:p w14:paraId="44C4A7AA" w14:textId="160FA03D" w:rsidR="00057C94" w:rsidRPr="000E5BD7" w:rsidRDefault="00057C94" w:rsidP="00392DB2">
      <w:pPr>
        <w:rPr>
          <w:rFonts w:ascii="Times New Roman" w:hAnsi="Times New Roman" w:cs="Times New Roman"/>
          <w:color w:val="333333"/>
          <w:sz w:val="24"/>
          <w:szCs w:val="24"/>
        </w:rPr>
      </w:pPr>
      <w:r w:rsidRPr="000E5BD7">
        <w:rPr>
          <w:rFonts w:ascii="Times New Roman" w:hAnsi="Times New Roman" w:cs="Times New Roman"/>
          <w:color w:val="333333"/>
          <w:sz w:val="24"/>
          <w:szCs w:val="24"/>
        </w:rPr>
        <w:t>Whilst it is possible to be reflective by focusing solely on process in order to allow a set of practices to run without major disruptions and achieve their intended outcomes</w:t>
      </w:r>
      <w:r w:rsidR="005C4AB0" w:rsidRPr="000E5BD7">
        <w:rPr>
          <w:rFonts w:ascii="Times New Roman" w:hAnsi="Times New Roman" w:cs="Times New Roman"/>
          <w:color w:val="333333"/>
          <w:sz w:val="24"/>
          <w:szCs w:val="24"/>
        </w:rPr>
        <w:t xml:space="preserve"> </w:t>
      </w:r>
      <w:sdt>
        <w:sdtPr>
          <w:rPr>
            <w:rFonts w:ascii="Times New Roman" w:hAnsi="Times New Roman" w:cs="Times New Roman"/>
            <w:color w:val="333333"/>
            <w:sz w:val="24"/>
            <w:szCs w:val="24"/>
          </w:rPr>
          <w:id w:val="-513616190"/>
          <w:citation/>
        </w:sdtPr>
        <w:sdtEndPr/>
        <w:sdtContent>
          <w:r w:rsidR="005C4AB0" w:rsidRPr="000E5BD7">
            <w:rPr>
              <w:rFonts w:ascii="Times New Roman" w:hAnsi="Times New Roman" w:cs="Times New Roman"/>
              <w:color w:val="333333"/>
              <w:sz w:val="24"/>
              <w:szCs w:val="24"/>
            </w:rPr>
            <w:fldChar w:fldCharType="begin"/>
          </w:r>
          <w:r w:rsidR="005C4AB0" w:rsidRPr="000E5BD7">
            <w:rPr>
              <w:rFonts w:ascii="Times New Roman" w:hAnsi="Times New Roman" w:cs="Times New Roman"/>
              <w:color w:val="333333"/>
              <w:sz w:val="24"/>
              <w:szCs w:val="24"/>
            </w:rPr>
            <w:instrText xml:space="preserve"> CITATION Bro09 \l 1033 </w:instrText>
          </w:r>
          <w:r w:rsidR="005C4AB0" w:rsidRPr="000E5BD7">
            <w:rPr>
              <w:rFonts w:ascii="Times New Roman" w:hAnsi="Times New Roman" w:cs="Times New Roman"/>
              <w:color w:val="333333"/>
              <w:sz w:val="24"/>
              <w:szCs w:val="24"/>
            </w:rPr>
            <w:fldChar w:fldCharType="separate"/>
          </w:r>
          <w:r w:rsidR="005C4AB0" w:rsidRPr="000E5BD7">
            <w:rPr>
              <w:rFonts w:ascii="Times New Roman" w:hAnsi="Times New Roman" w:cs="Times New Roman"/>
              <w:noProof/>
              <w:color w:val="333333"/>
              <w:sz w:val="24"/>
              <w:szCs w:val="24"/>
            </w:rPr>
            <w:t>(Brookfield, 2009)</w:t>
          </w:r>
          <w:r w:rsidR="005C4AB0" w:rsidRPr="000E5BD7">
            <w:rPr>
              <w:rFonts w:ascii="Times New Roman" w:hAnsi="Times New Roman" w:cs="Times New Roman"/>
              <w:color w:val="333333"/>
              <w:sz w:val="24"/>
              <w:szCs w:val="24"/>
            </w:rPr>
            <w:fldChar w:fldCharType="end"/>
          </w:r>
        </w:sdtContent>
      </w:sdt>
      <w:r w:rsidR="005C4AB0" w:rsidRPr="000E5BD7">
        <w:rPr>
          <w:rFonts w:ascii="Times New Roman" w:hAnsi="Times New Roman" w:cs="Times New Roman"/>
          <w:color w:val="333333"/>
          <w:sz w:val="24"/>
          <w:szCs w:val="24"/>
        </w:rPr>
        <w:t xml:space="preserve"> this in itself is not considered to be</w:t>
      </w:r>
      <w:r w:rsidR="00D430C0" w:rsidRPr="000E5BD7">
        <w:rPr>
          <w:rFonts w:ascii="Times New Roman" w:hAnsi="Times New Roman" w:cs="Times New Roman"/>
          <w:color w:val="333333"/>
          <w:sz w:val="24"/>
          <w:szCs w:val="24"/>
        </w:rPr>
        <w:t xml:space="preserve"> a</w:t>
      </w:r>
      <w:r w:rsidR="005C4AB0" w:rsidRPr="000E5BD7">
        <w:rPr>
          <w:rFonts w:ascii="Times New Roman" w:hAnsi="Times New Roman" w:cs="Times New Roman"/>
          <w:color w:val="333333"/>
          <w:sz w:val="24"/>
          <w:szCs w:val="24"/>
        </w:rPr>
        <w:t xml:space="preserve"> critical reflection. In order to be critically reflective</w:t>
      </w:r>
      <w:r w:rsidR="00D430C0" w:rsidRPr="000E5BD7">
        <w:rPr>
          <w:rFonts w:ascii="Times New Roman" w:hAnsi="Times New Roman" w:cs="Times New Roman"/>
          <w:color w:val="333333"/>
          <w:sz w:val="24"/>
          <w:szCs w:val="24"/>
        </w:rPr>
        <w:t>,</w:t>
      </w:r>
      <w:r w:rsidR="005C4AB0" w:rsidRPr="000E5BD7">
        <w:rPr>
          <w:rFonts w:ascii="Times New Roman" w:hAnsi="Times New Roman" w:cs="Times New Roman"/>
          <w:color w:val="333333"/>
          <w:sz w:val="24"/>
          <w:szCs w:val="24"/>
        </w:rPr>
        <w:t xml:space="preserve"> one must consider the relationships of power that </w:t>
      </w:r>
      <w:r w:rsidR="00D430C0" w:rsidRPr="000E5BD7">
        <w:rPr>
          <w:rFonts w:ascii="Times New Roman" w:hAnsi="Times New Roman" w:cs="Times New Roman"/>
          <w:color w:val="333333"/>
          <w:sz w:val="24"/>
          <w:szCs w:val="24"/>
        </w:rPr>
        <w:t xml:space="preserve">can potentially allow or promote practices that may be effective on a technical level; this assumes that the minutiae of practice have deeply considered the contention that exists between unequal interests and groups within the wider community. Critical reflection must explicitly focus upon discovering and </w:t>
      </w:r>
      <w:r w:rsidR="00FD2ED1" w:rsidRPr="000E5BD7">
        <w:rPr>
          <w:rFonts w:ascii="Times New Roman" w:hAnsi="Times New Roman" w:cs="Times New Roman"/>
          <w:color w:val="333333"/>
          <w:sz w:val="24"/>
          <w:szCs w:val="24"/>
        </w:rPr>
        <w:t xml:space="preserve">confronting the dynamics of power that support the practice and challenge the hegemonic assumptions </w:t>
      </w:r>
      <w:sdt>
        <w:sdtPr>
          <w:rPr>
            <w:rFonts w:ascii="Times New Roman" w:hAnsi="Times New Roman" w:cs="Times New Roman"/>
            <w:color w:val="333333"/>
            <w:sz w:val="24"/>
            <w:szCs w:val="24"/>
          </w:rPr>
          <w:id w:val="1703130372"/>
          <w:citation/>
        </w:sdtPr>
        <w:sdtEndPr/>
        <w:sdtContent>
          <w:r w:rsidR="00FD2ED1" w:rsidRPr="000E5BD7">
            <w:rPr>
              <w:rFonts w:ascii="Times New Roman" w:hAnsi="Times New Roman" w:cs="Times New Roman"/>
              <w:color w:val="333333"/>
              <w:sz w:val="24"/>
              <w:szCs w:val="24"/>
            </w:rPr>
            <w:fldChar w:fldCharType="begin"/>
          </w:r>
          <w:r w:rsidR="00FD2ED1" w:rsidRPr="000E5BD7">
            <w:rPr>
              <w:rFonts w:ascii="Times New Roman" w:hAnsi="Times New Roman" w:cs="Times New Roman"/>
              <w:color w:val="333333"/>
              <w:sz w:val="24"/>
              <w:szCs w:val="24"/>
            </w:rPr>
            <w:instrText xml:space="preserve"> CITATION Bro09 \l 1033 </w:instrText>
          </w:r>
          <w:r w:rsidR="00FD2ED1" w:rsidRPr="000E5BD7">
            <w:rPr>
              <w:rFonts w:ascii="Times New Roman" w:hAnsi="Times New Roman" w:cs="Times New Roman"/>
              <w:color w:val="333333"/>
              <w:sz w:val="24"/>
              <w:szCs w:val="24"/>
            </w:rPr>
            <w:fldChar w:fldCharType="separate"/>
          </w:r>
          <w:r w:rsidR="00FD2ED1" w:rsidRPr="000E5BD7">
            <w:rPr>
              <w:rFonts w:ascii="Times New Roman" w:hAnsi="Times New Roman" w:cs="Times New Roman"/>
              <w:noProof/>
              <w:color w:val="333333"/>
              <w:sz w:val="24"/>
              <w:szCs w:val="24"/>
            </w:rPr>
            <w:t>(Brookfield, 2009)</w:t>
          </w:r>
          <w:r w:rsidR="00FD2ED1" w:rsidRPr="000E5BD7">
            <w:rPr>
              <w:rFonts w:ascii="Times New Roman" w:hAnsi="Times New Roman" w:cs="Times New Roman"/>
              <w:color w:val="333333"/>
              <w:sz w:val="24"/>
              <w:szCs w:val="24"/>
            </w:rPr>
            <w:fldChar w:fldCharType="end"/>
          </w:r>
        </w:sdtContent>
      </w:sdt>
      <w:r w:rsidR="00FD2ED1" w:rsidRPr="000E5BD7">
        <w:rPr>
          <w:rFonts w:ascii="Times New Roman" w:hAnsi="Times New Roman" w:cs="Times New Roman"/>
          <w:color w:val="333333"/>
          <w:sz w:val="24"/>
          <w:szCs w:val="24"/>
        </w:rPr>
        <w:t>.</w:t>
      </w:r>
    </w:p>
    <w:p w14:paraId="7082F636" w14:textId="0059EE57" w:rsidR="00FD2ED1" w:rsidRPr="000E5BD7" w:rsidRDefault="00FD2ED1" w:rsidP="00392DB2">
      <w:pPr>
        <w:rPr>
          <w:rFonts w:ascii="Times New Roman" w:hAnsi="Times New Roman" w:cs="Times New Roman"/>
          <w:color w:val="333333"/>
          <w:sz w:val="24"/>
          <w:szCs w:val="24"/>
        </w:rPr>
      </w:pPr>
      <w:r w:rsidRPr="000E5BD7">
        <w:rPr>
          <w:rFonts w:ascii="Times New Roman" w:hAnsi="Times New Roman" w:cs="Times New Roman"/>
          <w:color w:val="333333"/>
          <w:sz w:val="24"/>
          <w:szCs w:val="24"/>
        </w:rPr>
        <w:t xml:space="preserve">Critically reflecting upon the feedback given to the proposed ethical considerations put forth in the previous submission, two main issues were made apparent. Firstly, the key aims, and objectives needed to be considered in a more succinct way. Secondly, </w:t>
      </w:r>
      <w:proofErr w:type="gramStart"/>
      <w:r w:rsidRPr="000E5BD7">
        <w:rPr>
          <w:rFonts w:ascii="Times New Roman" w:hAnsi="Times New Roman" w:cs="Times New Roman"/>
          <w:color w:val="333333"/>
          <w:sz w:val="24"/>
          <w:szCs w:val="24"/>
        </w:rPr>
        <w:t>particular attention</w:t>
      </w:r>
      <w:proofErr w:type="gramEnd"/>
      <w:r w:rsidRPr="000E5BD7">
        <w:rPr>
          <w:rFonts w:ascii="Times New Roman" w:hAnsi="Times New Roman" w:cs="Times New Roman"/>
          <w:color w:val="333333"/>
          <w:sz w:val="24"/>
          <w:szCs w:val="24"/>
        </w:rPr>
        <w:t xml:space="preserve"> needed to be drawn to the ethical issues surrounding</w:t>
      </w:r>
      <w:r w:rsidR="003E59BE" w:rsidRPr="000E5BD7">
        <w:rPr>
          <w:rFonts w:ascii="Times New Roman" w:hAnsi="Times New Roman" w:cs="Times New Roman"/>
          <w:color w:val="333333"/>
          <w:sz w:val="24"/>
          <w:szCs w:val="24"/>
        </w:rPr>
        <w:t xml:space="preserve"> the emotional risks presented to not only the participants but to the researcher as well.</w:t>
      </w:r>
    </w:p>
    <w:p w14:paraId="08CA5FA4" w14:textId="6331A65D" w:rsidR="000E5BD7" w:rsidRPr="000E5BD7" w:rsidRDefault="000E5BD7" w:rsidP="000E5BD7">
      <w:pPr>
        <w:pStyle w:val="ListBullet"/>
        <w:numPr>
          <w:ilvl w:val="0"/>
          <w:numId w:val="0"/>
        </w:numPr>
        <w:ind w:hanging="360"/>
        <w:rPr>
          <w:rFonts w:ascii="Times New Roman" w:hAnsi="Times New Roman" w:cs="Times New Roman"/>
          <w:color w:val="333333"/>
          <w:sz w:val="24"/>
          <w:szCs w:val="24"/>
        </w:rPr>
      </w:pPr>
      <w:r w:rsidRPr="000E5BD7">
        <w:rPr>
          <w:rFonts w:ascii="Times New Roman" w:hAnsi="Times New Roman" w:cs="Times New Roman"/>
          <w:color w:val="333333"/>
          <w:sz w:val="24"/>
          <w:szCs w:val="24"/>
        </w:rPr>
        <w:t xml:space="preserve">     </w:t>
      </w:r>
      <w:r w:rsidR="003E59BE" w:rsidRPr="000E5BD7">
        <w:rPr>
          <w:rFonts w:ascii="Times New Roman" w:hAnsi="Times New Roman" w:cs="Times New Roman"/>
          <w:color w:val="333333"/>
          <w:sz w:val="24"/>
          <w:szCs w:val="24"/>
        </w:rPr>
        <w:t xml:space="preserve">In order to address the first issue, the research </w:t>
      </w:r>
      <w:r w:rsidR="004272DD" w:rsidRPr="000E5BD7">
        <w:rPr>
          <w:rFonts w:ascii="Times New Roman" w:hAnsi="Times New Roman" w:cs="Times New Roman"/>
          <w:color w:val="333333"/>
          <w:sz w:val="24"/>
          <w:szCs w:val="24"/>
        </w:rPr>
        <w:t>proposal</w:t>
      </w:r>
      <w:r w:rsidR="003E59BE" w:rsidRPr="000E5BD7">
        <w:rPr>
          <w:rFonts w:ascii="Times New Roman" w:hAnsi="Times New Roman" w:cs="Times New Roman"/>
          <w:color w:val="333333"/>
          <w:sz w:val="24"/>
          <w:szCs w:val="24"/>
        </w:rPr>
        <w:t xml:space="preserve"> has been given considerable consideration effectuating a more succinct question for the </w:t>
      </w:r>
      <w:r w:rsidR="004272DD" w:rsidRPr="000E5BD7">
        <w:rPr>
          <w:rFonts w:ascii="Times New Roman" w:hAnsi="Times New Roman" w:cs="Times New Roman"/>
          <w:color w:val="333333"/>
          <w:sz w:val="24"/>
          <w:szCs w:val="24"/>
        </w:rPr>
        <w:t>proposed research</w:t>
      </w:r>
      <w:r w:rsidR="003E59BE" w:rsidRPr="000E5BD7">
        <w:rPr>
          <w:rFonts w:ascii="Times New Roman" w:hAnsi="Times New Roman" w:cs="Times New Roman"/>
          <w:color w:val="333333"/>
          <w:sz w:val="24"/>
          <w:szCs w:val="24"/>
        </w:rPr>
        <w:t>. The question, ‘What definitions do women apply to the terms consent and assault and do these definitions vary between women of differing ages?’, allows focus to be specifically drawn to the two main terms/topics</w:t>
      </w:r>
      <w:r w:rsidR="00D23587" w:rsidRPr="000E5BD7">
        <w:rPr>
          <w:rFonts w:ascii="Times New Roman" w:hAnsi="Times New Roman" w:cs="Times New Roman"/>
          <w:color w:val="333333"/>
          <w:sz w:val="24"/>
          <w:szCs w:val="24"/>
        </w:rPr>
        <w:t xml:space="preserve"> as well as denoting that age will be a defining factor when considering how these terms/topics will be defined within the proposed research.</w:t>
      </w:r>
      <w:r w:rsidRPr="000E5BD7">
        <w:rPr>
          <w:rFonts w:ascii="Times New Roman" w:hAnsi="Times New Roman" w:cs="Times New Roman"/>
          <w:color w:val="333333"/>
          <w:sz w:val="24"/>
          <w:szCs w:val="24"/>
        </w:rPr>
        <w:t xml:space="preserve"> Addressing the second issue, consideration must be given to the idea that the co-construction of data in interpersonal relationships requires both researchers and those with whom they interact to deploy a wide range of skills to which emotional life is integral </w:t>
      </w:r>
      <w:sdt>
        <w:sdtPr>
          <w:rPr>
            <w:rFonts w:ascii="Times New Roman" w:hAnsi="Times New Roman" w:cs="Times New Roman"/>
            <w:color w:val="333333"/>
            <w:sz w:val="24"/>
            <w:szCs w:val="24"/>
          </w:rPr>
          <w:id w:val="-637180069"/>
          <w:citation/>
        </w:sdtPr>
        <w:sdtEndPr/>
        <w:sdtContent>
          <w:r w:rsidRPr="000E5BD7">
            <w:rPr>
              <w:rFonts w:ascii="Times New Roman" w:hAnsi="Times New Roman" w:cs="Times New Roman"/>
              <w:color w:val="333333"/>
              <w:sz w:val="24"/>
              <w:szCs w:val="24"/>
            </w:rPr>
            <w:fldChar w:fldCharType="begin"/>
          </w:r>
          <w:r w:rsidRPr="000E5BD7">
            <w:rPr>
              <w:rFonts w:ascii="Times New Roman" w:hAnsi="Times New Roman" w:cs="Times New Roman"/>
              <w:color w:val="333333"/>
              <w:sz w:val="24"/>
              <w:szCs w:val="24"/>
            </w:rPr>
            <w:instrText xml:space="preserve"> CITATION Bon05 \l 1033 </w:instrText>
          </w:r>
          <w:r w:rsidRPr="000E5BD7">
            <w:rPr>
              <w:rFonts w:ascii="Times New Roman" w:hAnsi="Times New Roman" w:cs="Times New Roman"/>
              <w:color w:val="333333"/>
              <w:sz w:val="24"/>
              <w:szCs w:val="24"/>
            </w:rPr>
            <w:fldChar w:fldCharType="separate"/>
          </w:r>
          <w:r w:rsidRPr="000E5BD7">
            <w:rPr>
              <w:rFonts w:ascii="Times New Roman" w:hAnsi="Times New Roman" w:cs="Times New Roman"/>
              <w:noProof/>
              <w:color w:val="333333"/>
              <w:sz w:val="24"/>
              <w:szCs w:val="24"/>
            </w:rPr>
            <w:t>(Bondi, 2005)</w:t>
          </w:r>
          <w:r w:rsidRPr="000E5BD7">
            <w:rPr>
              <w:rFonts w:ascii="Times New Roman" w:hAnsi="Times New Roman" w:cs="Times New Roman"/>
              <w:color w:val="333333"/>
              <w:sz w:val="24"/>
              <w:szCs w:val="24"/>
            </w:rPr>
            <w:fldChar w:fldCharType="end"/>
          </w:r>
        </w:sdtContent>
      </w:sdt>
      <w:r w:rsidRPr="000E5BD7">
        <w:rPr>
          <w:rFonts w:ascii="Times New Roman" w:hAnsi="Times New Roman" w:cs="Times New Roman"/>
          <w:color w:val="333333"/>
          <w:sz w:val="24"/>
          <w:szCs w:val="24"/>
        </w:rPr>
        <w:t>. Researchers should be aware of the emotive effects of sensitive qualitative research on all who play a part within the research process</w:t>
      </w:r>
      <w:sdt>
        <w:sdtPr>
          <w:rPr>
            <w:rFonts w:ascii="Times New Roman" w:hAnsi="Times New Roman" w:cs="Times New Roman"/>
            <w:color w:val="333333"/>
            <w:sz w:val="24"/>
            <w:szCs w:val="24"/>
          </w:rPr>
          <w:id w:val="-89243138"/>
          <w:citation/>
        </w:sdtPr>
        <w:sdtEndPr/>
        <w:sdtContent>
          <w:r w:rsidRPr="000E5BD7">
            <w:rPr>
              <w:rFonts w:ascii="Times New Roman" w:hAnsi="Times New Roman" w:cs="Times New Roman"/>
              <w:color w:val="333333"/>
              <w:sz w:val="24"/>
              <w:szCs w:val="24"/>
            </w:rPr>
            <w:fldChar w:fldCharType="begin"/>
          </w:r>
          <w:r w:rsidRPr="000E5BD7">
            <w:rPr>
              <w:rFonts w:ascii="Times New Roman" w:hAnsi="Times New Roman" w:cs="Times New Roman"/>
              <w:color w:val="333333"/>
              <w:sz w:val="24"/>
              <w:szCs w:val="24"/>
            </w:rPr>
            <w:instrText xml:space="preserve"> CITATION Lal06 \l 1033 </w:instrText>
          </w:r>
          <w:r w:rsidRPr="000E5BD7">
            <w:rPr>
              <w:rFonts w:ascii="Times New Roman" w:hAnsi="Times New Roman" w:cs="Times New Roman"/>
              <w:color w:val="333333"/>
              <w:sz w:val="24"/>
              <w:szCs w:val="24"/>
            </w:rPr>
            <w:fldChar w:fldCharType="separate"/>
          </w:r>
          <w:r w:rsidRPr="000E5BD7">
            <w:rPr>
              <w:rFonts w:ascii="Times New Roman" w:hAnsi="Times New Roman" w:cs="Times New Roman"/>
              <w:noProof/>
              <w:color w:val="333333"/>
              <w:sz w:val="24"/>
              <w:szCs w:val="24"/>
            </w:rPr>
            <w:t xml:space="preserve"> (Lalor, et al., 2006)</w:t>
          </w:r>
          <w:r w:rsidRPr="000E5BD7">
            <w:rPr>
              <w:rFonts w:ascii="Times New Roman" w:hAnsi="Times New Roman" w:cs="Times New Roman"/>
              <w:color w:val="333333"/>
              <w:sz w:val="24"/>
              <w:szCs w:val="24"/>
            </w:rPr>
            <w:fldChar w:fldCharType="end"/>
          </w:r>
        </w:sdtContent>
      </w:sdt>
      <w:r w:rsidRPr="000E5BD7">
        <w:rPr>
          <w:rFonts w:ascii="Times New Roman" w:hAnsi="Times New Roman" w:cs="Times New Roman"/>
          <w:color w:val="333333"/>
          <w:sz w:val="24"/>
          <w:szCs w:val="24"/>
        </w:rPr>
        <w:t xml:space="preserve">,and due consideration must also be given to potential challenges which may arise during the research which could potentially include closeness to participants, self-awareness and development of emotional connections </w:t>
      </w:r>
      <w:sdt>
        <w:sdtPr>
          <w:rPr>
            <w:rFonts w:ascii="Times New Roman" w:hAnsi="Times New Roman" w:cs="Times New Roman"/>
            <w:color w:val="333333"/>
            <w:sz w:val="24"/>
            <w:szCs w:val="24"/>
          </w:rPr>
          <w:id w:val="-978075826"/>
          <w:citation/>
        </w:sdtPr>
        <w:sdtEndPr/>
        <w:sdtContent>
          <w:r w:rsidRPr="000E5BD7">
            <w:rPr>
              <w:rFonts w:ascii="Times New Roman" w:hAnsi="Times New Roman" w:cs="Times New Roman"/>
              <w:color w:val="333333"/>
              <w:sz w:val="24"/>
              <w:szCs w:val="24"/>
            </w:rPr>
            <w:fldChar w:fldCharType="begin"/>
          </w:r>
          <w:r w:rsidRPr="000E5BD7">
            <w:rPr>
              <w:rFonts w:ascii="Times New Roman" w:hAnsi="Times New Roman" w:cs="Times New Roman"/>
              <w:color w:val="333333"/>
              <w:sz w:val="24"/>
              <w:szCs w:val="24"/>
            </w:rPr>
            <w:instrText xml:space="preserve"> CITATION Row99 \l 1033 </w:instrText>
          </w:r>
          <w:r w:rsidRPr="000E5BD7">
            <w:rPr>
              <w:rFonts w:ascii="Times New Roman" w:hAnsi="Times New Roman" w:cs="Times New Roman"/>
              <w:color w:val="333333"/>
              <w:sz w:val="24"/>
              <w:szCs w:val="24"/>
            </w:rPr>
            <w:fldChar w:fldCharType="separate"/>
          </w:r>
          <w:r w:rsidRPr="000E5BD7">
            <w:rPr>
              <w:rFonts w:ascii="Times New Roman" w:hAnsi="Times New Roman" w:cs="Times New Roman"/>
              <w:noProof/>
              <w:color w:val="333333"/>
              <w:sz w:val="24"/>
              <w:szCs w:val="24"/>
            </w:rPr>
            <w:t>(Rowling, 1999)</w:t>
          </w:r>
          <w:r w:rsidRPr="000E5BD7">
            <w:rPr>
              <w:rFonts w:ascii="Times New Roman" w:hAnsi="Times New Roman" w:cs="Times New Roman"/>
              <w:color w:val="333333"/>
              <w:sz w:val="24"/>
              <w:szCs w:val="24"/>
            </w:rPr>
            <w:fldChar w:fldCharType="end"/>
          </w:r>
        </w:sdtContent>
      </w:sdt>
      <w:r w:rsidRPr="000E5BD7">
        <w:rPr>
          <w:rFonts w:ascii="Times New Roman" w:hAnsi="Times New Roman" w:cs="Times New Roman"/>
          <w:color w:val="333333"/>
          <w:sz w:val="24"/>
          <w:szCs w:val="24"/>
        </w:rPr>
        <w:t xml:space="preserve">. In order to ensure that the potential emotional needs of both the participants and researchers are met in an ethically suitable way strategies will be implemented based upon sound research. Self-care methods such as diary keeping and asking participants to describe their experiences of taking part can potentially protect the emotional safety of the researcher </w:t>
      </w:r>
      <w:sdt>
        <w:sdtPr>
          <w:rPr>
            <w:rFonts w:ascii="Times New Roman" w:hAnsi="Times New Roman" w:cs="Times New Roman"/>
            <w:color w:val="333333"/>
            <w:sz w:val="24"/>
            <w:szCs w:val="24"/>
          </w:rPr>
          <w:id w:val="-1940987666"/>
          <w:citation/>
        </w:sdtPr>
        <w:sdtEndPr/>
        <w:sdtContent>
          <w:r w:rsidRPr="000E5BD7">
            <w:rPr>
              <w:rFonts w:ascii="Times New Roman" w:hAnsi="Times New Roman" w:cs="Times New Roman"/>
              <w:color w:val="333333"/>
              <w:sz w:val="24"/>
              <w:szCs w:val="24"/>
            </w:rPr>
            <w:fldChar w:fldCharType="begin"/>
          </w:r>
          <w:r w:rsidRPr="000E5BD7">
            <w:rPr>
              <w:rFonts w:ascii="Times New Roman" w:hAnsi="Times New Roman" w:cs="Times New Roman"/>
              <w:color w:val="333333"/>
              <w:sz w:val="24"/>
              <w:szCs w:val="24"/>
            </w:rPr>
            <w:instrText xml:space="preserve"> CITATION Rag05 \l 1033 </w:instrText>
          </w:r>
          <w:r w:rsidRPr="000E5BD7">
            <w:rPr>
              <w:rFonts w:ascii="Times New Roman" w:hAnsi="Times New Roman" w:cs="Times New Roman"/>
              <w:color w:val="333333"/>
              <w:sz w:val="24"/>
              <w:szCs w:val="24"/>
            </w:rPr>
            <w:fldChar w:fldCharType="separate"/>
          </w:r>
          <w:r w:rsidRPr="000E5BD7">
            <w:rPr>
              <w:rFonts w:ascii="Times New Roman" w:hAnsi="Times New Roman" w:cs="Times New Roman"/>
              <w:noProof/>
              <w:color w:val="333333"/>
              <w:sz w:val="24"/>
              <w:szCs w:val="24"/>
            </w:rPr>
            <w:t>(Rager, 2005)</w:t>
          </w:r>
          <w:r w:rsidRPr="000E5BD7">
            <w:rPr>
              <w:rFonts w:ascii="Times New Roman" w:hAnsi="Times New Roman" w:cs="Times New Roman"/>
              <w:color w:val="333333"/>
              <w:sz w:val="24"/>
              <w:szCs w:val="24"/>
            </w:rPr>
            <w:fldChar w:fldCharType="end"/>
          </w:r>
        </w:sdtContent>
      </w:sdt>
      <w:r w:rsidRPr="000E5BD7">
        <w:rPr>
          <w:rFonts w:ascii="Times New Roman" w:hAnsi="Times New Roman" w:cs="Times New Roman"/>
          <w:color w:val="333333"/>
          <w:sz w:val="24"/>
          <w:szCs w:val="24"/>
        </w:rPr>
        <w:t xml:space="preserve">. </w:t>
      </w:r>
      <w:r w:rsidRPr="000E5BD7">
        <w:rPr>
          <w:rFonts w:ascii="Times New Roman" w:hAnsi="Times New Roman" w:cs="Times New Roman"/>
          <w:sz w:val="24"/>
          <w:szCs w:val="24"/>
        </w:rPr>
        <w:t xml:space="preserve">Cook and </w:t>
      </w:r>
      <w:proofErr w:type="spellStart"/>
      <w:r w:rsidRPr="000E5BD7">
        <w:rPr>
          <w:rFonts w:ascii="Times New Roman" w:hAnsi="Times New Roman" w:cs="Times New Roman"/>
          <w:sz w:val="24"/>
          <w:szCs w:val="24"/>
        </w:rPr>
        <w:t>Bosley</w:t>
      </w:r>
      <w:proofErr w:type="spellEnd"/>
      <w:r w:rsidRPr="000E5BD7">
        <w:rPr>
          <w:rFonts w:ascii="Times New Roman" w:hAnsi="Times New Roman" w:cs="Times New Roman"/>
          <w:sz w:val="24"/>
          <w:szCs w:val="24"/>
        </w:rPr>
        <w:t xml:space="preserve"> (1995) have suggested that a strategy for diminishing the impact of the emotionality of qualitative research is to allow a considerable amount of time between interviews allowing for those involved to have an opportunity to process the information that has been received. Johnson and Clarke (2003) propose that one way to minimize harm to the researcher is through reciprocity with participants through providing relevant information to their current needs.</w:t>
      </w:r>
      <w:r w:rsidRPr="000E5BD7">
        <w:rPr>
          <w:rFonts w:ascii="Times New Roman" w:hAnsi="Times New Roman" w:cs="Times New Roman"/>
          <w:color w:val="333333"/>
          <w:sz w:val="24"/>
          <w:szCs w:val="24"/>
        </w:rPr>
        <w:t xml:space="preserve"> </w:t>
      </w:r>
      <w:proofErr w:type="gramStart"/>
      <w:r w:rsidRPr="000E5BD7">
        <w:rPr>
          <w:rFonts w:ascii="Times New Roman" w:hAnsi="Times New Roman" w:cs="Times New Roman"/>
          <w:color w:val="333333"/>
          <w:sz w:val="24"/>
          <w:szCs w:val="24"/>
        </w:rPr>
        <w:t>All of</w:t>
      </w:r>
      <w:proofErr w:type="gramEnd"/>
      <w:r w:rsidRPr="000E5BD7">
        <w:rPr>
          <w:rFonts w:ascii="Times New Roman" w:hAnsi="Times New Roman" w:cs="Times New Roman"/>
          <w:color w:val="333333"/>
          <w:sz w:val="24"/>
          <w:szCs w:val="24"/>
        </w:rPr>
        <w:t xml:space="preserve"> these strategies will be given </w:t>
      </w:r>
      <w:r w:rsidRPr="000E5BD7">
        <w:rPr>
          <w:rFonts w:ascii="Times New Roman" w:hAnsi="Times New Roman" w:cs="Times New Roman"/>
          <w:color w:val="333333"/>
          <w:sz w:val="24"/>
          <w:szCs w:val="24"/>
        </w:rPr>
        <w:lastRenderedPageBreak/>
        <w:t xml:space="preserve">due consideration and potentially be applied dependent upon the needs of the participants and researchers once the proposed research begins. </w:t>
      </w:r>
    </w:p>
    <w:p w14:paraId="56C3C15C" w14:textId="199A228A" w:rsidR="000E5BD7" w:rsidRDefault="000E5BD7" w:rsidP="000E5BD7">
      <w:pPr>
        <w:pStyle w:val="ListBullet"/>
        <w:numPr>
          <w:ilvl w:val="0"/>
          <w:numId w:val="0"/>
        </w:numPr>
        <w:rPr>
          <w:rFonts w:ascii="Times New Roman" w:hAnsi="Times New Roman" w:cs="Times New Roman"/>
          <w:color w:val="333333"/>
          <w:sz w:val="24"/>
          <w:szCs w:val="24"/>
        </w:rPr>
      </w:pPr>
      <w:r w:rsidRPr="000E5BD7">
        <w:rPr>
          <w:rFonts w:ascii="Times New Roman" w:hAnsi="Times New Roman" w:cs="Times New Roman"/>
          <w:color w:val="333333"/>
          <w:sz w:val="24"/>
          <w:szCs w:val="24"/>
        </w:rPr>
        <w:t>With these amendments made to the original ethics proposed, a strong ethical position should be provided for the proposed research project allowing for the research proposal to be approved upon ethical grounds.</w:t>
      </w:r>
    </w:p>
    <w:p w14:paraId="492BBE88" w14:textId="2E393C4D" w:rsidR="00505F12" w:rsidRDefault="00505F12" w:rsidP="000E5BD7">
      <w:pPr>
        <w:pStyle w:val="ListBullet"/>
        <w:numPr>
          <w:ilvl w:val="0"/>
          <w:numId w:val="0"/>
        </w:numPr>
        <w:rPr>
          <w:rFonts w:ascii="Times New Roman" w:hAnsi="Times New Roman" w:cs="Times New Roman"/>
          <w:color w:val="333333"/>
          <w:sz w:val="24"/>
          <w:szCs w:val="24"/>
        </w:rPr>
      </w:pPr>
    </w:p>
    <w:sdt>
      <w:sdtPr>
        <w:id w:val="-1843692692"/>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14:paraId="529CB525" w14:textId="00002192" w:rsidR="00505F12" w:rsidRDefault="00505F12">
          <w:pPr>
            <w:pStyle w:val="Heading1"/>
          </w:pPr>
          <w:r>
            <w:t>References</w:t>
          </w:r>
        </w:p>
        <w:sdt>
          <w:sdtPr>
            <w:id w:val="-573587230"/>
            <w:bibliography/>
          </w:sdtPr>
          <w:sdtContent>
            <w:p w14:paraId="5EC3A5EB" w14:textId="77777777" w:rsidR="00505F12" w:rsidRDefault="00505F12" w:rsidP="00505F12">
              <w:pPr>
                <w:pStyle w:val="Bibliography"/>
                <w:rPr>
                  <w:noProof/>
                  <w:sz w:val="24"/>
                  <w:szCs w:val="24"/>
                </w:rPr>
              </w:pPr>
              <w:r>
                <w:fldChar w:fldCharType="begin"/>
              </w:r>
              <w:r>
                <w:instrText xml:space="preserve"> BIBLIOGRAPHY </w:instrText>
              </w:r>
              <w:r>
                <w:fldChar w:fldCharType="separate"/>
              </w:r>
              <w:r>
                <w:rPr>
                  <w:noProof/>
                </w:rPr>
                <w:t xml:space="preserve">Bondi, L., 2005. The Place of Emotions in Research: From Partitioning Emotion and Reason to the Emotional Dynamics of Research Relationships. In: J. Davidson, L. Bondi &amp; M. Smith, eds. </w:t>
              </w:r>
              <w:r>
                <w:rPr>
                  <w:i/>
                  <w:iCs/>
                  <w:noProof/>
                </w:rPr>
                <w:t xml:space="preserve">Emotional Geographies. </w:t>
              </w:r>
              <w:r>
                <w:rPr>
                  <w:noProof/>
                </w:rPr>
                <w:t>s.l.:Ashgate, pp. 231-243.</w:t>
              </w:r>
            </w:p>
            <w:p w14:paraId="12C1091B" w14:textId="77777777" w:rsidR="00505F12" w:rsidRDefault="00505F12" w:rsidP="00505F12">
              <w:pPr>
                <w:pStyle w:val="Bibliography"/>
                <w:rPr>
                  <w:noProof/>
                </w:rPr>
              </w:pPr>
              <w:r>
                <w:rPr>
                  <w:noProof/>
                </w:rPr>
                <w:t xml:space="preserve">Brookfield, S., 2009. The concept of critical reflection: promises and contradictions. </w:t>
              </w:r>
              <w:r>
                <w:rPr>
                  <w:i/>
                  <w:iCs/>
                  <w:noProof/>
                </w:rPr>
                <w:t xml:space="preserve">European Journal of Social Work, </w:t>
              </w:r>
              <w:r>
                <w:rPr>
                  <w:noProof/>
                </w:rPr>
                <w:t>12(3), pp. 293-304.</w:t>
              </w:r>
            </w:p>
            <w:p w14:paraId="12871765" w14:textId="77777777" w:rsidR="00505F12" w:rsidRDefault="00505F12" w:rsidP="00505F12">
              <w:pPr>
                <w:pStyle w:val="Bibliography"/>
                <w:rPr>
                  <w:noProof/>
                </w:rPr>
              </w:pPr>
              <w:r>
                <w:rPr>
                  <w:noProof/>
                </w:rPr>
                <w:t xml:space="preserve">Cook, A. &amp; Bosley, G., 1995. The experience of participating in bereavement research.. </w:t>
              </w:r>
              <w:r>
                <w:rPr>
                  <w:i/>
                  <w:iCs/>
                  <w:noProof/>
                </w:rPr>
                <w:t xml:space="preserve">Death Studies, </w:t>
              </w:r>
              <w:r>
                <w:rPr>
                  <w:noProof/>
                </w:rPr>
                <w:t>Volume 19, pp. 157-170.</w:t>
              </w:r>
            </w:p>
            <w:p w14:paraId="63993536" w14:textId="77777777" w:rsidR="00505F12" w:rsidRDefault="00505F12" w:rsidP="00505F12">
              <w:pPr>
                <w:pStyle w:val="Bibliography"/>
                <w:rPr>
                  <w:noProof/>
                </w:rPr>
              </w:pPr>
              <w:r>
                <w:rPr>
                  <w:noProof/>
                </w:rPr>
                <w:t xml:space="preserve">Johnson, B. &amp; Clarke, J., 2003. Collecting sensitive data: the impact on researchers.. </w:t>
              </w:r>
              <w:r>
                <w:rPr>
                  <w:i/>
                  <w:iCs/>
                  <w:noProof/>
                </w:rPr>
                <w:t xml:space="preserve">Qualitative Health Research, </w:t>
              </w:r>
              <w:r>
                <w:rPr>
                  <w:noProof/>
                </w:rPr>
                <w:t>Volume 3, pp. 421-434.</w:t>
              </w:r>
            </w:p>
            <w:p w14:paraId="079B4950" w14:textId="77777777" w:rsidR="00505F12" w:rsidRDefault="00505F12" w:rsidP="00505F12">
              <w:pPr>
                <w:pStyle w:val="Bibliography"/>
                <w:rPr>
                  <w:noProof/>
                </w:rPr>
              </w:pPr>
              <w:r>
                <w:rPr>
                  <w:noProof/>
                </w:rPr>
                <w:t xml:space="preserve">Lalor, J., Begley, C. &amp; Devane, D., 2006. Exploring painful experiences: impact of emotional narratives on members of a qualitative research team.. </w:t>
              </w:r>
              <w:r>
                <w:rPr>
                  <w:i/>
                  <w:iCs/>
                  <w:noProof/>
                </w:rPr>
                <w:t xml:space="preserve">Journal of Advanced Nursing, </w:t>
              </w:r>
              <w:r>
                <w:rPr>
                  <w:noProof/>
                </w:rPr>
                <w:t>56(6), pp. 607-616.</w:t>
              </w:r>
            </w:p>
            <w:p w14:paraId="6B583CBB" w14:textId="77777777" w:rsidR="00505F12" w:rsidRDefault="00505F12" w:rsidP="00505F12">
              <w:pPr>
                <w:pStyle w:val="Bibliography"/>
                <w:rPr>
                  <w:noProof/>
                </w:rPr>
              </w:pPr>
              <w:r>
                <w:rPr>
                  <w:noProof/>
                </w:rPr>
                <w:t xml:space="preserve">Rager, K., 2005. Compassion stress and the qualitative researcher.. </w:t>
              </w:r>
              <w:r>
                <w:rPr>
                  <w:i/>
                  <w:iCs/>
                  <w:noProof/>
                </w:rPr>
                <w:t xml:space="preserve">Qualitative Health Research, </w:t>
              </w:r>
              <w:r>
                <w:rPr>
                  <w:noProof/>
                </w:rPr>
                <w:t>15(3), pp. 423-430.</w:t>
              </w:r>
            </w:p>
            <w:p w14:paraId="331EB464" w14:textId="77777777" w:rsidR="00505F12" w:rsidRDefault="00505F12" w:rsidP="00505F12">
              <w:pPr>
                <w:pStyle w:val="Bibliography"/>
                <w:rPr>
                  <w:noProof/>
                </w:rPr>
              </w:pPr>
              <w:r>
                <w:rPr>
                  <w:noProof/>
                </w:rPr>
                <w:t xml:space="preserve">Rowling, L., 1999. Being in, beingout, being with: affect and the role of the qualitative researcher in loss and grief research.. </w:t>
              </w:r>
              <w:r>
                <w:rPr>
                  <w:i/>
                  <w:iCs/>
                  <w:noProof/>
                </w:rPr>
                <w:t xml:space="preserve">Mortality, </w:t>
              </w:r>
              <w:r>
                <w:rPr>
                  <w:noProof/>
                </w:rPr>
                <w:t>4(2), pp. 167-182.</w:t>
              </w:r>
            </w:p>
            <w:p w14:paraId="60DE1E7C" w14:textId="2E1BEA81" w:rsidR="00505F12" w:rsidRDefault="00505F12" w:rsidP="00505F12">
              <w:r>
                <w:rPr>
                  <w:b/>
                  <w:bCs/>
                  <w:noProof/>
                </w:rPr>
                <w:fldChar w:fldCharType="end"/>
              </w:r>
            </w:p>
          </w:sdtContent>
        </w:sdt>
      </w:sdtContent>
    </w:sdt>
    <w:p w14:paraId="64CB2818" w14:textId="77777777" w:rsidR="00505F12" w:rsidRPr="000E5BD7" w:rsidRDefault="00505F12" w:rsidP="000E5BD7">
      <w:pPr>
        <w:pStyle w:val="ListBullet"/>
        <w:numPr>
          <w:ilvl w:val="0"/>
          <w:numId w:val="0"/>
        </w:numPr>
        <w:rPr>
          <w:rFonts w:ascii="Times New Roman" w:hAnsi="Times New Roman" w:cs="Times New Roman"/>
          <w:sz w:val="24"/>
          <w:szCs w:val="24"/>
        </w:rPr>
      </w:pPr>
      <w:bookmarkStart w:id="5" w:name="_GoBack"/>
      <w:bookmarkEnd w:id="5"/>
    </w:p>
    <w:p w14:paraId="15192B37" w14:textId="690891B3" w:rsidR="003E59BE" w:rsidRDefault="003E59BE" w:rsidP="00392DB2">
      <w:pPr>
        <w:rPr>
          <w:rFonts w:ascii="Arial" w:hAnsi="Arial" w:cs="Arial"/>
          <w:color w:val="333333"/>
          <w:sz w:val="26"/>
          <w:szCs w:val="26"/>
        </w:rPr>
      </w:pPr>
    </w:p>
    <w:p w14:paraId="0B067DEC" w14:textId="77F260AE" w:rsidR="002C74C0" w:rsidRDefault="009D5B63" w:rsidP="00392DB2"/>
    <w:sectPr w:rsidR="002C74C0">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50C1E4" w14:textId="77777777" w:rsidR="00392DB2" w:rsidRDefault="00392DB2" w:rsidP="00C6554A">
      <w:pPr>
        <w:spacing w:before="0" w:after="0" w:line="240" w:lineRule="auto"/>
      </w:pPr>
      <w:r>
        <w:separator/>
      </w:r>
    </w:p>
  </w:endnote>
  <w:endnote w:type="continuationSeparator" w:id="0">
    <w:p w14:paraId="242964A3" w14:textId="77777777" w:rsidR="00392DB2" w:rsidRDefault="00392DB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A89A18"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D77695" w14:textId="77777777" w:rsidR="00392DB2" w:rsidRDefault="00392DB2" w:rsidP="00C6554A">
      <w:pPr>
        <w:spacing w:before="0" w:after="0" w:line="240" w:lineRule="auto"/>
      </w:pPr>
      <w:r>
        <w:separator/>
      </w:r>
    </w:p>
  </w:footnote>
  <w:footnote w:type="continuationSeparator" w:id="0">
    <w:p w14:paraId="4A170720" w14:textId="77777777" w:rsidR="00392DB2" w:rsidRDefault="00392DB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DB2"/>
    <w:rsid w:val="00057C94"/>
    <w:rsid w:val="000C72EC"/>
    <w:rsid w:val="000E5BD7"/>
    <w:rsid w:val="001446E2"/>
    <w:rsid w:val="002554CD"/>
    <w:rsid w:val="00293B83"/>
    <w:rsid w:val="002B4294"/>
    <w:rsid w:val="00320B2D"/>
    <w:rsid w:val="00333D0D"/>
    <w:rsid w:val="00357642"/>
    <w:rsid w:val="00392DB2"/>
    <w:rsid w:val="003E59BE"/>
    <w:rsid w:val="004272DD"/>
    <w:rsid w:val="004C049F"/>
    <w:rsid w:val="005000E2"/>
    <w:rsid w:val="00505F12"/>
    <w:rsid w:val="0052723A"/>
    <w:rsid w:val="005C4AB0"/>
    <w:rsid w:val="006A3CE7"/>
    <w:rsid w:val="006F079B"/>
    <w:rsid w:val="00A2009D"/>
    <w:rsid w:val="00B451DB"/>
    <w:rsid w:val="00BC0AD9"/>
    <w:rsid w:val="00C6554A"/>
    <w:rsid w:val="00D23587"/>
    <w:rsid w:val="00D430C0"/>
    <w:rsid w:val="00ED7C44"/>
    <w:rsid w:val="00FD2ED1"/>
    <w:rsid w:val="00FE7B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1FE725C"/>
  <w15:chartTrackingRefBased/>
  <w15:docId w15:val="{42487E2C-F315-4A04-A3C5-4E8299A5A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titleheading">
    <w:name w:val="titleheading"/>
    <w:basedOn w:val="DefaultParagraphFont"/>
    <w:rsid w:val="00057C94"/>
  </w:style>
  <w:style w:type="character" w:customStyle="1" w:styleId="specialtitle">
    <w:name w:val="specialtitle"/>
    <w:basedOn w:val="DefaultParagraphFont"/>
    <w:rsid w:val="00057C94"/>
  </w:style>
  <w:style w:type="character" w:customStyle="1" w:styleId="nlmarticle-title">
    <w:name w:val="nlm_article-title"/>
    <w:basedOn w:val="DefaultParagraphFont"/>
    <w:rsid w:val="005C4AB0"/>
  </w:style>
  <w:style w:type="character" w:customStyle="1" w:styleId="contribdegrees">
    <w:name w:val="contribdegrees"/>
    <w:basedOn w:val="DefaultParagraphFont"/>
    <w:rsid w:val="005C4AB0"/>
  </w:style>
  <w:style w:type="paragraph" w:styleId="Bibliography">
    <w:name w:val="Bibliography"/>
    <w:basedOn w:val="Normal"/>
    <w:next w:val="Normal"/>
    <w:uiPriority w:val="37"/>
    <w:unhideWhenUsed/>
    <w:rsid w:val="00505F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461357">
      <w:bodyDiv w:val="1"/>
      <w:marLeft w:val="0"/>
      <w:marRight w:val="0"/>
      <w:marTop w:val="0"/>
      <w:marBottom w:val="0"/>
      <w:divBdr>
        <w:top w:val="none" w:sz="0" w:space="0" w:color="auto"/>
        <w:left w:val="none" w:sz="0" w:space="0" w:color="auto"/>
        <w:bottom w:val="none" w:sz="0" w:space="0" w:color="auto"/>
        <w:right w:val="none" w:sz="0" w:space="0" w:color="auto"/>
      </w:divBdr>
    </w:div>
    <w:div w:id="332417831">
      <w:bodyDiv w:val="1"/>
      <w:marLeft w:val="0"/>
      <w:marRight w:val="0"/>
      <w:marTop w:val="0"/>
      <w:marBottom w:val="0"/>
      <w:divBdr>
        <w:top w:val="none" w:sz="0" w:space="0" w:color="auto"/>
        <w:left w:val="none" w:sz="0" w:space="0" w:color="auto"/>
        <w:bottom w:val="none" w:sz="0" w:space="0" w:color="auto"/>
        <w:right w:val="none" w:sz="0" w:space="0" w:color="auto"/>
      </w:divBdr>
    </w:div>
    <w:div w:id="358705895">
      <w:bodyDiv w:val="1"/>
      <w:marLeft w:val="0"/>
      <w:marRight w:val="0"/>
      <w:marTop w:val="0"/>
      <w:marBottom w:val="0"/>
      <w:divBdr>
        <w:top w:val="none" w:sz="0" w:space="0" w:color="auto"/>
        <w:left w:val="none" w:sz="0" w:space="0" w:color="auto"/>
        <w:bottom w:val="none" w:sz="0" w:space="0" w:color="auto"/>
        <w:right w:val="none" w:sz="0" w:space="0" w:color="auto"/>
      </w:divBdr>
    </w:div>
    <w:div w:id="647324844">
      <w:bodyDiv w:val="1"/>
      <w:marLeft w:val="0"/>
      <w:marRight w:val="0"/>
      <w:marTop w:val="0"/>
      <w:marBottom w:val="0"/>
      <w:divBdr>
        <w:top w:val="none" w:sz="0" w:space="0" w:color="auto"/>
        <w:left w:val="none" w:sz="0" w:space="0" w:color="auto"/>
        <w:bottom w:val="none" w:sz="0" w:space="0" w:color="auto"/>
        <w:right w:val="none" w:sz="0" w:space="0" w:color="auto"/>
      </w:divBdr>
    </w:div>
    <w:div w:id="812874573">
      <w:bodyDiv w:val="1"/>
      <w:marLeft w:val="0"/>
      <w:marRight w:val="0"/>
      <w:marTop w:val="0"/>
      <w:marBottom w:val="0"/>
      <w:divBdr>
        <w:top w:val="none" w:sz="0" w:space="0" w:color="auto"/>
        <w:left w:val="none" w:sz="0" w:space="0" w:color="auto"/>
        <w:bottom w:val="none" w:sz="0" w:space="0" w:color="auto"/>
        <w:right w:val="none" w:sz="0" w:space="0" w:color="auto"/>
      </w:divBdr>
      <w:divsChild>
        <w:div w:id="889609127">
          <w:marLeft w:val="0"/>
          <w:marRight w:val="0"/>
          <w:marTop w:val="0"/>
          <w:marBottom w:val="0"/>
          <w:divBdr>
            <w:top w:val="none" w:sz="0" w:space="0" w:color="auto"/>
            <w:left w:val="none" w:sz="0" w:space="0" w:color="auto"/>
            <w:bottom w:val="none" w:sz="0" w:space="0" w:color="auto"/>
            <w:right w:val="none" w:sz="0" w:space="0" w:color="auto"/>
          </w:divBdr>
          <w:divsChild>
            <w:div w:id="25719103">
              <w:marLeft w:val="0"/>
              <w:marRight w:val="0"/>
              <w:marTop w:val="0"/>
              <w:marBottom w:val="0"/>
              <w:divBdr>
                <w:top w:val="none" w:sz="0" w:space="0" w:color="auto"/>
                <w:left w:val="none" w:sz="0" w:space="0" w:color="auto"/>
                <w:bottom w:val="none" w:sz="0" w:space="0" w:color="auto"/>
                <w:right w:val="none" w:sz="0" w:space="0" w:color="auto"/>
              </w:divBdr>
              <w:divsChild>
                <w:div w:id="359358644">
                  <w:marLeft w:val="0"/>
                  <w:marRight w:val="0"/>
                  <w:marTop w:val="0"/>
                  <w:marBottom w:val="0"/>
                  <w:divBdr>
                    <w:top w:val="none" w:sz="0" w:space="0" w:color="auto"/>
                    <w:left w:val="none" w:sz="0" w:space="0" w:color="auto"/>
                    <w:bottom w:val="none" w:sz="0" w:space="0" w:color="auto"/>
                    <w:right w:val="none" w:sz="0" w:space="0" w:color="auto"/>
                  </w:divBdr>
                  <w:divsChild>
                    <w:div w:id="88344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706791">
          <w:marLeft w:val="0"/>
          <w:marRight w:val="0"/>
          <w:marTop w:val="0"/>
          <w:marBottom w:val="0"/>
          <w:divBdr>
            <w:top w:val="none" w:sz="0" w:space="0" w:color="auto"/>
            <w:left w:val="none" w:sz="0" w:space="0" w:color="auto"/>
            <w:bottom w:val="none" w:sz="0" w:space="0" w:color="auto"/>
            <w:right w:val="none" w:sz="0" w:space="0" w:color="auto"/>
          </w:divBdr>
          <w:divsChild>
            <w:div w:id="404303977">
              <w:marLeft w:val="0"/>
              <w:marRight w:val="0"/>
              <w:marTop w:val="0"/>
              <w:marBottom w:val="0"/>
              <w:divBdr>
                <w:top w:val="none" w:sz="0" w:space="0" w:color="auto"/>
                <w:left w:val="none" w:sz="0" w:space="0" w:color="auto"/>
                <w:bottom w:val="none" w:sz="0" w:space="0" w:color="auto"/>
                <w:right w:val="none" w:sz="0" w:space="0" w:color="auto"/>
              </w:divBdr>
              <w:divsChild>
                <w:div w:id="269315337">
                  <w:marLeft w:val="0"/>
                  <w:marRight w:val="0"/>
                  <w:marTop w:val="0"/>
                  <w:marBottom w:val="0"/>
                  <w:divBdr>
                    <w:top w:val="none" w:sz="0" w:space="0" w:color="auto"/>
                    <w:left w:val="none" w:sz="0" w:space="0" w:color="auto"/>
                    <w:bottom w:val="none" w:sz="0" w:space="0" w:color="auto"/>
                    <w:right w:val="none" w:sz="0" w:space="0" w:color="auto"/>
                  </w:divBdr>
                  <w:divsChild>
                    <w:div w:id="1434470155">
                      <w:marLeft w:val="0"/>
                      <w:marRight w:val="0"/>
                      <w:marTop w:val="0"/>
                      <w:marBottom w:val="0"/>
                      <w:divBdr>
                        <w:top w:val="none" w:sz="0" w:space="0" w:color="auto"/>
                        <w:left w:val="none" w:sz="0" w:space="0" w:color="auto"/>
                        <w:bottom w:val="none" w:sz="0" w:space="0" w:color="auto"/>
                        <w:right w:val="none" w:sz="0" w:space="0" w:color="auto"/>
                      </w:divBdr>
                      <w:divsChild>
                        <w:div w:id="9190203">
                          <w:marLeft w:val="0"/>
                          <w:marRight w:val="0"/>
                          <w:marTop w:val="0"/>
                          <w:marBottom w:val="0"/>
                          <w:divBdr>
                            <w:top w:val="none" w:sz="0" w:space="0" w:color="auto"/>
                            <w:left w:val="none" w:sz="0" w:space="0" w:color="auto"/>
                            <w:bottom w:val="none" w:sz="0" w:space="0" w:color="auto"/>
                            <w:right w:val="none" w:sz="0" w:space="0" w:color="auto"/>
                          </w:divBdr>
                          <w:divsChild>
                            <w:div w:id="1542743991">
                              <w:marLeft w:val="0"/>
                              <w:marRight w:val="0"/>
                              <w:marTop w:val="0"/>
                              <w:marBottom w:val="0"/>
                              <w:divBdr>
                                <w:top w:val="none" w:sz="0" w:space="0" w:color="auto"/>
                                <w:left w:val="none" w:sz="0" w:space="0" w:color="auto"/>
                                <w:bottom w:val="none" w:sz="0" w:space="0" w:color="auto"/>
                                <w:right w:val="none" w:sz="0" w:space="0" w:color="auto"/>
                              </w:divBdr>
                              <w:divsChild>
                                <w:div w:id="81529899">
                                  <w:marLeft w:val="0"/>
                                  <w:marRight w:val="0"/>
                                  <w:marTop w:val="0"/>
                                  <w:marBottom w:val="0"/>
                                  <w:divBdr>
                                    <w:top w:val="none" w:sz="0" w:space="0" w:color="auto"/>
                                    <w:left w:val="none" w:sz="0" w:space="0" w:color="auto"/>
                                    <w:bottom w:val="none" w:sz="0" w:space="0" w:color="auto"/>
                                    <w:right w:val="none" w:sz="0" w:space="0" w:color="auto"/>
                                  </w:divBdr>
                                  <w:divsChild>
                                    <w:div w:id="18942997">
                                      <w:marLeft w:val="0"/>
                                      <w:marRight w:val="0"/>
                                      <w:marTop w:val="0"/>
                                      <w:marBottom w:val="0"/>
                                      <w:divBdr>
                                        <w:top w:val="none" w:sz="0" w:space="0" w:color="auto"/>
                                        <w:left w:val="none" w:sz="0" w:space="0" w:color="auto"/>
                                        <w:bottom w:val="none" w:sz="0" w:space="0" w:color="auto"/>
                                        <w:right w:val="none" w:sz="0" w:space="0" w:color="auto"/>
                                      </w:divBdr>
                                      <w:divsChild>
                                        <w:div w:id="104780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07617667">
      <w:bodyDiv w:val="1"/>
      <w:marLeft w:val="0"/>
      <w:marRight w:val="0"/>
      <w:marTop w:val="0"/>
      <w:marBottom w:val="0"/>
      <w:divBdr>
        <w:top w:val="none" w:sz="0" w:space="0" w:color="auto"/>
        <w:left w:val="none" w:sz="0" w:space="0" w:color="auto"/>
        <w:bottom w:val="none" w:sz="0" w:space="0" w:color="auto"/>
        <w:right w:val="none" w:sz="0" w:space="0" w:color="auto"/>
      </w:divBdr>
    </w:div>
    <w:div w:id="1068961271">
      <w:bodyDiv w:val="1"/>
      <w:marLeft w:val="0"/>
      <w:marRight w:val="0"/>
      <w:marTop w:val="0"/>
      <w:marBottom w:val="0"/>
      <w:divBdr>
        <w:top w:val="none" w:sz="0" w:space="0" w:color="auto"/>
        <w:left w:val="none" w:sz="0" w:space="0" w:color="auto"/>
        <w:bottom w:val="none" w:sz="0" w:space="0" w:color="auto"/>
        <w:right w:val="none" w:sz="0" w:space="0" w:color="auto"/>
      </w:divBdr>
    </w:div>
    <w:div w:id="1145246113">
      <w:bodyDiv w:val="1"/>
      <w:marLeft w:val="0"/>
      <w:marRight w:val="0"/>
      <w:marTop w:val="0"/>
      <w:marBottom w:val="0"/>
      <w:divBdr>
        <w:top w:val="none" w:sz="0" w:space="0" w:color="auto"/>
        <w:left w:val="none" w:sz="0" w:space="0" w:color="auto"/>
        <w:bottom w:val="none" w:sz="0" w:space="0" w:color="auto"/>
        <w:right w:val="none" w:sz="0" w:space="0" w:color="auto"/>
      </w:divBdr>
    </w:div>
    <w:div w:id="1369646628">
      <w:bodyDiv w:val="1"/>
      <w:marLeft w:val="0"/>
      <w:marRight w:val="0"/>
      <w:marTop w:val="0"/>
      <w:marBottom w:val="0"/>
      <w:divBdr>
        <w:top w:val="none" w:sz="0" w:space="0" w:color="auto"/>
        <w:left w:val="none" w:sz="0" w:space="0" w:color="auto"/>
        <w:bottom w:val="none" w:sz="0" w:space="0" w:color="auto"/>
        <w:right w:val="none" w:sz="0" w:space="0" w:color="auto"/>
      </w:divBdr>
    </w:div>
    <w:div w:id="1574661975">
      <w:bodyDiv w:val="1"/>
      <w:marLeft w:val="0"/>
      <w:marRight w:val="0"/>
      <w:marTop w:val="0"/>
      <w:marBottom w:val="0"/>
      <w:divBdr>
        <w:top w:val="none" w:sz="0" w:space="0" w:color="auto"/>
        <w:left w:val="none" w:sz="0" w:space="0" w:color="auto"/>
        <w:bottom w:val="none" w:sz="0" w:space="0" w:color="auto"/>
        <w:right w:val="none" w:sz="0" w:space="0" w:color="auto"/>
      </w:divBdr>
    </w:div>
    <w:div w:id="1589074062">
      <w:bodyDiv w:val="1"/>
      <w:marLeft w:val="0"/>
      <w:marRight w:val="0"/>
      <w:marTop w:val="0"/>
      <w:marBottom w:val="0"/>
      <w:divBdr>
        <w:top w:val="none" w:sz="0" w:space="0" w:color="auto"/>
        <w:left w:val="none" w:sz="0" w:space="0" w:color="auto"/>
        <w:bottom w:val="none" w:sz="0" w:space="0" w:color="auto"/>
        <w:right w:val="none" w:sz="0" w:space="0" w:color="auto"/>
      </w:divBdr>
    </w:div>
    <w:div w:id="1886522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ck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3" ma:contentTypeDescription="Create a new document." ma:contentTypeScope="" ma:versionID="7859605afc282882335a10599c1852ee">
  <xsd:schema xmlns:xsd="http://www.w3.org/2001/XMLSchema" xmlns:xs="http://www.w3.org/2001/XMLSchema" xmlns:p="http://schemas.microsoft.com/office/2006/metadata/properties" xmlns:ns3="7ac54d59-15ae-468f-8833-3c6b8f4d3013" targetNamespace="http://schemas.microsoft.com/office/2006/metadata/properties" ma:root="true" ma:fieldsID="b1628131854ca02892f98da07f108830" ns3:_="">
    <xsd:import namespace="7ac54d59-15ae-468f-8833-3c6b8f4d3013"/>
    <xsd:element name="properties">
      <xsd:complexType>
        <xsd:sequence>
          <xsd:element name="documentManagement">
            <xsd:complexType>
              <xsd:all>
                <xsd:element ref="ns3:MediaServiceMetadata" minOccurs="0"/>
                <xsd:element ref="ns3:MediaServiceFastMetadata"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Bro09</b:Tag>
    <b:SourceType>JournalArticle</b:SourceType>
    <b:Guid>{B592F539-FFE1-4A18-8C23-C1EA5F02F861}</b:Guid>
    <b:Title>The concept of critical reflection: promises and contradictions</b:Title>
    <b:Year>2009</b:Year>
    <b:Author>
      <b:Author>
        <b:NameList>
          <b:Person>
            <b:Last>Brookfield</b:Last>
            <b:First>S.</b:First>
          </b:Person>
        </b:NameList>
      </b:Author>
    </b:Author>
    <b:JournalName>European Journal of Social Work</b:JournalName>
    <b:Pages>293-304</b:Pages>
    <b:Volume>12</b:Volume>
    <b:Issue>3</b:Issue>
    <b:RefOrder>1</b:RefOrder>
  </b:Source>
  <b:Source>
    <b:Tag>Bon05</b:Tag>
    <b:SourceType>BookSection</b:SourceType>
    <b:Guid>{A282CE18-473C-453D-AED6-0A0B30A6BB2E}</b:Guid>
    <b:Title>The Place of Emotions in Research: From Partitioning Emotion and Reason to the Emotional Dynamics of Research Relationships</b:Title>
    <b:Year>2005</b:Year>
    <b:Pages>231-243</b:Pages>
    <b:Author>
      <b:Author>
        <b:NameList>
          <b:Person>
            <b:Last>Bondi</b:Last>
            <b:First>L.</b:First>
          </b:Person>
        </b:NameList>
      </b:Author>
      <b:Editor>
        <b:NameList>
          <b:Person>
            <b:Last>Davidson</b:Last>
            <b:First>J.</b:First>
          </b:Person>
          <b:Person>
            <b:Last>Bondi</b:Last>
            <b:First>L.</b:First>
          </b:Person>
          <b:Person>
            <b:Last>Smith</b:Last>
            <b:First>M.</b:First>
          </b:Person>
        </b:NameList>
      </b:Editor>
    </b:Author>
    <b:BookTitle>Emotional Geographies</b:BookTitle>
    <b:Publisher>Ashgate</b:Publisher>
    <b:RefOrder>2</b:RefOrder>
  </b:Source>
  <b:Source>
    <b:Tag>Lal06</b:Tag>
    <b:SourceType>JournalArticle</b:SourceType>
    <b:Guid>{DC7FB66E-6769-409B-862C-2B6AF25EED26}</b:Guid>
    <b:Title>Exploring painful experiences: impact of emotional narratives on members of a qualitative research team.</b:Title>
    <b:Year>2006</b:Year>
    <b:Pages>607-616</b:Pages>
    <b:Author>
      <b:Author>
        <b:NameList>
          <b:Person>
            <b:Last>Lalor</b:Last>
            <b:First>J.G.</b:First>
          </b:Person>
          <b:Person>
            <b:Last>Begley</b:Last>
            <b:First>C.M.</b:First>
          </b:Person>
          <b:Person>
            <b:Last>Devane</b:Last>
            <b:First>D.</b:First>
          </b:Person>
        </b:NameList>
      </b:Author>
    </b:Author>
    <b:JournalName>Journal of Advanced Nursing</b:JournalName>
    <b:Volume>56</b:Volume>
    <b:Issue>6</b:Issue>
    <b:RefOrder>3</b:RefOrder>
  </b:Source>
  <b:Source>
    <b:Tag>Row99</b:Tag>
    <b:SourceType>JournalArticle</b:SourceType>
    <b:Guid>{19017966-0213-422A-9CB3-88416A3893C5}</b:Guid>
    <b:Author>
      <b:Author>
        <b:NameList>
          <b:Person>
            <b:Last>Rowling</b:Last>
            <b:First>L.</b:First>
          </b:Person>
        </b:NameList>
      </b:Author>
    </b:Author>
    <b:Title>Being in, beingout, being with: affect and the role of the qualitative researcher in loss and grief research.</b:Title>
    <b:JournalName>Mortality</b:JournalName>
    <b:Year>1999</b:Year>
    <b:Pages>167-182</b:Pages>
    <b:Volume>4</b:Volume>
    <b:Issue>2</b:Issue>
    <b:RefOrder>4</b:RefOrder>
  </b:Source>
  <b:Source>
    <b:Tag>Rag05</b:Tag>
    <b:SourceType>JournalArticle</b:SourceType>
    <b:Guid>{7A130933-4526-4986-96B4-6451B54067CA}</b:Guid>
    <b:Author>
      <b:Author>
        <b:NameList>
          <b:Person>
            <b:Last>Rager</b:Last>
            <b:First>K.</b:First>
          </b:Person>
        </b:NameList>
      </b:Author>
    </b:Author>
    <b:Title>Compassion stress and the qualitative researcher.</b:Title>
    <b:JournalName>Qualitative Health Research</b:JournalName>
    <b:Year>2005</b:Year>
    <b:Pages>423-430</b:Pages>
    <b:Volume>15</b:Volume>
    <b:Issue>3</b:Issue>
    <b:RefOrder>5</b:RefOrder>
  </b:Source>
  <b:Source>
    <b:Tag>Coo95</b:Tag>
    <b:SourceType>JournalArticle</b:SourceType>
    <b:Guid>{80E6F93F-E5C3-4FFB-9CE9-BCB2F70E1A02}</b:Guid>
    <b:Author>
      <b:Author>
        <b:NameList>
          <b:Person>
            <b:Last>Cook</b:Last>
            <b:First>A.S.</b:First>
          </b:Person>
          <b:Person>
            <b:Last>Bosley</b:Last>
            <b:First>G.</b:First>
          </b:Person>
        </b:NameList>
      </b:Author>
    </b:Author>
    <b:Title>The experience of participating in bereavement research. </b:Title>
    <b:JournalName>Death Studies</b:JournalName>
    <b:Year>1995</b:Year>
    <b:Pages>157-170</b:Pages>
    <b:Volume>19</b:Volume>
    <b:RefOrder>6</b:RefOrder>
  </b:Source>
  <b:Source>
    <b:Tag>Joh03</b:Tag>
    <b:SourceType>JournalArticle</b:SourceType>
    <b:Guid>{BFD575D9-4CA7-43B8-9924-7536945C3A1F}</b:Guid>
    <b:Author>
      <b:Author>
        <b:NameList>
          <b:Person>
            <b:Last>Johnson</b:Last>
            <b:First>B.</b:First>
          </b:Person>
          <b:Person>
            <b:Last>Clarke</b:Last>
            <b:First>J.</b:First>
          </b:Person>
        </b:NameList>
      </b:Author>
    </b:Author>
    <b:Title>Collecting sensitive data: the impact on researchers.</b:Title>
    <b:JournalName>Qualitative Health Research</b:JournalName>
    <b:Year>2003</b:Year>
    <b:Pages>421-434</b:Pages>
    <b:Volume>3</b:Volume>
    <b:RefOrder>7</b:RefOrder>
  </b:Source>
</b:Sources>
</file>

<file path=customXml/itemProps1.xml><?xml version="1.0" encoding="utf-8"?>
<ds:datastoreItem xmlns:ds="http://schemas.openxmlformats.org/officeDocument/2006/customXml" ds:itemID="{A5677452-D555-4FA1-B43B-FC90886558B9}">
  <ds:schemaRefs>
    <ds:schemaRef ds:uri="http://schemas.microsoft.com/office/2006/metadata/properties"/>
    <ds:schemaRef ds:uri="http://www.w3.org/XML/1998/namespace"/>
    <ds:schemaRef ds:uri="7ac54d59-15ae-468f-8833-3c6b8f4d3013"/>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dcmitype/"/>
    <ds:schemaRef ds:uri="http://purl.org/dc/terms/"/>
  </ds:schemaRefs>
</ds:datastoreItem>
</file>

<file path=customXml/itemProps2.xml><?xml version="1.0" encoding="utf-8"?>
<ds:datastoreItem xmlns:ds="http://schemas.openxmlformats.org/officeDocument/2006/customXml" ds:itemID="{1664D0EC-45FF-45D6-BE54-6F811F4C3886}">
  <ds:schemaRefs>
    <ds:schemaRef ds:uri="http://schemas.microsoft.com/sharepoint/v3/contenttype/forms"/>
  </ds:schemaRefs>
</ds:datastoreItem>
</file>

<file path=customXml/itemProps3.xml><?xml version="1.0" encoding="utf-8"?>
<ds:datastoreItem xmlns:ds="http://schemas.openxmlformats.org/officeDocument/2006/customXml" ds:itemID="{0A8F88E0-96AD-48F4-A733-1F120B61C8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9FEFAF-42DB-4B1B-9C7A-DFAF352D5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3</Pages>
  <Words>751</Words>
  <Characters>4281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Burke</dc:creator>
  <cp:keywords/>
  <dc:description/>
  <cp:lastModifiedBy>Jackie Burke</cp:lastModifiedBy>
  <cp:revision>2</cp:revision>
  <dcterms:created xsi:type="dcterms:W3CDTF">2020-01-04T11:42:00Z</dcterms:created>
  <dcterms:modified xsi:type="dcterms:W3CDTF">2020-01-04T11:42:00Z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