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A38826D" w14:textId="77777777" w:rsidR="00A15321" w:rsidRDefault="00000000" w:rsidP="004B661E">
      <w:r>
        <w:rPr>
          <w:noProof/>
        </w:rPr>
        <w:drawing>
          <wp:inline distT="114300" distB="114300" distL="114300" distR="114300" wp14:anchorId="69C83D88" wp14:editId="41ED825E">
            <wp:extent cx="2209800" cy="9144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209800" cy="914400"/>
                    </a:xfrm>
                    <a:prstGeom prst="rect">
                      <a:avLst/>
                    </a:prstGeom>
                    <a:ln/>
                  </pic:spPr>
                </pic:pic>
              </a:graphicData>
            </a:graphic>
          </wp:inline>
        </w:drawing>
      </w:r>
    </w:p>
    <w:p w14:paraId="04F0476C" w14:textId="77777777" w:rsidR="00A15321" w:rsidRDefault="00A15321" w:rsidP="004B661E"/>
    <w:p w14:paraId="10F0BA14" w14:textId="77777777" w:rsidR="00A15321" w:rsidRDefault="00A15321" w:rsidP="004B661E"/>
    <w:p w14:paraId="7E1F3B72" w14:textId="77777777" w:rsidR="00A15321" w:rsidRDefault="00A15321">
      <w:pPr>
        <w:spacing w:before="120" w:after="120"/>
        <w:rPr>
          <w:b/>
          <w:bCs/>
          <w:sz w:val="32"/>
          <w:szCs w:val="32"/>
        </w:rPr>
      </w:pPr>
    </w:p>
    <w:p w14:paraId="19E861D8" w14:textId="77777777" w:rsidR="00A15321" w:rsidRDefault="00A15321">
      <w:pPr>
        <w:spacing w:before="120" w:after="120"/>
        <w:rPr>
          <w:b/>
          <w:bCs/>
          <w:sz w:val="32"/>
          <w:szCs w:val="32"/>
        </w:rPr>
      </w:pPr>
    </w:p>
    <w:p w14:paraId="02FE58EA" w14:textId="77777777" w:rsidR="00A15321" w:rsidRDefault="00000000">
      <w:pPr>
        <w:spacing w:before="120" w:after="120"/>
        <w:jc w:val="center"/>
        <w:rPr>
          <w:b/>
          <w:bCs/>
          <w:sz w:val="32"/>
          <w:szCs w:val="32"/>
        </w:rPr>
      </w:pPr>
      <w:r>
        <w:rPr>
          <w:b/>
          <w:bCs/>
          <w:sz w:val="32"/>
          <w:szCs w:val="32"/>
        </w:rPr>
        <w:t>Module: Understanding and Engaging Stakeholders</w:t>
      </w:r>
    </w:p>
    <w:p w14:paraId="72A5BA62" w14:textId="77777777" w:rsidR="00A15321" w:rsidRDefault="00000000">
      <w:pPr>
        <w:spacing w:before="120" w:after="120"/>
        <w:jc w:val="center"/>
        <w:rPr>
          <w:b/>
          <w:bCs/>
          <w:sz w:val="32"/>
          <w:szCs w:val="32"/>
        </w:rPr>
      </w:pPr>
      <w:r>
        <w:rPr>
          <w:b/>
          <w:bCs/>
          <w:sz w:val="32"/>
          <w:szCs w:val="32"/>
        </w:rPr>
        <w:t>Module code: LCLM5001   </w:t>
      </w:r>
      <w:r>
        <w:rPr>
          <w:sz w:val="32"/>
          <w:szCs w:val="32"/>
        </w:rPr>
        <w:t> </w:t>
      </w:r>
    </w:p>
    <w:p w14:paraId="5AEC3657" w14:textId="77777777" w:rsidR="00A15321" w:rsidRDefault="00000000">
      <w:r>
        <w:br w:type="page"/>
      </w:r>
    </w:p>
    <w:p w14:paraId="32ED9860" w14:textId="77777777" w:rsidR="00A15321" w:rsidRDefault="00000000">
      <w:pPr>
        <w:jc w:val="center"/>
        <w:rPr>
          <w:b/>
          <w:bCs/>
        </w:rPr>
      </w:pPr>
      <w:r>
        <w:rPr>
          <w:b/>
          <w:bCs/>
        </w:rPr>
        <w:lastRenderedPageBreak/>
        <w:t>Executive Summary</w:t>
      </w:r>
    </w:p>
    <w:p w14:paraId="5FFB5C83" w14:textId="6A6F91E7" w:rsidR="00A12F16" w:rsidRDefault="00000000" w:rsidP="00EC5235">
      <w:r>
        <w:t xml:space="preserve">This study has been conducted in order to choose the Rocco Forte Group for the process of implementing the internal and external assessment for the impetus, where the size of the medium here, the different factors regarding the structure have been discussed. Then the different stakeholders and their utility and the need have been determined in this context. The use of the RACI and the SMART objective for the goals that have been determined for </w:t>
      </w:r>
      <w:r w:rsidR="00EC5235">
        <w:t>the</w:t>
      </w:r>
      <w:r>
        <w:t xml:space="preserve"> implementation of StaySmart+. The overall interaction of the report has been based on defining the application of the 4C’s model for the Rocco Forte Group. The effective elements of the model were considered for defining and reducing the conflict among the company stakeholders. The influences of stakeholder engagement towards the business performance have been defined. The required recommendation for the development of Rocco Forte Group has been elaborated. </w:t>
      </w:r>
    </w:p>
    <w:p w14:paraId="553D29B4" w14:textId="77777777" w:rsidR="00A12F16" w:rsidRDefault="00A12F16">
      <w:r>
        <w:br w:type="page"/>
      </w:r>
    </w:p>
    <w:p w14:paraId="321BAAAE" w14:textId="77777777" w:rsidR="00A15321" w:rsidRDefault="00A15321" w:rsidP="00EC5235"/>
    <w:p w14:paraId="4918EBED" w14:textId="77777777" w:rsidR="00A15321" w:rsidRDefault="00000000">
      <w:pPr>
        <w:jc w:val="center"/>
        <w:rPr>
          <w:b/>
          <w:bCs/>
        </w:rPr>
      </w:pPr>
      <w:r>
        <w:rPr>
          <w:b/>
          <w:bCs/>
        </w:rPr>
        <w:t xml:space="preserve">Table of Contents </w:t>
      </w:r>
    </w:p>
    <w:sdt>
      <w:sdtPr>
        <w:id w:val="1388931704"/>
        <w:docPartObj>
          <w:docPartGallery w:val="Table of Contents"/>
          <w:docPartUnique/>
        </w:docPartObj>
      </w:sdtPr>
      <w:sdtContent>
        <w:p w14:paraId="5C1FB0DF" w14:textId="77777777" w:rsidR="00A15321" w:rsidRDefault="00000000">
          <w:pPr>
            <w:widowControl w:val="0"/>
            <w:tabs>
              <w:tab w:val="right" w:pos="12000"/>
            </w:tabs>
            <w:spacing w:before="60"/>
            <w:rPr>
              <w:b/>
              <w:bCs/>
              <w:color w:val="000000"/>
            </w:rPr>
          </w:pPr>
          <w:r>
            <w:fldChar w:fldCharType="begin"/>
          </w:r>
          <w:r>
            <w:instrText xml:space="preserve"> TOC \h \u \z \t "Heading 1,1,Heading 2,2,Heading 3,3,Heading 4,4,Heading 5,5,Heading 6,6,"</w:instrText>
          </w:r>
          <w:r>
            <w:fldChar w:fldCharType="separate"/>
          </w:r>
          <w:hyperlink w:anchor="_heading=h.5r0n5q2yb92">
            <w:r w:rsidR="00A15321">
              <w:rPr>
                <w:b/>
                <w:bCs/>
                <w:color w:val="000000"/>
              </w:rPr>
              <w:t>Introduction of the Rocco Forte Group</w:t>
            </w:r>
            <w:r w:rsidR="00A15321">
              <w:rPr>
                <w:b/>
                <w:bCs/>
                <w:color w:val="000000"/>
              </w:rPr>
              <w:tab/>
              <w:t>2</w:t>
            </w:r>
          </w:hyperlink>
        </w:p>
        <w:p w14:paraId="46D149AE" w14:textId="77777777" w:rsidR="00A15321" w:rsidRDefault="00A15321">
          <w:pPr>
            <w:widowControl w:val="0"/>
            <w:tabs>
              <w:tab w:val="right" w:pos="12000"/>
            </w:tabs>
            <w:spacing w:before="60"/>
            <w:rPr>
              <w:b/>
              <w:bCs/>
              <w:color w:val="000000"/>
            </w:rPr>
          </w:pPr>
          <w:hyperlink w:anchor="_heading=h.i6029lzbx6e9">
            <w:r>
              <w:rPr>
                <w:b/>
                <w:bCs/>
                <w:color w:val="000000"/>
              </w:rPr>
              <w:t>SWOT and PESTLE analysis</w:t>
            </w:r>
            <w:r>
              <w:rPr>
                <w:b/>
                <w:bCs/>
                <w:color w:val="000000"/>
              </w:rPr>
              <w:tab/>
              <w:t>2</w:t>
            </w:r>
          </w:hyperlink>
        </w:p>
        <w:p w14:paraId="66047CEA" w14:textId="77777777" w:rsidR="00A15321" w:rsidRDefault="00A15321">
          <w:pPr>
            <w:widowControl w:val="0"/>
            <w:tabs>
              <w:tab w:val="right" w:pos="12000"/>
            </w:tabs>
            <w:spacing w:before="60"/>
            <w:rPr>
              <w:b/>
              <w:bCs/>
              <w:color w:val="000000"/>
            </w:rPr>
          </w:pPr>
          <w:hyperlink w:anchor="_heading=h.w0pbf7lbvewe">
            <w:r>
              <w:rPr>
                <w:b/>
                <w:bCs/>
                <w:color w:val="000000"/>
              </w:rPr>
              <w:t>Internal and External stakeholders are involved in the project</w:t>
            </w:r>
            <w:r>
              <w:rPr>
                <w:b/>
                <w:bCs/>
                <w:color w:val="000000"/>
              </w:rPr>
              <w:tab/>
              <w:t>4</w:t>
            </w:r>
          </w:hyperlink>
        </w:p>
        <w:p w14:paraId="5538FBA4" w14:textId="77777777" w:rsidR="00A15321" w:rsidRDefault="00A15321">
          <w:pPr>
            <w:widowControl w:val="0"/>
            <w:tabs>
              <w:tab w:val="right" w:pos="12000"/>
            </w:tabs>
            <w:spacing w:before="60"/>
            <w:rPr>
              <w:b/>
              <w:bCs/>
              <w:color w:val="000000"/>
            </w:rPr>
          </w:pPr>
          <w:hyperlink w:anchor="_heading=h.skreujut844u">
            <w:r>
              <w:rPr>
                <w:b/>
                <w:bCs/>
                <w:color w:val="000000"/>
              </w:rPr>
              <w:t>The roles and responsibilities of the key stakeholders, the benefits and the challenges</w:t>
            </w:r>
            <w:r>
              <w:rPr>
                <w:b/>
                <w:bCs/>
                <w:color w:val="000000"/>
              </w:rPr>
              <w:tab/>
              <w:t>5</w:t>
            </w:r>
          </w:hyperlink>
        </w:p>
        <w:p w14:paraId="061AAC3B" w14:textId="77777777" w:rsidR="00A15321" w:rsidRDefault="00A15321">
          <w:pPr>
            <w:widowControl w:val="0"/>
            <w:tabs>
              <w:tab w:val="right" w:pos="12000"/>
            </w:tabs>
            <w:spacing w:before="60"/>
            <w:rPr>
              <w:b/>
              <w:bCs/>
              <w:color w:val="000000"/>
            </w:rPr>
          </w:pPr>
          <w:hyperlink w:anchor="_heading=h.xea0jjs20lvo">
            <w:r>
              <w:rPr>
                <w:b/>
                <w:bCs/>
                <w:color w:val="000000"/>
              </w:rPr>
              <w:t>Use of Frameworks</w:t>
            </w:r>
            <w:r>
              <w:rPr>
                <w:b/>
                <w:bCs/>
                <w:color w:val="000000"/>
              </w:rPr>
              <w:tab/>
              <w:t>6</w:t>
            </w:r>
          </w:hyperlink>
        </w:p>
        <w:p w14:paraId="484E0B41" w14:textId="77777777" w:rsidR="00A15321" w:rsidRDefault="00A15321">
          <w:pPr>
            <w:widowControl w:val="0"/>
            <w:tabs>
              <w:tab w:val="right" w:pos="12000"/>
            </w:tabs>
            <w:spacing w:before="60"/>
            <w:rPr>
              <w:b/>
              <w:bCs/>
              <w:color w:val="000000"/>
            </w:rPr>
          </w:pPr>
          <w:hyperlink w:anchor="_heading=h.v8vw3l79lxil">
            <w:r>
              <w:rPr>
                <w:b/>
                <w:bCs/>
                <w:color w:val="000000"/>
              </w:rPr>
              <w:t>Critical explanation evaluation methods for resolving conflict by using the 4C’s model</w:t>
            </w:r>
            <w:r>
              <w:rPr>
                <w:b/>
                <w:bCs/>
                <w:color w:val="000000"/>
              </w:rPr>
              <w:tab/>
              <w:t>12</w:t>
            </w:r>
          </w:hyperlink>
        </w:p>
        <w:p w14:paraId="7512A2D0" w14:textId="77777777" w:rsidR="00A15321" w:rsidRDefault="00A15321">
          <w:pPr>
            <w:widowControl w:val="0"/>
            <w:tabs>
              <w:tab w:val="right" w:pos="12000"/>
            </w:tabs>
            <w:spacing w:before="60"/>
            <w:rPr>
              <w:b/>
              <w:bCs/>
              <w:color w:val="000000"/>
            </w:rPr>
          </w:pPr>
          <w:hyperlink w:anchor="_heading=h.jgol2zp31rg8">
            <w:r>
              <w:rPr>
                <w:b/>
                <w:bCs/>
                <w:color w:val="000000"/>
              </w:rPr>
              <w:t>Impact of stakeholders’ engagement and recommendations</w:t>
            </w:r>
            <w:r>
              <w:rPr>
                <w:b/>
                <w:bCs/>
                <w:color w:val="000000"/>
              </w:rPr>
              <w:tab/>
              <w:t>14</w:t>
            </w:r>
          </w:hyperlink>
        </w:p>
        <w:p w14:paraId="66FCFC79" w14:textId="77777777" w:rsidR="00A15321" w:rsidRDefault="00A15321">
          <w:pPr>
            <w:widowControl w:val="0"/>
            <w:tabs>
              <w:tab w:val="right" w:pos="12000"/>
            </w:tabs>
            <w:spacing w:before="60"/>
            <w:rPr>
              <w:b/>
              <w:bCs/>
              <w:color w:val="000000"/>
            </w:rPr>
          </w:pPr>
          <w:hyperlink w:anchor="_heading=h.3jallh1kx9u5">
            <w:r>
              <w:rPr>
                <w:b/>
                <w:bCs/>
                <w:color w:val="000000"/>
              </w:rPr>
              <w:t>Conclusion</w:t>
            </w:r>
            <w:r>
              <w:rPr>
                <w:b/>
                <w:bCs/>
                <w:color w:val="000000"/>
              </w:rPr>
              <w:tab/>
              <w:t>16</w:t>
            </w:r>
          </w:hyperlink>
        </w:p>
        <w:p w14:paraId="126E91FD" w14:textId="77777777" w:rsidR="00A15321" w:rsidRDefault="00A15321">
          <w:pPr>
            <w:widowControl w:val="0"/>
            <w:tabs>
              <w:tab w:val="right" w:pos="12000"/>
            </w:tabs>
            <w:spacing w:before="60"/>
            <w:rPr>
              <w:b/>
              <w:bCs/>
              <w:color w:val="000000"/>
            </w:rPr>
          </w:pPr>
          <w:hyperlink w:anchor="_heading=h.4b1zu3v9wlau">
            <w:r>
              <w:rPr>
                <w:b/>
                <w:bCs/>
                <w:color w:val="000000"/>
              </w:rPr>
              <w:t>References</w:t>
            </w:r>
            <w:r>
              <w:rPr>
                <w:b/>
                <w:bCs/>
                <w:color w:val="000000"/>
              </w:rPr>
              <w:tab/>
              <w:t>17</w:t>
            </w:r>
          </w:hyperlink>
          <w:r w:rsidR="00000000">
            <w:fldChar w:fldCharType="end"/>
          </w:r>
        </w:p>
      </w:sdtContent>
    </w:sdt>
    <w:p w14:paraId="36E35D32" w14:textId="77777777" w:rsidR="00A15321" w:rsidRDefault="00000000">
      <w:pPr>
        <w:jc w:val="center"/>
        <w:rPr>
          <w:b/>
          <w:bCs/>
          <w:highlight w:val="yellow"/>
        </w:rPr>
      </w:pPr>
      <w:r>
        <w:br w:type="page"/>
      </w:r>
    </w:p>
    <w:p w14:paraId="4B7B092D" w14:textId="77777777" w:rsidR="00A15321" w:rsidRDefault="00000000">
      <w:pPr>
        <w:pStyle w:val="Heading1"/>
      </w:pPr>
      <w:bookmarkStart w:id="0" w:name="_heading=h.5r0n5q2yb92" w:colFirst="0" w:colLast="0"/>
      <w:bookmarkEnd w:id="0"/>
      <w:r>
        <w:lastRenderedPageBreak/>
        <w:t>Introduction of the Rocco Forte Group</w:t>
      </w:r>
    </w:p>
    <w:p w14:paraId="4A1BDE29" w14:textId="77777777" w:rsidR="00A15321" w:rsidRDefault="00000000" w:rsidP="006C5EF5">
      <w:r>
        <w:t>In this study, the utility of the resources will be understood through the process in the international hotel market, with hospitality cases in London, and thereby the company overview will be used to prioritise. Furthermore, SWOT and PESTLE will be used to understand the internal and external structures of stakeholders, and the formulation will be determined. Then, they can be used for communication, collaboration, and commitment, which will also be understood through this process. Then, there will be a critical evaluation of the process for the medium's pricing, and communication with RACI will take place. Then there will be an evaluation of communication, collaboration, consultation, and commitment.</w:t>
      </w:r>
    </w:p>
    <w:p w14:paraId="2A26AA6E" w14:textId="77777777" w:rsidR="00A15321" w:rsidRDefault="00000000">
      <w:r>
        <w:t>Rocco Forte Group’s Brown’s Hotel is a family-friendly luxury hotel, which can be due to the provision of 24-hour fitness centres. which can be near the London transport the hubs are present also offering for the standard rooms the upgradation for the Supper rooms, the StaySmart+ to the rooms the air conditioning can be there for the king-size beds the accommodation regarding the coffee machine the onsite bars is great addition for the budget conscious travelers, families and business travellers for the looking of the city center bases. Rocco Forte Group is well known for its high-end marketing, cleanliness and service are often cited as reasons for the structured process, and high-traffic city areas with easy access to noise are associated with the hotel accommodations. Brown Hotel by the Rocco Forte Group is an accommodation of around 117 rooms, with themed suites for the features and both traditional and contemporary design. It is present near Mayfair. The parks nearby give a great landscape for the cultural attractions. The nightlife and the dignity of the Brown’s Hotel are in the West End, which provides easy accessibility to the premium restaurants and the theatres (Rocco Forte Hotels, 2026).</w:t>
      </w:r>
    </w:p>
    <w:p w14:paraId="28650824" w14:textId="77777777" w:rsidR="00A15321" w:rsidRDefault="00000000">
      <w:pPr>
        <w:pStyle w:val="Heading1"/>
      </w:pPr>
      <w:bookmarkStart w:id="1" w:name="_heading=h.i6029lzbx6e9" w:colFirst="0" w:colLast="0"/>
      <w:bookmarkEnd w:id="1"/>
      <w:r>
        <w:t xml:space="preserve">SWOT and PESTLE analysis </w:t>
      </w:r>
    </w:p>
    <w:p w14:paraId="0A844A63" w14:textId="77777777" w:rsidR="00AA5149" w:rsidRPr="00AA5149" w:rsidRDefault="00AA5149">
      <w:pPr>
        <w:rPr>
          <w:b/>
          <w:bCs/>
          <w:u w:val="single"/>
        </w:rPr>
      </w:pPr>
      <w:r w:rsidRPr="00AA5149">
        <w:rPr>
          <w:b/>
          <w:bCs/>
          <w:u w:val="single"/>
        </w:rPr>
        <w:t>SWOT Analysis</w:t>
      </w:r>
    </w:p>
    <w:p w14:paraId="46F6202C" w14:textId="4D211DE2" w:rsidR="00A15321" w:rsidRDefault="00000000">
      <w:r>
        <w:rPr>
          <w:b/>
          <w:bCs/>
        </w:rPr>
        <w:t xml:space="preserve">Strengths: </w:t>
      </w:r>
      <w:r>
        <w:t>The Rocco Forte Group is well known for its association with high-quality luxury European service. The company has a beautiful structure, which has been great as it is located near places like London, Rome, and Berlin, which makes the process. Thereby, the company has a family-owned medium, and the StaySmart+ atmosphere can place great emphasis on the family. Then there is the high-end personalisation (Toth, 2023).</w:t>
      </w:r>
    </w:p>
    <w:p w14:paraId="6B3D22AE" w14:textId="77777777" w:rsidR="00A15321" w:rsidRDefault="00000000">
      <w:r>
        <w:rPr>
          <w:b/>
          <w:bCs/>
        </w:rPr>
        <w:t xml:space="preserve">Weakness: </w:t>
      </w:r>
      <w:r>
        <w:t xml:space="preserve">The corporation, the global luxury chains such as Marriott and others, have bigger portfolios compared to the Rocco Forte, and therefore, the company has not created that much </w:t>
      </w:r>
      <w:r>
        <w:lastRenderedPageBreak/>
        <w:t>brand presence. The Rocco Forte Group must go through the high cost-to-income ratios. Therefore, the dependency is necessary to StaySmart+, which will result in great savings as the AI function for the introduction to guests will reduce the wage cost for unnecessary actions (Toth, 2023).</w:t>
      </w:r>
    </w:p>
    <w:p w14:paraId="2368603A" w14:textId="77777777" w:rsidR="00A15321" w:rsidRDefault="00000000">
      <w:r>
        <w:rPr>
          <w:b/>
          <w:bCs/>
        </w:rPr>
        <w:t xml:space="preserve">Opportunity: </w:t>
      </w:r>
      <w:r>
        <w:t>The Rocco Forte Group can expand to a new market with its unique European style in the cities of Asia and the Middle East. The StaySmart+ will be able to use the customisation tactics and help to blend in with their societal norms and cultural layers. The development of a holistic wellness experience in the house place can be a great approach for the luxury-based clients or customers (Toth, 2023).</w:t>
      </w:r>
    </w:p>
    <w:p w14:paraId="76406403" w14:textId="77777777" w:rsidR="00A15321" w:rsidRDefault="00000000">
      <w:r>
        <w:rPr>
          <w:b/>
          <w:bCs/>
        </w:rPr>
        <w:t xml:space="preserve">Threats: </w:t>
      </w:r>
      <w:r>
        <w:t>The Rocco Forte Group came under intense pressure with the declining value of the pound, thereby resulting in a reduction in customers. Also, the natural gas shortage has caused the commercial use to become tougher. Theory of the regulatory restriction from the Russians and the Strait of Hormuz is causing the luxury travel industry to be extremely sensitive, which is causing economic downturns. StaySmart+ can still help understand necessary situations, providing a cheaper alternative to make the introduction for the guest clearer and more effective for more traffic blending (Toth, 2023).</w:t>
      </w:r>
    </w:p>
    <w:p w14:paraId="4B6A02E8" w14:textId="35D97B3A" w:rsidR="002A2BFB" w:rsidRPr="002A2BFB" w:rsidRDefault="002A2BFB">
      <w:pPr>
        <w:rPr>
          <w:b/>
          <w:bCs/>
          <w:u w:val="single"/>
        </w:rPr>
      </w:pPr>
      <w:r w:rsidRPr="002A2BFB">
        <w:rPr>
          <w:b/>
          <w:bCs/>
          <w:u w:val="single"/>
        </w:rPr>
        <w:t>PESTLE Analysis</w:t>
      </w:r>
    </w:p>
    <w:p w14:paraId="1F49CA37" w14:textId="1F22B2F9" w:rsidR="00A15321" w:rsidRDefault="00000000">
      <w:r>
        <w:rPr>
          <w:b/>
          <w:bCs/>
        </w:rPr>
        <w:t xml:space="preserve">Political: </w:t>
      </w:r>
      <w:r>
        <w:t xml:space="preserve">The international luxury industry has been there, many properties are in Europe, Italy, the UK and Germany are the provinces, the Rocco Forte has been based on the economic issues about geopolitical stability and instability. There is a problem regarding the terrorism threats. The changes can be reset due to the visa regulations for the changes affecting the luxury travellers, the </w:t>
      </w:r>
      <w:r w:rsidR="00EC5235">
        <w:t>StaySmart</w:t>
      </w:r>
      <w:r>
        <w:t xml:space="preserve">+ can help in the regulation checks and get better guest interaction (Whitehouse, 2024). </w:t>
      </w:r>
    </w:p>
    <w:p w14:paraId="6CDF7506" w14:textId="77777777" w:rsidR="00A15321" w:rsidRDefault="00000000">
      <w:r>
        <w:rPr>
          <w:b/>
          <w:bCs/>
        </w:rPr>
        <w:t xml:space="preserve">Economic: </w:t>
      </w:r>
      <w:r>
        <w:t>The Rocco Forte has the generation of revenue of £300 million in the financial year ending for April as the 30 as per the year of 2023. The revenue for the compounded annual growth rate (CAGR) is 7% the outcome has been like this as per father of 5 years. StaySmart+ can instantly go for better economic output, which can be used for the updates (Tracxn, 2026).</w:t>
      </w:r>
    </w:p>
    <w:p w14:paraId="5399473D" w14:textId="77777777" w:rsidR="00A15321" w:rsidRDefault="00000000">
      <w:pPr>
        <w:rPr>
          <w:b/>
          <w:bCs/>
        </w:rPr>
      </w:pPr>
      <w:r>
        <w:rPr>
          <w:b/>
          <w:bCs/>
        </w:rPr>
        <w:t xml:space="preserve">Social: </w:t>
      </w:r>
      <w:r>
        <w:t xml:space="preserve">The Rocco Forte has a process for experimental travel for personalisation of just ideas, the use of the luxury accommodation, the major forces can be there, goes to the company, the alignment for the cultural immersions, the alignment can be based on the bespoke. The use of the StaySmart+ must go for cultural immersion for the needs (Whitehouse, 2024). </w:t>
      </w:r>
    </w:p>
    <w:p w14:paraId="3A4EC3E8" w14:textId="77777777" w:rsidR="00A15321" w:rsidRDefault="00000000">
      <w:r>
        <w:rPr>
          <w:b/>
          <w:bCs/>
        </w:rPr>
        <w:t xml:space="preserve">Technological: </w:t>
      </w:r>
      <w:r>
        <w:t xml:space="preserve">StaySmart+ will be great for the case of the Rocco Forte, the adoption of the AI-generated formulation and the interaction for the guests will be a great outcome. Theory: The use </w:t>
      </w:r>
      <w:r>
        <w:lastRenderedPageBreak/>
        <w:t>of the city front relationship will be great. Thereby, the Rocco Forte will get further better anticipation of the guest needs for the sustainable hotel operations (Whitehouse, 2024).</w:t>
      </w:r>
    </w:p>
    <w:p w14:paraId="62C035EC" w14:textId="77777777" w:rsidR="00556022" w:rsidRDefault="00556022" w:rsidP="00556022">
      <w:r>
        <w:rPr>
          <w:b/>
          <w:bCs/>
        </w:rPr>
        <w:t xml:space="preserve">Legal: </w:t>
      </w:r>
      <w:r>
        <w:t>The Rocco Forte will just got for the navigation for the complex medium the variance for the environment for the employment got the laws the cases of the multiple format the StaySmart+ will also help with coordination for guest regulations of the UK the safety standards can be maintained for the compliance for the GDPR for the guest data for adherence to the international tourism process which can be crucial (Whitehouse, 2024).</w:t>
      </w:r>
    </w:p>
    <w:p w14:paraId="7ABE5F76" w14:textId="77777777" w:rsidR="00A15321" w:rsidRDefault="00000000">
      <w:r>
        <w:rPr>
          <w:b/>
          <w:bCs/>
        </w:rPr>
        <w:t xml:space="preserve">Environmental: </w:t>
      </w:r>
      <w:r>
        <w:t>The Rocco Forte has the medium the increasing format is the security for the luxury for the carbon footprints, which will be the best format for the pressure for the implementation of the sustainable processes and practices, the reduction of the single use of plastics for the StaySmart+ will be great prices, the reduction will be there for the long-term operational costs (Whitehouse, 2024).</w:t>
      </w:r>
    </w:p>
    <w:p w14:paraId="5179DAE3" w14:textId="77777777" w:rsidR="00A15321" w:rsidRPr="00AE0257" w:rsidRDefault="00000000">
      <w:pPr>
        <w:rPr>
          <w:b/>
          <w:bCs/>
          <w:u w:val="single"/>
        </w:rPr>
      </w:pPr>
      <w:r w:rsidRPr="00AE0257">
        <w:rPr>
          <w:b/>
          <w:bCs/>
          <w:u w:val="single"/>
        </w:rPr>
        <w:t>SMART Analysis</w:t>
      </w:r>
    </w:p>
    <w:p w14:paraId="4ACF128D" w14:textId="77777777" w:rsidR="00A15321" w:rsidRDefault="00000000">
      <w:pPr>
        <w:rPr>
          <w:b/>
          <w:bCs/>
        </w:rPr>
      </w:pPr>
      <w:r>
        <w:rPr>
          <w:b/>
          <w:bCs/>
        </w:rPr>
        <w:t>Goal 1: To develop a CRM System</w:t>
      </w:r>
    </w:p>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A15321" w14:paraId="443F847F" w14:textId="77777777">
        <w:tc>
          <w:tcPr>
            <w:tcW w:w="1872" w:type="dxa"/>
            <w:tcMar>
              <w:top w:w="100" w:type="dxa"/>
              <w:left w:w="100" w:type="dxa"/>
              <w:bottom w:w="100" w:type="dxa"/>
              <w:right w:w="100" w:type="dxa"/>
            </w:tcMar>
          </w:tcPr>
          <w:p w14:paraId="05078E22" w14:textId="77777777" w:rsidR="00A15321" w:rsidRDefault="00000000">
            <w:pPr>
              <w:widowControl w:val="0"/>
              <w:pBdr>
                <w:top w:val="nil"/>
                <w:left w:val="nil"/>
                <w:bottom w:val="nil"/>
                <w:right w:val="nil"/>
                <w:between w:val="nil"/>
              </w:pBdr>
              <w:jc w:val="left"/>
              <w:rPr>
                <w:b/>
                <w:bCs/>
              </w:rPr>
            </w:pPr>
            <w:r>
              <w:rPr>
                <w:b/>
                <w:bCs/>
              </w:rPr>
              <w:t>Specific</w:t>
            </w:r>
          </w:p>
        </w:tc>
        <w:tc>
          <w:tcPr>
            <w:tcW w:w="1872" w:type="dxa"/>
            <w:tcMar>
              <w:top w:w="100" w:type="dxa"/>
              <w:left w:w="100" w:type="dxa"/>
              <w:bottom w:w="100" w:type="dxa"/>
              <w:right w:w="100" w:type="dxa"/>
            </w:tcMar>
          </w:tcPr>
          <w:p w14:paraId="0DE458D7" w14:textId="77777777" w:rsidR="00A15321" w:rsidRDefault="00000000">
            <w:pPr>
              <w:widowControl w:val="0"/>
              <w:pBdr>
                <w:top w:val="nil"/>
                <w:left w:val="nil"/>
                <w:bottom w:val="nil"/>
                <w:right w:val="nil"/>
                <w:between w:val="nil"/>
              </w:pBdr>
              <w:jc w:val="left"/>
              <w:rPr>
                <w:b/>
                <w:bCs/>
              </w:rPr>
            </w:pPr>
            <w:r>
              <w:rPr>
                <w:b/>
                <w:bCs/>
              </w:rPr>
              <w:t>Measurable</w:t>
            </w:r>
          </w:p>
        </w:tc>
        <w:tc>
          <w:tcPr>
            <w:tcW w:w="1872" w:type="dxa"/>
            <w:tcMar>
              <w:top w:w="100" w:type="dxa"/>
              <w:left w:w="100" w:type="dxa"/>
              <w:bottom w:w="100" w:type="dxa"/>
              <w:right w:w="100" w:type="dxa"/>
            </w:tcMar>
          </w:tcPr>
          <w:p w14:paraId="0C30E336" w14:textId="77777777" w:rsidR="00A15321" w:rsidRDefault="00000000">
            <w:pPr>
              <w:widowControl w:val="0"/>
              <w:pBdr>
                <w:top w:val="nil"/>
                <w:left w:val="nil"/>
                <w:bottom w:val="nil"/>
                <w:right w:val="nil"/>
                <w:between w:val="nil"/>
              </w:pBdr>
              <w:jc w:val="left"/>
              <w:rPr>
                <w:b/>
                <w:bCs/>
              </w:rPr>
            </w:pPr>
            <w:r>
              <w:rPr>
                <w:b/>
                <w:bCs/>
              </w:rPr>
              <w:t xml:space="preserve">Achievable </w:t>
            </w:r>
          </w:p>
        </w:tc>
        <w:tc>
          <w:tcPr>
            <w:tcW w:w="1872" w:type="dxa"/>
            <w:tcMar>
              <w:top w:w="100" w:type="dxa"/>
              <w:left w:w="100" w:type="dxa"/>
              <w:bottom w:w="100" w:type="dxa"/>
              <w:right w:w="100" w:type="dxa"/>
            </w:tcMar>
          </w:tcPr>
          <w:p w14:paraId="4A893D72" w14:textId="77777777" w:rsidR="00A15321" w:rsidRDefault="00000000">
            <w:pPr>
              <w:widowControl w:val="0"/>
              <w:pBdr>
                <w:top w:val="nil"/>
                <w:left w:val="nil"/>
                <w:bottom w:val="nil"/>
                <w:right w:val="nil"/>
                <w:between w:val="nil"/>
              </w:pBdr>
              <w:jc w:val="left"/>
              <w:rPr>
                <w:b/>
                <w:bCs/>
              </w:rPr>
            </w:pPr>
            <w:r>
              <w:rPr>
                <w:b/>
                <w:bCs/>
              </w:rPr>
              <w:t>Relevant</w:t>
            </w:r>
          </w:p>
        </w:tc>
        <w:tc>
          <w:tcPr>
            <w:tcW w:w="1872" w:type="dxa"/>
            <w:tcMar>
              <w:top w:w="100" w:type="dxa"/>
              <w:left w:w="100" w:type="dxa"/>
              <w:bottom w:w="100" w:type="dxa"/>
              <w:right w:w="100" w:type="dxa"/>
            </w:tcMar>
          </w:tcPr>
          <w:p w14:paraId="0E072C6A" w14:textId="77777777" w:rsidR="00A15321" w:rsidRDefault="00000000">
            <w:pPr>
              <w:widowControl w:val="0"/>
              <w:pBdr>
                <w:top w:val="nil"/>
                <w:left w:val="nil"/>
                <w:bottom w:val="nil"/>
                <w:right w:val="nil"/>
                <w:between w:val="nil"/>
              </w:pBdr>
              <w:jc w:val="left"/>
              <w:rPr>
                <w:b/>
                <w:bCs/>
              </w:rPr>
            </w:pPr>
            <w:r>
              <w:rPr>
                <w:b/>
                <w:bCs/>
              </w:rPr>
              <w:t>Time based</w:t>
            </w:r>
          </w:p>
        </w:tc>
      </w:tr>
      <w:tr w:rsidR="00A15321" w14:paraId="19F9EE0E" w14:textId="77777777">
        <w:tc>
          <w:tcPr>
            <w:tcW w:w="1872" w:type="dxa"/>
            <w:tcMar>
              <w:top w:w="100" w:type="dxa"/>
              <w:left w:w="100" w:type="dxa"/>
              <w:bottom w:w="100" w:type="dxa"/>
              <w:right w:w="100" w:type="dxa"/>
            </w:tcMar>
          </w:tcPr>
          <w:p w14:paraId="53CAD97F" w14:textId="77777777" w:rsidR="00A15321" w:rsidRDefault="00000000">
            <w:pPr>
              <w:widowControl w:val="0"/>
              <w:pBdr>
                <w:top w:val="nil"/>
                <w:left w:val="nil"/>
                <w:bottom w:val="nil"/>
                <w:right w:val="nil"/>
                <w:between w:val="nil"/>
              </w:pBdr>
              <w:jc w:val="left"/>
            </w:pPr>
            <w:r>
              <w:t>Implementation of the new lead-coring model.</w:t>
            </w:r>
          </w:p>
        </w:tc>
        <w:tc>
          <w:tcPr>
            <w:tcW w:w="1872" w:type="dxa"/>
            <w:tcMar>
              <w:top w:w="100" w:type="dxa"/>
              <w:left w:w="100" w:type="dxa"/>
              <w:bottom w:w="100" w:type="dxa"/>
              <w:right w:w="100" w:type="dxa"/>
            </w:tcMar>
          </w:tcPr>
          <w:p w14:paraId="2806C36A" w14:textId="77777777" w:rsidR="00A15321" w:rsidRDefault="00000000">
            <w:pPr>
              <w:widowControl w:val="0"/>
              <w:pBdr>
                <w:top w:val="nil"/>
                <w:left w:val="nil"/>
                <w:bottom w:val="nil"/>
                <w:right w:val="nil"/>
                <w:between w:val="nil"/>
              </w:pBdr>
              <w:jc w:val="left"/>
            </w:pPr>
            <w:r>
              <w:t>Customer retention has fallen to 65%.</w:t>
            </w:r>
          </w:p>
        </w:tc>
        <w:tc>
          <w:tcPr>
            <w:tcW w:w="1872" w:type="dxa"/>
            <w:tcMar>
              <w:top w:w="100" w:type="dxa"/>
              <w:left w:w="100" w:type="dxa"/>
              <w:bottom w:w="100" w:type="dxa"/>
              <w:right w:w="100" w:type="dxa"/>
            </w:tcMar>
          </w:tcPr>
          <w:p w14:paraId="26839107" w14:textId="77777777" w:rsidR="00A15321" w:rsidRDefault="00000000">
            <w:pPr>
              <w:widowControl w:val="0"/>
              <w:pBdr>
                <w:top w:val="nil"/>
                <w:left w:val="nil"/>
                <w:bottom w:val="nil"/>
                <w:right w:val="nil"/>
                <w:between w:val="nil"/>
              </w:pBdr>
              <w:jc w:val="left"/>
            </w:pPr>
            <w:r>
              <w:t>Automation for a reduction by 30% for sales returns.</w:t>
            </w:r>
          </w:p>
        </w:tc>
        <w:tc>
          <w:tcPr>
            <w:tcW w:w="1872" w:type="dxa"/>
            <w:tcMar>
              <w:top w:w="100" w:type="dxa"/>
              <w:left w:w="100" w:type="dxa"/>
              <w:bottom w:w="100" w:type="dxa"/>
              <w:right w:w="100" w:type="dxa"/>
            </w:tcMar>
          </w:tcPr>
          <w:p w14:paraId="205F7304" w14:textId="77777777" w:rsidR="00A15321" w:rsidRDefault="00000000">
            <w:pPr>
              <w:widowControl w:val="0"/>
              <w:pBdr>
                <w:top w:val="nil"/>
                <w:left w:val="nil"/>
                <w:bottom w:val="nil"/>
                <w:right w:val="nil"/>
                <w:between w:val="nil"/>
              </w:pBdr>
              <w:jc w:val="left"/>
            </w:pPr>
            <w:r>
              <w:t>Monthly sales increase by 15%.</w:t>
            </w:r>
          </w:p>
        </w:tc>
        <w:tc>
          <w:tcPr>
            <w:tcW w:w="1872" w:type="dxa"/>
            <w:tcMar>
              <w:top w:w="100" w:type="dxa"/>
              <w:left w:w="100" w:type="dxa"/>
              <w:bottom w:w="100" w:type="dxa"/>
              <w:right w:w="100" w:type="dxa"/>
            </w:tcMar>
          </w:tcPr>
          <w:p w14:paraId="08CC2025" w14:textId="77777777" w:rsidR="00A15321" w:rsidRDefault="00000000">
            <w:pPr>
              <w:widowControl w:val="0"/>
              <w:pBdr>
                <w:top w:val="nil"/>
                <w:left w:val="nil"/>
                <w:bottom w:val="nil"/>
                <w:right w:val="nil"/>
                <w:between w:val="nil"/>
              </w:pBdr>
              <w:jc w:val="left"/>
            </w:pPr>
            <w:r>
              <w:t>8 months</w:t>
            </w:r>
          </w:p>
        </w:tc>
      </w:tr>
    </w:tbl>
    <w:p w14:paraId="242E54EC" w14:textId="77777777" w:rsidR="00A15321" w:rsidRDefault="00000000">
      <w:pPr>
        <w:rPr>
          <w:b/>
          <w:bCs/>
        </w:rPr>
      </w:pPr>
      <w:r>
        <w:rPr>
          <w:b/>
          <w:bCs/>
        </w:rPr>
        <w:t>Goal 2: To implement StaySmart+ service</w:t>
      </w:r>
    </w:p>
    <w:tbl>
      <w:tblPr>
        <w:tblStyle w:val="a4"/>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A15321" w14:paraId="6A186E26" w14:textId="77777777">
        <w:tc>
          <w:tcPr>
            <w:tcW w:w="1872" w:type="dxa"/>
            <w:tcMar>
              <w:top w:w="100" w:type="dxa"/>
              <w:left w:w="100" w:type="dxa"/>
              <w:bottom w:w="100" w:type="dxa"/>
              <w:right w:w="100" w:type="dxa"/>
            </w:tcMar>
          </w:tcPr>
          <w:p w14:paraId="207CA04D" w14:textId="77777777" w:rsidR="00A15321" w:rsidRDefault="00000000">
            <w:pPr>
              <w:widowControl w:val="0"/>
              <w:jc w:val="left"/>
              <w:rPr>
                <w:b/>
                <w:bCs/>
              </w:rPr>
            </w:pPr>
            <w:r>
              <w:rPr>
                <w:b/>
                <w:bCs/>
              </w:rPr>
              <w:t>Specific</w:t>
            </w:r>
          </w:p>
        </w:tc>
        <w:tc>
          <w:tcPr>
            <w:tcW w:w="1872" w:type="dxa"/>
            <w:tcMar>
              <w:top w:w="100" w:type="dxa"/>
              <w:left w:w="100" w:type="dxa"/>
              <w:bottom w:w="100" w:type="dxa"/>
              <w:right w:w="100" w:type="dxa"/>
            </w:tcMar>
          </w:tcPr>
          <w:p w14:paraId="681E7726" w14:textId="77777777" w:rsidR="00A15321" w:rsidRDefault="00000000">
            <w:pPr>
              <w:widowControl w:val="0"/>
              <w:jc w:val="left"/>
              <w:rPr>
                <w:b/>
                <w:bCs/>
              </w:rPr>
            </w:pPr>
            <w:r>
              <w:rPr>
                <w:b/>
                <w:bCs/>
              </w:rPr>
              <w:t>Measurable</w:t>
            </w:r>
          </w:p>
        </w:tc>
        <w:tc>
          <w:tcPr>
            <w:tcW w:w="1872" w:type="dxa"/>
            <w:tcMar>
              <w:top w:w="100" w:type="dxa"/>
              <w:left w:w="100" w:type="dxa"/>
              <w:bottom w:w="100" w:type="dxa"/>
              <w:right w:w="100" w:type="dxa"/>
            </w:tcMar>
          </w:tcPr>
          <w:p w14:paraId="73CDCA16" w14:textId="77777777" w:rsidR="00A15321" w:rsidRDefault="00000000">
            <w:pPr>
              <w:widowControl w:val="0"/>
              <w:jc w:val="left"/>
              <w:rPr>
                <w:b/>
                <w:bCs/>
              </w:rPr>
            </w:pPr>
            <w:r>
              <w:rPr>
                <w:b/>
                <w:bCs/>
              </w:rPr>
              <w:t xml:space="preserve">Achievable </w:t>
            </w:r>
          </w:p>
        </w:tc>
        <w:tc>
          <w:tcPr>
            <w:tcW w:w="1872" w:type="dxa"/>
            <w:tcMar>
              <w:top w:w="100" w:type="dxa"/>
              <w:left w:w="100" w:type="dxa"/>
              <w:bottom w:w="100" w:type="dxa"/>
              <w:right w:w="100" w:type="dxa"/>
            </w:tcMar>
          </w:tcPr>
          <w:p w14:paraId="38CEB3AA" w14:textId="77777777" w:rsidR="00A15321" w:rsidRDefault="00000000">
            <w:pPr>
              <w:widowControl w:val="0"/>
              <w:jc w:val="left"/>
              <w:rPr>
                <w:b/>
                <w:bCs/>
              </w:rPr>
            </w:pPr>
            <w:r>
              <w:rPr>
                <w:b/>
                <w:bCs/>
              </w:rPr>
              <w:t>Relevant</w:t>
            </w:r>
          </w:p>
        </w:tc>
        <w:tc>
          <w:tcPr>
            <w:tcW w:w="1872" w:type="dxa"/>
            <w:tcMar>
              <w:top w:w="100" w:type="dxa"/>
              <w:left w:w="100" w:type="dxa"/>
              <w:bottom w:w="100" w:type="dxa"/>
              <w:right w:w="100" w:type="dxa"/>
            </w:tcMar>
          </w:tcPr>
          <w:p w14:paraId="6CCF5C65" w14:textId="77777777" w:rsidR="00A15321" w:rsidRDefault="00000000">
            <w:pPr>
              <w:widowControl w:val="0"/>
              <w:jc w:val="left"/>
              <w:rPr>
                <w:b/>
                <w:bCs/>
              </w:rPr>
            </w:pPr>
            <w:r>
              <w:rPr>
                <w:b/>
                <w:bCs/>
              </w:rPr>
              <w:t>Time based</w:t>
            </w:r>
          </w:p>
        </w:tc>
      </w:tr>
      <w:tr w:rsidR="00A15321" w14:paraId="2BAC8EED" w14:textId="77777777">
        <w:tc>
          <w:tcPr>
            <w:tcW w:w="1872" w:type="dxa"/>
            <w:tcMar>
              <w:top w:w="100" w:type="dxa"/>
              <w:left w:w="100" w:type="dxa"/>
              <w:bottom w:w="100" w:type="dxa"/>
              <w:right w:w="100" w:type="dxa"/>
            </w:tcMar>
          </w:tcPr>
          <w:p w14:paraId="46469187" w14:textId="77777777" w:rsidR="00A15321" w:rsidRDefault="00000000">
            <w:pPr>
              <w:widowControl w:val="0"/>
              <w:jc w:val="left"/>
            </w:pPr>
            <w:r>
              <w:t>Focusing on high volume and low complexity interactions.</w:t>
            </w:r>
          </w:p>
        </w:tc>
        <w:tc>
          <w:tcPr>
            <w:tcW w:w="1872" w:type="dxa"/>
            <w:tcMar>
              <w:top w:w="100" w:type="dxa"/>
              <w:left w:w="100" w:type="dxa"/>
              <w:bottom w:w="100" w:type="dxa"/>
              <w:right w:w="100" w:type="dxa"/>
            </w:tcMar>
          </w:tcPr>
          <w:p w14:paraId="1C49CD33" w14:textId="77777777" w:rsidR="00A15321" w:rsidRDefault="00000000">
            <w:pPr>
              <w:widowControl w:val="0"/>
              <w:jc w:val="left"/>
            </w:pPr>
            <w:r>
              <w:t>Customer retention increased to 85%.</w:t>
            </w:r>
          </w:p>
        </w:tc>
        <w:tc>
          <w:tcPr>
            <w:tcW w:w="1872" w:type="dxa"/>
            <w:tcMar>
              <w:top w:w="100" w:type="dxa"/>
              <w:left w:w="100" w:type="dxa"/>
              <w:bottom w:w="100" w:type="dxa"/>
              <w:right w:w="100" w:type="dxa"/>
            </w:tcMar>
          </w:tcPr>
          <w:p w14:paraId="5651D93F" w14:textId="77777777" w:rsidR="00A15321" w:rsidRDefault="00000000">
            <w:pPr>
              <w:widowControl w:val="0"/>
              <w:jc w:val="left"/>
            </w:pPr>
            <w:r>
              <w:t>Automating the customer services by 45%.</w:t>
            </w:r>
          </w:p>
        </w:tc>
        <w:tc>
          <w:tcPr>
            <w:tcW w:w="1872" w:type="dxa"/>
            <w:tcMar>
              <w:top w:w="100" w:type="dxa"/>
              <w:left w:w="100" w:type="dxa"/>
              <w:bottom w:w="100" w:type="dxa"/>
              <w:right w:w="100" w:type="dxa"/>
            </w:tcMar>
          </w:tcPr>
          <w:p w14:paraId="1D0816D0" w14:textId="77777777" w:rsidR="00A15321" w:rsidRDefault="00000000">
            <w:pPr>
              <w:widowControl w:val="0"/>
              <w:jc w:val="left"/>
            </w:pPr>
            <w:r>
              <w:t>Increase the monthly sales to 38%.</w:t>
            </w:r>
          </w:p>
        </w:tc>
        <w:tc>
          <w:tcPr>
            <w:tcW w:w="1872" w:type="dxa"/>
            <w:tcMar>
              <w:top w:w="100" w:type="dxa"/>
              <w:left w:w="100" w:type="dxa"/>
              <w:bottom w:w="100" w:type="dxa"/>
              <w:right w:w="100" w:type="dxa"/>
            </w:tcMar>
          </w:tcPr>
          <w:p w14:paraId="5A5FE3A1" w14:textId="77777777" w:rsidR="00A15321" w:rsidRDefault="00000000">
            <w:pPr>
              <w:widowControl w:val="0"/>
              <w:jc w:val="left"/>
            </w:pPr>
            <w:r>
              <w:t>1 years</w:t>
            </w:r>
          </w:p>
        </w:tc>
      </w:tr>
    </w:tbl>
    <w:p w14:paraId="15F3E21B" w14:textId="77777777" w:rsidR="00A15321" w:rsidRDefault="00000000">
      <w:pPr>
        <w:pStyle w:val="Heading1"/>
      </w:pPr>
      <w:bookmarkStart w:id="2" w:name="_heading=h.w0pbf7lbvewe" w:colFirst="0" w:colLast="0"/>
      <w:bookmarkEnd w:id="2"/>
      <w:r>
        <w:t xml:space="preserve">Internal and External stakeholders participate in the project </w:t>
      </w:r>
    </w:p>
    <w:p w14:paraId="4835EEA4" w14:textId="77777777" w:rsidR="00A15321" w:rsidRDefault="00000000">
      <w:r>
        <w:rPr>
          <w:b/>
          <w:bCs/>
        </w:rPr>
        <w:t xml:space="preserve">Marketing Team (internal): </w:t>
      </w:r>
      <w:r>
        <w:t xml:space="preserve">The engagement and the information for the inspiration employees are there for brand ambassadors, internal branding, company culture, and employee </w:t>
      </w:r>
      <w:r>
        <w:lastRenderedPageBreak/>
        <w:t xml:space="preserve">communication for advocacy. The main underlying nature of the creation of events and the sharing of data about the company is for the customer experience vision (Evans </w:t>
      </w:r>
      <w:r>
        <w:rPr>
          <w:i/>
          <w:iCs/>
        </w:rPr>
        <w:t xml:space="preserve">et al. </w:t>
      </w:r>
      <w:r>
        <w:t>2021).</w:t>
      </w:r>
    </w:p>
    <w:p w14:paraId="5810D255" w14:textId="77777777" w:rsidR="00A15321" w:rsidRDefault="00000000">
      <w:r>
        <w:rPr>
          <w:b/>
          <w:bCs/>
        </w:rPr>
        <w:t xml:space="preserve">Project Manager (internal): </w:t>
      </w:r>
      <w:r>
        <w:t>The use of the understanding of the faster hit for the ground for the running for the culture the requirement for the little for the onboarding will be great, the terms for the navigation of the bureaucratic for the bottleneck. This can be used for the StaySmart+ for long-term internal projects (Meng and Boyd, 2017).</w:t>
      </w:r>
    </w:p>
    <w:p w14:paraId="1861EF08" w14:textId="77777777" w:rsidR="00A15321" w:rsidRDefault="00000000">
      <w:pPr>
        <w:rPr>
          <w:b/>
          <w:bCs/>
        </w:rPr>
      </w:pPr>
      <w:r>
        <w:rPr>
          <w:b/>
          <w:bCs/>
        </w:rPr>
        <w:t xml:space="preserve">Legal Team (internal): </w:t>
      </w:r>
      <w:r>
        <w:t xml:space="preserve">The regulatory compliance for ensuring compliance with the operations for the data protection for the legalisation. StaySmart+ can make the processes feasible and regulations regarding interactions. This reduces the time and makes it clearer (VEITH </w:t>
      </w:r>
      <w:r>
        <w:rPr>
          <w:i/>
          <w:iCs/>
        </w:rPr>
        <w:t xml:space="preserve">et al. </w:t>
      </w:r>
      <w:r>
        <w:t>2018).</w:t>
      </w:r>
    </w:p>
    <w:p w14:paraId="001BCBD2" w14:textId="77777777" w:rsidR="00A15321" w:rsidRDefault="00000000">
      <w:r>
        <w:rPr>
          <w:b/>
          <w:bCs/>
        </w:rPr>
        <w:t xml:space="preserve">Customers (External): </w:t>
      </w:r>
      <w:r>
        <w:t xml:space="preserve">These are the individuals who are essentially present for the process of the company; the clients are the people who are going to purchase and use the service or product. Thereby, the revenue is the growth for the satisfaction of the external customers for the provision of the service for the profit of the business for the foundation of long-term business survival (Han </w:t>
      </w:r>
      <w:r>
        <w:rPr>
          <w:i/>
          <w:iCs/>
        </w:rPr>
        <w:t xml:space="preserve">et al. </w:t>
      </w:r>
      <w:r>
        <w:t>2016).</w:t>
      </w:r>
    </w:p>
    <w:p w14:paraId="4566D676" w14:textId="77777777" w:rsidR="00A15321" w:rsidRDefault="00000000">
      <w:r>
        <w:rPr>
          <w:b/>
          <w:bCs/>
        </w:rPr>
        <w:t xml:space="preserve">Government (External): </w:t>
      </w:r>
      <w:r>
        <w:t xml:space="preserve">The external affairs is there for reference for the department; the functionality for the company is there for the management of the government for the officials of the regulatory bodies. Here, the use of the StaySmart+ will be derived from the compliance of the public interest (Warsame </w:t>
      </w:r>
      <w:r>
        <w:rPr>
          <w:i/>
          <w:iCs/>
        </w:rPr>
        <w:t xml:space="preserve">et al. </w:t>
      </w:r>
      <w:r>
        <w:t>2024).</w:t>
      </w:r>
    </w:p>
    <w:p w14:paraId="153E35ED" w14:textId="77777777" w:rsidR="00A15321" w:rsidRDefault="00000000">
      <w:r>
        <w:rPr>
          <w:b/>
          <w:bCs/>
        </w:rPr>
        <w:t xml:space="preserve">Suppliers (External): </w:t>
      </w:r>
      <w:r>
        <w:t xml:space="preserve">The cost optimisation of leveraging economies of scale for the accessibility of the expertise for innovation for high-quality products, which can make the process much faster. StaySmart+ for the designation of the non-core functions for the product development and marketing (Schuh </w:t>
      </w:r>
      <w:r>
        <w:rPr>
          <w:i/>
          <w:iCs/>
        </w:rPr>
        <w:t xml:space="preserve">et al. </w:t>
      </w:r>
      <w:r>
        <w:t>2022).</w:t>
      </w:r>
    </w:p>
    <w:p w14:paraId="0EA78AC9" w14:textId="77777777" w:rsidR="00A15321" w:rsidRDefault="00000000">
      <w:pPr>
        <w:pStyle w:val="Heading1"/>
      </w:pPr>
      <w:bookmarkStart w:id="3" w:name="_heading=h.skreujut844u" w:colFirst="0" w:colLast="0"/>
      <w:bookmarkEnd w:id="3"/>
      <w:r>
        <w:t xml:space="preserve">The roles and responsibilities of the key stakeholders, the benefits and the challenges </w:t>
      </w:r>
    </w:p>
    <w:p w14:paraId="4C83F1A6" w14:textId="77777777" w:rsidR="00A15321" w:rsidRDefault="00000000">
      <w:r>
        <w:t>The use of the medium, the internal format of the marketing effort, and the stakeholders of Rocco Forte Group are involved for the CMO, who sets the overarching strategy, aligning the market goals with the product marketing. The resource allocation, thereby, is for the process, the utility for the resources is for the identification of securing PM of the internal format for the human resources for the company and their negotiation with the functional managers for the right people for the assignment, resulting in rejection by the stakeholders for the communication. Then there is the medium of the documentation. The governance for the keep for the project for the track for the medium, the objective is for compliance with the internal policies and the standards (Warsame</w:t>
      </w:r>
      <w:r>
        <w:rPr>
          <w:i/>
          <w:iCs/>
        </w:rPr>
        <w:t xml:space="preserve"> et </w:t>
      </w:r>
      <w:r>
        <w:rPr>
          <w:i/>
          <w:iCs/>
        </w:rPr>
        <w:lastRenderedPageBreak/>
        <w:t>al.</w:t>
      </w:r>
      <w:r>
        <w:t xml:space="preserve"> 2024). The Legal for the prices of drafting the regulatory compliance, ensuring risk mitigation. Corporate governance is thereby an essential element. The action against infringement is necessary when litigation management is necessary, advisory goes to the business segment, and the international department of the employing management engages in the legal dispute. The lawsuit for the occurrence for them, due to the favourable settlement, the businesses can partner for the implications, and the decisions must be made. The final user for the consumer of the brand ambassador for the satisfied for the act for the organic promoters for the word-of-mouth for the dissatisfied for the customers for the fame for the brand reputation (Indeed, 2026). </w:t>
      </w:r>
    </w:p>
    <w:p w14:paraId="7CDA42B8" w14:textId="77777777" w:rsidR="00A15321" w:rsidRDefault="00000000">
      <w:r>
        <w:t>The provisions of the subsidies for the public services and the infrastructure for the incentives for innovation and the ecosystems. The use of the government has the medium the policy is for the formulation of public information for guidance. The size of the public interest in the financial facilitation for the representation of the community to ensure the project is needed. The financial facilitation for the support of the subsidies for the tax incentives for the loans. The external suppliers have the use of the provision, and the quality and the issue are addressed through the expertise for the provision of contingency plans for potential disruptions. Inventory management for cases where the responsibility for the inventory levels is for the buyer’s site, enhanced for the product quality, for the cost efficiency, for the savings for the long-term economies, and for the scale to reduce the overall procurement costs. The accessibility for the innovation for the processing of specialised knowledge for efficient go production methods for the reduction of operational risks for the bottlenecks for the sub-standard materials (Mailchimp, 2026).</w:t>
      </w:r>
    </w:p>
    <w:p w14:paraId="5C3E8FBE" w14:textId="77777777" w:rsidR="00A15321" w:rsidRDefault="00000000">
      <w:pPr>
        <w:pStyle w:val="Heading1"/>
      </w:pPr>
      <w:bookmarkStart w:id="4" w:name="_heading=h.xea0jjs20lvo" w:colFirst="0" w:colLast="0"/>
      <w:bookmarkEnd w:id="4"/>
      <w:r>
        <w:t>Use of Frameworks</w:t>
      </w:r>
    </w:p>
    <w:p w14:paraId="671D5273" w14:textId="77777777" w:rsidR="00A15321" w:rsidRDefault="00000000">
      <w:pPr>
        <w:rPr>
          <w:b/>
          <w:bCs/>
        </w:rPr>
      </w:pPr>
      <w:r>
        <w:rPr>
          <w:b/>
          <w:bCs/>
        </w:rPr>
        <w:t>Stakeholders matrix</w:t>
      </w:r>
    </w:p>
    <w:p w14:paraId="6AF0EB3A" w14:textId="77777777" w:rsidR="00A15321" w:rsidRDefault="00000000">
      <w:r>
        <w:rPr>
          <w:noProof/>
        </w:rPr>
        <w:lastRenderedPageBreak/>
        <w:drawing>
          <wp:inline distT="114300" distB="114300" distL="114300" distR="114300" wp14:anchorId="4FAF2292" wp14:editId="0CCE0D64">
            <wp:extent cx="5943600" cy="4051300"/>
            <wp:effectExtent l="12700" t="12700" r="12700" b="1270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4051300"/>
                    </a:xfrm>
                    <a:prstGeom prst="rect">
                      <a:avLst/>
                    </a:prstGeom>
                    <a:ln w="12700">
                      <a:solidFill>
                        <a:srgbClr val="000000"/>
                      </a:solidFill>
                      <a:prstDash val="solid"/>
                    </a:ln>
                  </pic:spPr>
                </pic:pic>
              </a:graphicData>
            </a:graphic>
          </wp:inline>
        </w:drawing>
      </w:r>
    </w:p>
    <w:p w14:paraId="377D0E07" w14:textId="77777777" w:rsidR="00A15321" w:rsidRDefault="00000000">
      <w:pPr>
        <w:rPr>
          <w:b/>
          <w:bCs/>
        </w:rPr>
      </w:pPr>
      <w:r>
        <w:rPr>
          <w:b/>
          <w:bCs/>
        </w:rPr>
        <w:t xml:space="preserve">High Power-High Interest (Project Manager): </w:t>
      </w:r>
      <w:r>
        <w:t>These individuals are there for the highest priority; the focus is on the high-touch engagement of direct involvement, like the project manager. The frequent format for the communication of the information for the project progress for the management of the expectations (Ashcroft, 2017).</w:t>
      </w:r>
    </w:p>
    <w:p w14:paraId="538FE30E" w14:textId="77777777" w:rsidR="00A15321" w:rsidRDefault="00000000">
      <w:pPr>
        <w:rPr>
          <w:b/>
          <w:bCs/>
        </w:rPr>
      </w:pPr>
      <w:r>
        <w:rPr>
          <w:b/>
          <w:bCs/>
        </w:rPr>
        <w:t xml:space="preserve">High -Power-Low Interest (Government): </w:t>
      </w:r>
      <w:r>
        <w:t>The government has a stake in every business the venture can go through the process, and the actions can be represented as a significant factor. As this will affect the GDP, which is based on the levels (Ashcroft, 2017).</w:t>
      </w:r>
    </w:p>
    <w:p w14:paraId="520678FC" w14:textId="77777777" w:rsidR="00A15321" w:rsidRDefault="00000000">
      <w:pPr>
        <w:rPr>
          <w:b/>
          <w:bCs/>
        </w:rPr>
      </w:pPr>
      <w:r>
        <w:rPr>
          <w:b/>
          <w:bCs/>
        </w:rPr>
        <w:t xml:space="preserve">Low Power-Low Interest (Customers): </w:t>
      </w:r>
      <w:r>
        <w:t xml:space="preserve">The business decides on the products they are offering for the selling of any of the items; the direct format has an impact on the customer for the revenue stream, and the lowering of the differentiation leads to additional sales (Indeed, 2025). </w:t>
      </w:r>
    </w:p>
    <w:p w14:paraId="5D5C40C6" w14:textId="77777777" w:rsidR="00A15321" w:rsidRDefault="00000000">
      <w:r>
        <w:rPr>
          <w:b/>
          <w:bCs/>
        </w:rPr>
        <w:t xml:space="preserve">Low Power-High Interest (Suppliers): </w:t>
      </w:r>
      <w:r>
        <w:t>The suppliers and the vendors are present for the outcome of the business, affecting the suppliers' own income for the rise in the process. Both the suppliers and the vendors are there for different ways (Indeed, 2025).</w:t>
      </w:r>
    </w:p>
    <w:p w14:paraId="372DD4FB" w14:textId="77777777" w:rsidR="00A15321" w:rsidRDefault="00000000">
      <w:r>
        <w:rPr>
          <w:b/>
          <w:bCs/>
        </w:rPr>
        <w:t>Engagement plan</w:t>
      </w:r>
    </w:p>
    <w:p w14:paraId="74506DFB" w14:textId="77777777" w:rsidR="00A15321" w:rsidRDefault="00A15321"/>
    <w:tbl>
      <w:tblPr>
        <w:tblStyle w:val="a5"/>
        <w:tblW w:w="92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15"/>
        <w:gridCol w:w="1305"/>
        <w:gridCol w:w="1215"/>
        <w:gridCol w:w="1245"/>
        <w:gridCol w:w="1320"/>
        <w:gridCol w:w="1320"/>
        <w:gridCol w:w="1320"/>
      </w:tblGrid>
      <w:tr w:rsidR="00A15321" w14:paraId="6FB352A7" w14:textId="77777777">
        <w:tc>
          <w:tcPr>
            <w:tcW w:w="1515" w:type="dxa"/>
            <w:tcMar>
              <w:top w:w="100" w:type="dxa"/>
              <w:left w:w="100" w:type="dxa"/>
              <w:bottom w:w="100" w:type="dxa"/>
              <w:right w:w="100" w:type="dxa"/>
            </w:tcMar>
          </w:tcPr>
          <w:p w14:paraId="4C983D5B" w14:textId="77777777" w:rsidR="00A15321" w:rsidRDefault="00000000">
            <w:pPr>
              <w:widowControl w:val="0"/>
              <w:pBdr>
                <w:top w:val="nil"/>
                <w:left w:val="nil"/>
                <w:bottom w:val="nil"/>
                <w:right w:val="nil"/>
                <w:between w:val="nil"/>
              </w:pBdr>
              <w:rPr>
                <w:b/>
                <w:bCs/>
              </w:rPr>
            </w:pPr>
            <w:r>
              <w:rPr>
                <w:b/>
                <w:bCs/>
              </w:rPr>
              <w:lastRenderedPageBreak/>
              <w:t>Stakeholder Category</w:t>
            </w:r>
          </w:p>
        </w:tc>
        <w:tc>
          <w:tcPr>
            <w:tcW w:w="1305" w:type="dxa"/>
            <w:tcMar>
              <w:top w:w="100" w:type="dxa"/>
              <w:left w:w="100" w:type="dxa"/>
              <w:bottom w:w="100" w:type="dxa"/>
              <w:right w:w="100" w:type="dxa"/>
            </w:tcMar>
          </w:tcPr>
          <w:p w14:paraId="0776999D" w14:textId="77777777" w:rsidR="00A15321" w:rsidRDefault="00000000">
            <w:pPr>
              <w:widowControl w:val="0"/>
              <w:pBdr>
                <w:top w:val="nil"/>
                <w:left w:val="nil"/>
                <w:bottom w:val="nil"/>
                <w:right w:val="nil"/>
                <w:between w:val="nil"/>
              </w:pBdr>
              <w:rPr>
                <w:b/>
                <w:bCs/>
              </w:rPr>
            </w:pPr>
            <w:r>
              <w:rPr>
                <w:b/>
                <w:bCs/>
              </w:rPr>
              <w:t>Stakeholder Segments</w:t>
            </w:r>
          </w:p>
        </w:tc>
        <w:tc>
          <w:tcPr>
            <w:tcW w:w="1215" w:type="dxa"/>
            <w:tcMar>
              <w:top w:w="100" w:type="dxa"/>
              <w:left w:w="100" w:type="dxa"/>
              <w:bottom w:w="100" w:type="dxa"/>
              <w:right w:w="100" w:type="dxa"/>
            </w:tcMar>
          </w:tcPr>
          <w:p w14:paraId="6BEFCF6F" w14:textId="77777777" w:rsidR="00A15321" w:rsidRDefault="00000000">
            <w:pPr>
              <w:widowControl w:val="0"/>
              <w:pBdr>
                <w:top w:val="nil"/>
                <w:left w:val="nil"/>
                <w:bottom w:val="nil"/>
                <w:right w:val="nil"/>
                <w:between w:val="nil"/>
              </w:pBdr>
              <w:rPr>
                <w:b/>
                <w:bCs/>
              </w:rPr>
            </w:pPr>
            <w:r>
              <w:rPr>
                <w:b/>
                <w:bCs/>
              </w:rPr>
              <w:t>Communication</w:t>
            </w:r>
          </w:p>
        </w:tc>
        <w:tc>
          <w:tcPr>
            <w:tcW w:w="1245" w:type="dxa"/>
            <w:tcMar>
              <w:top w:w="100" w:type="dxa"/>
              <w:left w:w="100" w:type="dxa"/>
              <w:bottom w:w="100" w:type="dxa"/>
              <w:right w:w="100" w:type="dxa"/>
            </w:tcMar>
          </w:tcPr>
          <w:p w14:paraId="69F5C664" w14:textId="77777777" w:rsidR="00A15321" w:rsidRDefault="00000000">
            <w:pPr>
              <w:widowControl w:val="0"/>
              <w:pBdr>
                <w:top w:val="nil"/>
                <w:left w:val="nil"/>
                <w:bottom w:val="nil"/>
                <w:right w:val="nil"/>
                <w:between w:val="nil"/>
              </w:pBdr>
              <w:rPr>
                <w:b/>
                <w:bCs/>
              </w:rPr>
            </w:pPr>
            <w:r>
              <w:rPr>
                <w:b/>
                <w:bCs/>
              </w:rPr>
              <w:t>Engagement Methods</w:t>
            </w:r>
          </w:p>
        </w:tc>
        <w:tc>
          <w:tcPr>
            <w:tcW w:w="1320" w:type="dxa"/>
            <w:tcMar>
              <w:top w:w="100" w:type="dxa"/>
              <w:left w:w="100" w:type="dxa"/>
              <w:bottom w:w="100" w:type="dxa"/>
              <w:right w:w="100" w:type="dxa"/>
            </w:tcMar>
          </w:tcPr>
          <w:p w14:paraId="14C8C7EB" w14:textId="77777777" w:rsidR="00A15321" w:rsidRDefault="00000000">
            <w:pPr>
              <w:widowControl w:val="0"/>
              <w:pBdr>
                <w:top w:val="nil"/>
                <w:left w:val="nil"/>
                <w:bottom w:val="nil"/>
                <w:right w:val="nil"/>
                <w:between w:val="nil"/>
              </w:pBdr>
              <w:rPr>
                <w:b/>
                <w:bCs/>
              </w:rPr>
            </w:pPr>
            <w:r>
              <w:rPr>
                <w:b/>
                <w:bCs/>
              </w:rPr>
              <w:t>Influence</w:t>
            </w:r>
          </w:p>
        </w:tc>
        <w:tc>
          <w:tcPr>
            <w:tcW w:w="1320" w:type="dxa"/>
            <w:tcMar>
              <w:top w:w="100" w:type="dxa"/>
              <w:left w:w="100" w:type="dxa"/>
              <w:bottom w:w="100" w:type="dxa"/>
              <w:right w:w="100" w:type="dxa"/>
            </w:tcMar>
          </w:tcPr>
          <w:p w14:paraId="75AA30D3" w14:textId="77777777" w:rsidR="00A15321" w:rsidRDefault="00000000">
            <w:pPr>
              <w:widowControl w:val="0"/>
              <w:pBdr>
                <w:top w:val="nil"/>
                <w:left w:val="nil"/>
                <w:bottom w:val="nil"/>
                <w:right w:val="nil"/>
                <w:between w:val="nil"/>
              </w:pBdr>
              <w:rPr>
                <w:b/>
                <w:bCs/>
              </w:rPr>
            </w:pPr>
            <w:r>
              <w:rPr>
                <w:b/>
                <w:bCs/>
              </w:rPr>
              <w:t>Interest</w:t>
            </w:r>
          </w:p>
        </w:tc>
        <w:tc>
          <w:tcPr>
            <w:tcW w:w="1320" w:type="dxa"/>
            <w:tcMar>
              <w:top w:w="100" w:type="dxa"/>
              <w:left w:w="100" w:type="dxa"/>
              <w:bottom w:w="100" w:type="dxa"/>
              <w:right w:w="100" w:type="dxa"/>
            </w:tcMar>
          </w:tcPr>
          <w:p w14:paraId="1D20002C" w14:textId="77777777" w:rsidR="00A15321" w:rsidRDefault="00000000">
            <w:pPr>
              <w:widowControl w:val="0"/>
              <w:pBdr>
                <w:top w:val="nil"/>
                <w:left w:val="nil"/>
                <w:bottom w:val="nil"/>
                <w:right w:val="nil"/>
                <w:between w:val="nil"/>
              </w:pBdr>
              <w:rPr>
                <w:b/>
                <w:bCs/>
              </w:rPr>
            </w:pPr>
            <w:r>
              <w:rPr>
                <w:b/>
                <w:bCs/>
              </w:rPr>
              <w:t>Interest, Benefits, Concerns</w:t>
            </w:r>
          </w:p>
        </w:tc>
      </w:tr>
      <w:tr w:rsidR="00A15321" w14:paraId="147E768A" w14:textId="77777777">
        <w:tc>
          <w:tcPr>
            <w:tcW w:w="1515" w:type="dxa"/>
            <w:tcMar>
              <w:top w:w="100" w:type="dxa"/>
              <w:left w:w="100" w:type="dxa"/>
              <w:bottom w:w="100" w:type="dxa"/>
              <w:right w:w="100" w:type="dxa"/>
            </w:tcMar>
          </w:tcPr>
          <w:p w14:paraId="4D76B320" w14:textId="77777777" w:rsidR="00A15321" w:rsidRDefault="00000000">
            <w:r>
              <w:rPr>
                <w:b/>
                <w:bCs/>
              </w:rPr>
              <w:t>Marketing Team</w:t>
            </w:r>
          </w:p>
        </w:tc>
        <w:tc>
          <w:tcPr>
            <w:tcW w:w="1305" w:type="dxa"/>
            <w:tcMar>
              <w:top w:w="100" w:type="dxa"/>
              <w:left w:w="100" w:type="dxa"/>
              <w:bottom w:w="100" w:type="dxa"/>
              <w:right w:w="100" w:type="dxa"/>
            </w:tcMar>
          </w:tcPr>
          <w:p w14:paraId="5DC2A02D" w14:textId="77777777" w:rsidR="00A15321" w:rsidRDefault="00000000">
            <w:pPr>
              <w:widowControl w:val="0"/>
              <w:pBdr>
                <w:top w:val="nil"/>
                <w:left w:val="nil"/>
                <w:bottom w:val="nil"/>
                <w:right w:val="nil"/>
                <w:between w:val="nil"/>
              </w:pBdr>
            </w:pPr>
            <w:r>
              <w:t xml:space="preserve">Dividing stakeholders such as the customers, employees, investors and community leaders. </w:t>
            </w:r>
          </w:p>
        </w:tc>
        <w:tc>
          <w:tcPr>
            <w:tcW w:w="1215" w:type="dxa"/>
            <w:tcMar>
              <w:top w:w="100" w:type="dxa"/>
              <w:left w:w="100" w:type="dxa"/>
              <w:bottom w:w="100" w:type="dxa"/>
              <w:right w:w="100" w:type="dxa"/>
            </w:tcMar>
          </w:tcPr>
          <w:p w14:paraId="0E87B81D" w14:textId="77777777" w:rsidR="00A15321" w:rsidRDefault="00000000">
            <w:pPr>
              <w:widowControl w:val="0"/>
              <w:pBdr>
                <w:top w:val="nil"/>
                <w:left w:val="nil"/>
                <w:bottom w:val="nil"/>
                <w:right w:val="nil"/>
                <w:between w:val="nil"/>
              </w:pBdr>
            </w:pPr>
            <w:r>
              <w:t>The drive is for the campaign's success with alignment of the goals and boost with the source meetings.</w:t>
            </w:r>
          </w:p>
        </w:tc>
        <w:tc>
          <w:tcPr>
            <w:tcW w:w="1245" w:type="dxa"/>
            <w:tcMar>
              <w:top w:w="100" w:type="dxa"/>
              <w:left w:w="100" w:type="dxa"/>
              <w:bottom w:w="100" w:type="dxa"/>
              <w:right w:w="100" w:type="dxa"/>
            </w:tcMar>
          </w:tcPr>
          <w:p w14:paraId="07AEFB3E" w14:textId="77777777" w:rsidR="00A15321" w:rsidRDefault="00000000">
            <w:pPr>
              <w:widowControl w:val="0"/>
              <w:pBdr>
                <w:top w:val="nil"/>
                <w:left w:val="nil"/>
                <w:bottom w:val="nil"/>
                <w:right w:val="nil"/>
                <w:between w:val="nil"/>
              </w:pBdr>
            </w:pPr>
            <w:r>
              <w:t>The gamification with rewards involves cross-functional collaboration.</w:t>
            </w:r>
          </w:p>
        </w:tc>
        <w:tc>
          <w:tcPr>
            <w:tcW w:w="1320" w:type="dxa"/>
            <w:tcMar>
              <w:top w:w="100" w:type="dxa"/>
              <w:left w:w="100" w:type="dxa"/>
              <w:bottom w:w="100" w:type="dxa"/>
              <w:right w:w="100" w:type="dxa"/>
            </w:tcMar>
          </w:tcPr>
          <w:p w14:paraId="5EE930AB" w14:textId="77777777" w:rsidR="00A15321" w:rsidRDefault="00000000">
            <w:pPr>
              <w:widowControl w:val="0"/>
              <w:pBdr>
                <w:top w:val="nil"/>
                <w:left w:val="nil"/>
                <w:bottom w:val="nil"/>
                <w:right w:val="nil"/>
                <w:between w:val="nil"/>
              </w:pBdr>
            </w:pPr>
            <w:r>
              <w:t>Marketing impacts the building of brand awareness for the strategic form of communication. This will help in strategic growth.</w:t>
            </w:r>
          </w:p>
        </w:tc>
        <w:tc>
          <w:tcPr>
            <w:tcW w:w="1320" w:type="dxa"/>
            <w:tcMar>
              <w:top w:w="100" w:type="dxa"/>
              <w:left w:w="100" w:type="dxa"/>
              <w:bottom w:w="100" w:type="dxa"/>
              <w:right w:w="100" w:type="dxa"/>
            </w:tcMar>
          </w:tcPr>
          <w:p w14:paraId="32FD0456" w14:textId="77777777" w:rsidR="00A15321" w:rsidRDefault="00000000">
            <w:pPr>
              <w:widowControl w:val="0"/>
              <w:pBdr>
                <w:top w:val="nil"/>
                <w:left w:val="nil"/>
                <w:bottom w:val="nil"/>
                <w:right w:val="nil"/>
                <w:between w:val="nil"/>
              </w:pBdr>
            </w:pPr>
            <w:r>
              <w:t>Driving brand awareness with the marketing manager. Thesis for the optimisation of the data for engagement.</w:t>
            </w:r>
          </w:p>
        </w:tc>
        <w:tc>
          <w:tcPr>
            <w:tcW w:w="1320" w:type="dxa"/>
            <w:tcMar>
              <w:top w:w="100" w:type="dxa"/>
              <w:left w:w="100" w:type="dxa"/>
              <w:bottom w:w="100" w:type="dxa"/>
              <w:right w:w="100" w:type="dxa"/>
            </w:tcMar>
          </w:tcPr>
          <w:p w14:paraId="2F9C2685" w14:textId="77777777" w:rsidR="00A15321" w:rsidRDefault="00000000">
            <w:pPr>
              <w:widowControl w:val="0"/>
              <w:pBdr>
                <w:top w:val="nil"/>
                <w:left w:val="nil"/>
                <w:bottom w:val="nil"/>
                <w:right w:val="nil"/>
                <w:between w:val="nil"/>
              </w:pBdr>
            </w:pPr>
            <w:r>
              <w:t>Marketing is based on the flow of lead generation with the customer engagement process, with the relationship management for market research.</w:t>
            </w:r>
          </w:p>
        </w:tc>
      </w:tr>
      <w:tr w:rsidR="00A15321" w14:paraId="031E24E7" w14:textId="77777777">
        <w:tc>
          <w:tcPr>
            <w:tcW w:w="1515" w:type="dxa"/>
            <w:tcMar>
              <w:top w:w="100" w:type="dxa"/>
              <w:left w:w="100" w:type="dxa"/>
              <w:bottom w:w="100" w:type="dxa"/>
              <w:right w:w="100" w:type="dxa"/>
            </w:tcMar>
          </w:tcPr>
          <w:p w14:paraId="529644C7" w14:textId="77777777" w:rsidR="00A15321" w:rsidRDefault="00000000">
            <w:r>
              <w:rPr>
                <w:b/>
                <w:bCs/>
              </w:rPr>
              <w:t xml:space="preserve">Project Manager </w:t>
            </w:r>
          </w:p>
        </w:tc>
        <w:tc>
          <w:tcPr>
            <w:tcW w:w="1305" w:type="dxa"/>
            <w:tcMar>
              <w:top w:w="100" w:type="dxa"/>
              <w:left w:w="100" w:type="dxa"/>
              <w:bottom w:w="100" w:type="dxa"/>
              <w:right w:w="100" w:type="dxa"/>
            </w:tcMar>
          </w:tcPr>
          <w:p w14:paraId="69D96C6B" w14:textId="77777777" w:rsidR="00A15321" w:rsidRDefault="00000000">
            <w:pPr>
              <w:widowControl w:val="0"/>
              <w:pBdr>
                <w:top w:val="nil"/>
                <w:left w:val="nil"/>
                <w:bottom w:val="nil"/>
                <w:right w:val="nil"/>
                <w:between w:val="nil"/>
              </w:pBdr>
            </w:pPr>
            <w:r>
              <w:t xml:space="preserve">These segments are primarily in the divisions of the internal and external </w:t>
            </w:r>
            <w:r>
              <w:lastRenderedPageBreak/>
              <w:t xml:space="preserve">factors alike; the base is on the team and the sponsor. </w:t>
            </w:r>
          </w:p>
        </w:tc>
        <w:tc>
          <w:tcPr>
            <w:tcW w:w="1215" w:type="dxa"/>
            <w:tcMar>
              <w:top w:w="100" w:type="dxa"/>
              <w:left w:w="100" w:type="dxa"/>
              <w:bottom w:w="100" w:type="dxa"/>
              <w:right w:w="100" w:type="dxa"/>
            </w:tcMar>
          </w:tcPr>
          <w:p w14:paraId="552134D0" w14:textId="77777777" w:rsidR="00A15321" w:rsidRDefault="00000000">
            <w:pPr>
              <w:widowControl w:val="0"/>
              <w:pBdr>
                <w:top w:val="nil"/>
                <w:left w:val="nil"/>
                <w:bottom w:val="nil"/>
                <w:right w:val="nil"/>
                <w:between w:val="nil"/>
              </w:pBdr>
            </w:pPr>
            <w:r>
              <w:lastRenderedPageBreak/>
              <w:t>The interaction for the real-time push is for the two-way process; the video conferenc</w:t>
            </w:r>
            <w:r>
              <w:lastRenderedPageBreak/>
              <w:t>e is for the push and the pull technique.</w:t>
            </w:r>
          </w:p>
        </w:tc>
        <w:tc>
          <w:tcPr>
            <w:tcW w:w="1245" w:type="dxa"/>
            <w:tcMar>
              <w:top w:w="100" w:type="dxa"/>
              <w:left w:w="100" w:type="dxa"/>
              <w:bottom w:w="100" w:type="dxa"/>
              <w:right w:w="100" w:type="dxa"/>
            </w:tcMar>
          </w:tcPr>
          <w:p w14:paraId="75F3F7A3" w14:textId="77777777" w:rsidR="00A15321" w:rsidRDefault="00000000">
            <w:pPr>
              <w:widowControl w:val="0"/>
              <w:pBdr>
                <w:top w:val="nil"/>
                <w:left w:val="nil"/>
                <w:bottom w:val="nil"/>
                <w:right w:val="nil"/>
                <w:between w:val="nil"/>
              </w:pBdr>
            </w:pPr>
            <w:r>
              <w:lastRenderedPageBreak/>
              <w:t xml:space="preserve">This can be used in the process of the tailored communication plan and the active </w:t>
            </w:r>
            <w:r>
              <w:lastRenderedPageBreak/>
              <w:t>listening and feedback process.</w:t>
            </w:r>
          </w:p>
        </w:tc>
        <w:tc>
          <w:tcPr>
            <w:tcW w:w="1320" w:type="dxa"/>
            <w:tcMar>
              <w:top w:w="100" w:type="dxa"/>
              <w:left w:w="100" w:type="dxa"/>
              <w:bottom w:w="100" w:type="dxa"/>
              <w:right w:w="100" w:type="dxa"/>
            </w:tcMar>
          </w:tcPr>
          <w:p w14:paraId="2B700D85" w14:textId="77777777" w:rsidR="00A15321" w:rsidRDefault="00000000">
            <w:pPr>
              <w:widowControl w:val="0"/>
              <w:pBdr>
                <w:top w:val="nil"/>
                <w:left w:val="nil"/>
                <w:bottom w:val="nil"/>
                <w:right w:val="nil"/>
                <w:between w:val="nil"/>
              </w:pBdr>
            </w:pPr>
            <w:r>
              <w:lastRenderedPageBreak/>
              <w:t>The ability to guide the persuasion for the alignment of the stakeholders will be for the achieveme</w:t>
            </w:r>
            <w:r>
              <w:lastRenderedPageBreak/>
              <w:t>nt of the direct formal authority.</w:t>
            </w:r>
          </w:p>
        </w:tc>
        <w:tc>
          <w:tcPr>
            <w:tcW w:w="1320" w:type="dxa"/>
            <w:tcMar>
              <w:top w:w="100" w:type="dxa"/>
              <w:left w:w="100" w:type="dxa"/>
              <w:bottom w:w="100" w:type="dxa"/>
              <w:right w:w="100" w:type="dxa"/>
            </w:tcMar>
          </w:tcPr>
          <w:p w14:paraId="04C370FA" w14:textId="77777777" w:rsidR="00A15321" w:rsidRDefault="00000000">
            <w:pPr>
              <w:widowControl w:val="0"/>
              <w:pBdr>
                <w:top w:val="nil"/>
                <w:left w:val="nil"/>
                <w:bottom w:val="nil"/>
                <w:right w:val="nil"/>
                <w:between w:val="nil"/>
              </w:pBdr>
            </w:pPr>
            <w:r>
              <w:lastRenderedPageBreak/>
              <w:t xml:space="preserve">The ability for the lead the cross functional possess for professional growth with different projects. </w:t>
            </w:r>
          </w:p>
        </w:tc>
        <w:tc>
          <w:tcPr>
            <w:tcW w:w="1320" w:type="dxa"/>
            <w:tcMar>
              <w:top w:w="100" w:type="dxa"/>
              <w:left w:w="100" w:type="dxa"/>
              <w:bottom w:w="100" w:type="dxa"/>
              <w:right w:w="100" w:type="dxa"/>
            </w:tcMar>
          </w:tcPr>
          <w:p w14:paraId="58D1C923" w14:textId="77777777" w:rsidR="00A15321" w:rsidRDefault="00000000">
            <w:pPr>
              <w:widowControl w:val="0"/>
              <w:pBdr>
                <w:top w:val="nil"/>
                <w:left w:val="nil"/>
                <w:bottom w:val="nil"/>
                <w:right w:val="nil"/>
                <w:between w:val="nil"/>
              </w:pBdr>
            </w:pPr>
            <w:r>
              <w:t xml:space="preserve">This field is in operation for the leadership development for the diverse industry options </w:t>
            </w:r>
            <w:r>
              <w:lastRenderedPageBreak/>
              <w:t>with the human element.</w:t>
            </w:r>
          </w:p>
        </w:tc>
      </w:tr>
      <w:tr w:rsidR="00A15321" w14:paraId="6B811EEF" w14:textId="77777777">
        <w:tc>
          <w:tcPr>
            <w:tcW w:w="1515" w:type="dxa"/>
            <w:tcMar>
              <w:top w:w="100" w:type="dxa"/>
              <w:left w:w="100" w:type="dxa"/>
              <w:bottom w:w="100" w:type="dxa"/>
              <w:right w:w="100" w:type="dxa"/>
            </w:tcMar>
          </w:tcPr>
          <w:p w14:paraId="367A5596" w14:textId="77777777" w:rsidR="00A15321" w:rsidRDefault="00000000">
            <w:r>
              <w:rPr>
                <w:b/>
                <w:bCs/>
              </w:rPr>
              <w:lastRenderedPageBreak/>
              <w:t xml:space="preserve">Legal Team </w:t>
            </w:r>
          </w:p>
        </w:tc>
        <w:tc>
          <w:tcPr>
            <w:tcW w:w="1305" w:type="dxa"/>
            <w:tcMar>
              <w:top w:w="100" w:type="dxa"/>
              <w:left w:w="100" w:type="dxa"/>
              <w:bottom w:w="100" w:type="dxa"/>
              <w:right w:w="100" w:type="dxa"/>
            </w:tcMar>
          </w:tcPr>
          <w:p w14:paraId="0E3220A8" w14:textId="77777777" w:rsidR="00A15321" w:rsidRDefault="00000000">
            <w:pPr>
              <w:widowControl w:val="0"/>
              <w:pBdr>
                <w:top w:val="nil"/>
                <w:left w:val="nil"/>
                <w:bottom w:val="nil"/>
                <w:right w:val="nil"/>
                <w:between w:val="nil"/>
              </w:pBdr>
            </w:pPr>
            <w:r>
              <w:t xml:space="preserve">The stakeholders are there for the Board of Directors, the CEO, and the executive management, with the functional departments. </w:t>
            </w:r>
          </w:p>
        </w:tc>
        <w:tc>
          <w:tcPr>
            <w:tcW w:w="1215" w:type="dxa"/>
            <w:tcMar>
              <w:top w:w="100" w:type="dxa"/>
              <w:left w:w="100" w:type="dxa"/>
              <w:bottom w:w="100" w:type="dxa"/>
              <w:right w:w="100" w:type="dxa"/>
            </w:tcMar>
          </w:tcPr>
          <w:p w14:paraId="341B8A40" w14:textId="77777777" w:rsidR="00A15321" w:rsidRDefault="00000000">
            <w:pPr>
              <w:widowControl w:val="0"/>
              <w:pBdr>
                <w:top w:val="nil"/>
                <w:left w:val="nil"/>
                <w:bottom w:val="nil"/>
                <w:right w:val="nil"/>
                <w:between w:val="nil"/>
              </w:pBdr>
            </w:pPr>
            <w:r>
              <w:t xml:space="preserve">Standardisation of the code format for communication can address the gap. </w:t>
            </w:r>
          </w:p>
        </w:tc>
        <w:tc>
          <w:tcPr>
            <w:tcW w:w="1245" w:type="dxa"/>
            <w:tcMar>
              <w:top w:w="100" w:type="dxa"/>
              <w:left w:w="100" w:type="dxa"/>
              <w:bottom w:w="100" w:type="dxa"/>
              <w:right w:w="100" w:type="dxa"/>
            </w:tcMar>
          </w:tcPr>
          <w:p w14:paraId="1F937C17" w14:textId="77777777" w:rsidR="00A15321" w:rsidRDefault="00000000">
            <w:pPr>
              <w:widowControl w:val="0"/>
              <w:pBdr>
                <w:top w:val="nil"/>
                <w:left w:val="nil"/>
                <w:bottom w:val="nil"/>
                <w:right w:val="nil"/>
                <w:between w:val="nil"/>
              </w:pBdr>
            </w:pPr>
            <w:r>
              <w:t>The conduct of the collaborative culture involves clear goal setting and feedback.</w:t>
            </w:r>
          </w:p>
        </w:tc>
        <w:tc>
          <w:tcPr>
            <w:tcW w:w="1320" w:type="dxa"/>
            <w:tcMar>
              <w:top w:w="100" w:type="dxa"/>
              <w:left w:w="100" w:type="dxa"/>
              <w:bottom w:w="100" w:type="dxa"/>
              <w:right w:w="100" w:type="dxa"/>
            </w:tcMar>
          </w:tcPr>
          <w:p w14:paraId="780C32BA" w14:textId="77777777" w:rsidR="00A15321" w:rsidRDefault="00000000">
            <w:pPr>
              <w:widowControl w:val="0"/>
              <w:pBdr>
                <w:top w:val="nil"/>
                <w:left w:val="nil"/>
                <w:bottom w:val="nil"/>
                <w:right w:val="nil"/>
                <w:between w:val="nil"/>
              </w:pBdr>
            </w:pPr>
            <w:r>
              <w:t>The high-level decision-making of the mergers and acquisitions will be there for the business strategy. The risk is in management.</w:t>
            </w:r>
          </w:p>
        </w:tc>
        <w:tc>
          <w:tcPr>
            <w:tcW w:w="1320" w:type="dxa"/>
            <w:tcMar>
              <w:top w:w="100" w:type="dxa"/>
              <w:left w:w="100" w:type="dxa"/>
              <w:bottom w:w="100" w:type="dxa"/>
              <w:right w:w="100" w:type="dxa"/>
            </w:tcMar>
          </w:tcPr>
          <w:p w14:paraId="07030881" w14:textId="77777777" w:rsidR="00A15321" w:rsidRDefault="00000000">
            <w:pPr>
              <w:widowControl w:val="0"/>
              <w:pBdr>
                <w:top w:val="nil"/>
                <w:left w:val="nil"/>
                <w:bottom w:val="nil"/>
                <w:right w:val="nil"/>
                <w:between w:val="nil"/>
              </w:pBdr>
            </w:pPr>
            <w:r>
              <w:t>The protective format for the motivation of the risks in the contract lifecycle management.</w:t>
            </w:r>
          </w:p>
        </w:tc>
        <w:tc>
          <w:tcPr>
            <w:tcW w:w="1320" w:type="dxa"/>
            <w:tcMar>
              <w:top w:w="100" w:type="dxa"/>
              <w:left w:w="100" w:type="dxa"/>
              <w:bottom w:w="100" w:type="dxa"/>
              <w:right w:w="100" w:type="dxa"/>
            </w:tcMar>
          </w:tcPr>
          <w:p w14:paraId="1A69E4F4" w14:textId="77777777" w:rsidR="00A15321" w:rsidRDefault="00000000">
            <w:pPr>
              <w:widowControl w:val="0"/>
              <w:pBdr>
                <w:top w:val="nil"/>
                <w:left w:val="nil"/>
                <w:bottom w:val="nil"/>
                <w:right w:val="nil"/>
                <w:between w:val="nil"/>
              </w:pBdr>
            </w:pPr>
            <w:r>
              <w:t>Contract management and negotiation, the strategic advisory can be given with the intellectual property and protection regarding that</w:t>
            </w:r>
          </w:p>
        </w:tc>
      </w:tr>
      <w:tr w:rsidR="00A15321" w14:paraId="20DA3B01" w14:textId="77777777">
        <w:tc>
          <w:tcPr>
            <w:tcW w:w="1515" w:type="dxa"/>
            <w:tcMar>
              <w:top w:w="100" w:type="dxa"/>
              <w:left w:w="100" w:type="dxa"/>
              <w:bottom w:w="100" w:type="dxa"/>
              <w:right w:w="100" w:type="dxa"/>
            </w:tcMar>
          </w:tcPr>
          <w:p w14:paraId="538C9CCD" w14:textId="77777777" w:rsidR="00A15321" w:rsidRDefault="00000000">
            <w:r>
              <w:rPr>
                <w:b/>
                <w:bCs/>
              </w:rPr>
              <w:t xml:space="preserve">Customers </w:t>
            </w:r>
          </w:p>
        </w:tc>
        <w:tc>
          <w:tcPr>
            <w:tcW w:w="1305" w:type="dxa"/>
            <w:tcMar>
              <w:top w:w="100" w:type="dxa"/>
              <w:left w:w="100" w:type="dxa"/>
              <w:bottom w:w="100" w:type="dxa"/>
              <w:right w:w="100" w:type="dxa"/>
            </w:tcMar>
          </w:tcPr>
          <w:p w14:paraId="5468468E" w14:textId="77777777" w:rsidR="00A15321" w:rsidRDefault="00000000">
            <w:pPr>
              <w:widowControl w:val="0"/>
              <w:pBdr>
                <w:top w:val="nil"/>
                <w:left w:val="nil"/>
                <w:bottom w:val="nil"/>
                <w:right w:val="nil"/>
                <w:between w:val="nil"/>
              </w:pBdr>
            </w:pPr>
            <w:r>
              <w:t xml:space="preserve">The division of the customer base into distinct orders, the </w:t>
            </w:r>
            <w:r>
              <w:lastRenderedPageBreak/>
              <w:t>basis for the shared format of characteristics, includes demographic, geographic and value-based output.</w:t>
            </w:r>
          </w:p>
        </w:tc>
        <w:tc>
          <w:tcPr>
            <w:tcW w:w="1215" w:type="dxa"/>
            <w:tcMar>
              <w:top w:w="100" w:type="dxa"/>
              <w:left w:w="100" w:type="dxa"/>
              <w:bottom w:w="100" w:type="dxa"/>
              <w:right w:w="100" w:type="dxa"/>
            </w:tcMar>
          </w:tcPr>
          <w:p w14:paraId="3F678682" w14:textId="77777777" w:rsidR="00A15321" w:rsidRDefault="00000000">
            <w:pPr>
              <w:widowControl w:val="0"/>
              <w:pBdr>
                <w:top w:val="nil"/>
                <w:left w:val="nil"/>
                <w:bottom w:val="nil"/>
                <w:right w:val="nil"/>
                <w:between w:val="nil"/>
              </w:pBdr>
            </w:pPr>
            <w:r>
              <w:lastRenderedPageBreak/>
              <w:t xml:space="preserve">This is in the following order: the interactions can be between </w:t>
            </w:r>
            <w:r>
              <w:lastRenderedPageBreak/>
              <w:t>the business and their customers in the channels, with the aspect of patience.</w:t>
            </w:r>
          </w:p>
        </w:tc>
        <w:tc>
          <w:tcPr>
            <w:tcW w:w="1245" w:type="dxa"/>
            <w:tcMar>
              <w:top w:w="100" w:type="dxa"/>
              <w:left w:w="100" w:type="dxa"/>
              <w:bottom w:w="100" w:type="dxa"/>
              <w:right w:w="100" w:type="dxa"/>
            </w:tcMar>
          </w:tcPr>
          <w:p w14:paraId="01A009AA" w14:textId="77777777" w:rsidR="00A15321" w:rsidRDefault="00000000">
            <w:pPr>
              <w:widowControl w:val="0"/>
              <w:pBdr>
                <w:top w:val="nil"/>
                <w:left w:val="nil"/>
                <w:bottom w:val="nil"/>
                <w:right w:val="nil"/>
                <w:between w:val="nil"/>
              </w:pBdr>
            </w:pPr>
            <w:r>
              <w:lastRenderedPageBreak/>
              <w:t>Personalised communication with social media engageme</w:t>
            </w:r>
            <w:r>
              <w:lastRenderedPageBreak/>
              <w:t xml:space="preserve">nt, with initiative-taking customer support, with loyalty and rewards programs. </w:t>
            </w:r>
          </w:p>
        </w:tc>
        <w:tc>
          <w:tcPr>
            <w:tcW w:w="1320" w:type="dxa"/>
            <w:tcMar>
              <w:top w:w="100" w:type="dxa"/>
              <w:left w:w="100" w:type="dxa"/>
              <w:bottom w:w="100" w:type="dxa"/>
              <w:right w:w="100" w:type="dxa"/>
            </w:tcMar>
          </w:tcPr>
          <w:p w14:paraId="739F6977" w14:textId="77777777" w:rsidR="00A15321" w:rsidRDefault="00000000">
            <w:pPr>
              <w:widowControl w:val="0"/>
              <w:pBdr>
                <w:top w:val="nil"/>
                <w:left w:val="nil"/>
                <w:bottom w:val="nil"/>
                <w:right w:val="nil"/>
                <w:between w:val="nil"/>
              </w:pBdr>
            </w:pPr>
            <w:r>
              <w:lastRenderedPageBreak/>
              <w:t xml:space="preserve">Th use of the driving brand and the reputation with the green </w:t>
            </w:r>
            <w:r>
              <w:lastRenderedPageBreak/>
              <w:t>innovation for the shaping of the products or services.</w:t>
            </w:r>
          </w:p>
        </w:tc>
        <w:tc>
          <w:tcPr>
            <w:tcW w:w="1320" w:type="dxa"/>
            <w:tcMar>
              <w:top w:w="100" w:type="dxa"/>
              <w:left w:w="100" w:type="dxa"/>
              <w:bottom w:w="100" w:type="dxa"/>
              <w:right w:w="100" w:type="dxa"/>
            </w:tcMar>
          </w:tcPr>
          <w:p w14:paraId="459DE89A" w14:textId="77777777" w:rsidR="00A15321" w:rsidRDefault="00000000">
            <w:pPr>
              <w:widowControl w:val="0"/>
              <w:pBdr>
                <w:top w:val="nil"/>
                <w:left w:val="nil"/>
                <w:bottom w:val="nil"/>
                <w:right w:val="nil"/>
                <w:between w:val="nil"/>
              </w:pBdr>
            </w:pPr>
            <w:r>
              <w:lastRenderedPageBreak/>
              <w:t xml:space="preserve">Customers represent hit preferences, curiosity, and the intents can </w:t>
            </w:r>
            <w:r>
              <w:lastRenderedPageBreak/>
              <w:t>be for the products and services, the direct feedback and surveys can be understood with the strategic boosters.</w:t>
            </w:r>
          </w:p>
        </w:tc>
        <w:tc>
          <w:tcPr>
            <w:tcW w:w="1320" w:type="dxa"/>
            <w:tcMar>
              <w:top w:w="100" w:type="dxa"/>
              <w:left w:w="100" w:type="dxa"/>
              <w:bottom w:w="100" w:type="dxa"/>
              <w:right w:w="100" w:type="dxa"/>
            </w:tcMar>
          </w:tcPr>
          <w:p w14:paraId="55F13063" w14:textId="77777777" w:rsidR="00A15321" w:rsidRDefault="00000000">
            <w:pPr>
              <w:widowControl w:val="0"/>
              <w:pBdr>
                <w:top w:val="nil"/>
                <w:left w:val="nil"/>
                <w:bottom w:val="nil"/>
                <w:right w:val="nil"/>
                <w:between w:val="nil"/>
              </w:pBdr>
            </w:pPr>
            <w:r>
              <w:lastRenderedPageBreak/>
              <w:t xml:space="preserve">This is for convenience and speed with personalisation, with the value </w:t>
            </w:r>
            <w:r>
              <w:lastRenderedPageBreak/>
              <w:t xml:space="preserve">and reliability, and the sustainability can be used for ethics. </w:t>
            </w:r>
          </w:p>
        </w:tc>
      </w:tr>
      <w:tr w:rsidR="00A15321" w14:paraId="34FF0DFF" w14:textId="77777777">
        <w:tc>
          <w:tcPr>
            <w:tcW w:w="1515" w:type="dxa"/>
            <w:tcMar>
              <w:top w:w="100" w:type="dxa"/>
              <w:left w:w="100" w:type="dxa"/>
              <w:bottom w:w="100" w:type="dxa"/>
              <w:right w:w="100" w:type="dxa"/>
            </w:tcMar>
          </w:tcPr>
          <w:p w14:paraId="6F16648F" w14:textId="77777777" w:rsidR="00A15321" w:rsidRDefault="00000000">
            <w:pPr>
              <w:rPr>
                <w:b/>
                <w:bCs/>
              </w:rPr>
            </w:pPr>
            <w:r>
              <w:rPr>
                <w:b/>
                <w:bCs/>
              </w:rPr>
              <w:lastRenderedPageBreak/>
              <w:t>Government</w:t>
            </w:r>
          </w:p>
        </w:tc>
        <w:tc>
          <w:tcPr>
            <w:tcW w:w="1305" w:type="dxa"/>
            <w:tcMar>
              <w:top w:w="100" w:type="dxa"/>
              <w:left w:w="100" w:type="dxa"/>
              <w:bottom w:w="100" w:type="dxa"/>
              <w:right w:w="100" w:type="dxa"/>
            </w:tcMar>
          </w:tcPr>
          <w:p w14:paraId="491CC1ED" w14:textId="77777777" w:rsidR="00A15321" w:rsidRDefault="00000000">
            <w:pPr>
              <w:widowControl w:val="0"/>
              <w:pBdr>
                <w:top w:val="nil"/>
                <w:left w:val="nil"/>
                <w:bottom w:val="nil"/>
                <w:right w:val="nil"/>
                <w:between w:val="nil"/>
              </w:pBdr>
            </w:pPr>
            <w:r>
              <w:t xml:space="preserve">The use of the private sector and the business, the civil society and the advocacy for the groups will be there for the external format for the </w:t>
            </w:r>
            <w:r>
              <w:lastRenderedPageBreak/>
              <w:t>partners and the third sector.</w:t>
            </w:r>
          </w:p>
        </w:tc>
        <w:tc>
          <w:tcPr>
            <w:tcW w:w="1215" w:type="dxa"/>
            <w:tcMar>
              <w:top w:w="100" w:type="dxa"/>
              <w:left w:w="100" w:type="dxa"/>
              <w:bottom w:w="100" w:type="dxa"/>
              <w:right w:w="100" w:type="dxa"/>
            </w:tcMar>
          </w:tcPr>
          <w:p w14:paraId="6F48843A" w14:textId="77777777" w:rsidR="00A15321" w:rsidRDefault="00000000">
            <w:pPr>
              <w:widowControl w:val="0"/>
              <w:pBdr>
                <w:top w:val="nil"/>
                <w:left w:val="nil"/>
                <w:bottom w:val="nil"/>
                <w:right w:val="nil"/>
                <w:between w:val="nil"/>
              </w:pBdr>
            </w:pPr>
            <w:r>
              <w:lastRenderedPageBreak/>
              <w:t>The role of the serves for the public trusts that they fight against misinformation can be the reason for the policy decisions.</w:t>
            </w:r>
          </w:p>
        </w:tc>
        <w:tc>
          <w:tcPr>
            <w:tcW w:w="1245" w:type="dxa"/>
            <w:tcMar>
              <w:top w:w="100" w:type="dxa"/>
              <w:left w:w="100" w:type="dxa"/>
              <w:bottom w:w="100" w:type="dxa"/>
              <w:right w:w="100" w:type="dxa"/>
            </w:tcMar>
          </w:tcPr>
          <w:p w14:paraId="4C058AD3" w14:textId="77777777" w:rsidR="00A15321" w:rsidRDefault="00000000">
            <w:pPr>
              <w:widowControl w:val="0"/>
              <w:pBdr>
                <w:top w:val="nil"/>
                <w:left w:val="nil"/>
                <w:bottom w:val="nil"/>
                <w:right w:val="nil"/>
                <w:between w:val="nil"/>
              </w:pBdr>
            </w:pPr>
            <w:r>
              <w:t xml:space="preserve">The engineering of the policy makers for the public headings of the workshops for the input on the policy decision for ensuring the local </w:t>
            </w:r>
            <w:r>
              <w:lastRenderedPageBreak/>
              <w:t>context.</w:t>
            </w:r>
          </w:p>
        </w:tc>
        <w:tc>
          <w:tcPr>
            <w:tcW w:w="1320" w:type="dxa"/>
            <w:tcMar>
              <w:top w:w="100" w:type="dxa"/>
              <w:left w:w="100" w:type="dxa"/>
              <w:bottom w:w="100" w:type="dxa"/>
              <w:right w:w="100" w:type="dxa"/>
            </w:tcMar>
          </w:tcPr>
          <w:p w14:paraId="0BAB8DE8" w14:textId="77777777" w:rsidR="00A15321" w:rsidRDefault="00000000">
            <w:pPr>
              <w:widowControl w:val="0"/>
              <w:pBdr>
                <w:top w:val="nil"/>
                <w:left w:val="nil"/>
                <w:bottom w:val="nil"/>
                <w:right w:val="nil"/>
                <w:between w:val="nil"/>
              </w:pBdr>
            </w:pPr>
            <w:r>
              <w:lastRenderedPageBreak/>
              <w:t xml:space="preserve">Market regulation for the economic impact of the policy, for the social shaping of the corporate sector, and for the sectoral control of the </w:t>
            </w:r>
            <w:r>
              <w:lastRenderedPageBreak/>
              <w:t xml:space="preserve">political influences </w:t>
            </w:r>
          </w:p>
        </w:tc>
        <w:tc>
          <w:tcPr>
            <w:tcW w:w="1320" w:type="dxa"/>
            <w:tcMar>
              <w:top w:w="100" w:type="dxa"/>
              <w:left w:w="100" w:type="dxa"/>
              <w:bottom w:w="100" w:type="dxa"/>
              <w:right w:w="100" w:type="dxa"/>
            </w:tcMar>
          </w:tcPr>
          <w:p w14:paraId="4F6FBB2C" w14:textId="77777777" w:rsidR="00A15321" w:rsidRDefault="00000000">
            <w:pPr>
              <w:widowControl w:val="0"/>
              <w:pBdr>
                <w:top w:val="nil"/>
                <w:left w:val="nil"/>
                <w:bottom w:val="nil"/>
                <w:right w:val="nil"/>
                <w:between w:val="nil"/>
              </w:pBdr>
            </w:pPr>
            <w:r>
              <w:lastRenderedPageBreak/>
              <w:t>Regulatory compliance is for the economic impact of the social and regional development of the public service delivery of the engagement approach.</w:t>
            </w:r>
          </w:p>
        </w:tc>
        <w:tc>
          <w:tcPr>
            <w:tcW w:w="1320" w:type="dxa"/>
            <w:tcMar>
              <w:top w:w="100" w:type="dxa"/>
              <w:left w:w="100" w:type="dxa"/>
              <w:bottom w:w="100" w:type="dxa"/>
              <w:right w:w="100" w:type="dxa"/>
            </w:tcMar>
          </w:tcPr>
          <w:p w14:paraId="0C6C622D" w14:textId="77777777" w:rsidR="00A15321" w:rsidRDefault="00000000">
            <w:pPr>
              <w:widowControl w:val="0"/>
              <w:pBdr>
                <w:top w:val="nil"/>
                <w:left w:val="nil"/>
                <w:bottom w:val="nil"/>
                <w:right w:val="nil"/>
                <w:between w:val="nil"/>
              </w:pBdr>
            </w:pPr>
            <w:r>
              <w:t xml:space="preserve">The interest payments are the mandatory format for the expense, or the safe format for the investment options, which can be based on the tax </w:t>
            </w:r>
            <w:r>
              <w:lastRenderedPageBreak/>
              <w:t>revenues.</w:t>
            </w:r>
          </w:p>
        </w:tc>
      </w:tr>
      <w:tr w:rsidR="00A15321" w14:paraId="4E92AE27" w14:textId="77777777">
        <w:tc>
          <w:tcPr>
            <w:tcW w:w="1515" w:type="dxa"/>
            <w:tcMar>
              <w:top w:w="100" w:type="dxa"/>
              <w:left w:w="100" w:type="dxa"/>
              <w:bottom w:w="100" w:type="dxa"/>
              <w:right w:w="100" w:type="dxa"/>
            </w:tcMar>
          </w:tcPr>
          <w:p w14:paraId="37C8CB93" w14:textId="77777777" w:rsidR="00A15321" w:rsidRDefault="00000000">
            <w:r>
              <w:rPr>
                <w:b/>
                <w:bCs/>
              </w:rPr>
              <w:lastRenderedPageBreak/>
              <w:t>Suppliers</w:t>
            </w:r>
          </w:p>
        </w:tc>
        <w:tc>
          <w:tcPr>
            <w:tcW w:w="1305" w:type="dxa"/>
            <w:tcMar>
              <w:top w:w="100" w:type="dxa"/>
              <w:left w:w="100" w:type="dxa"/>
              <w:bottom w:w="100" w:type="dxa"/>
              <w:right w:w="100" w:type="dxa"/>
            </w:tcMar>
          </w:tcPr>
          <w:p w14:paraId="2D369B5F" w14:textId="77777777" w:rsidR="00A15321" w:rsidRDefault="00000000">
            <w:pPr>
              <w:widowControl w:val="0"/>
              <w:pBdr>
                <w:top w:val="nil"/>
                <w:left w:val="nil"/>
                <w:bottom w:val="nil"/>
                <w:right w:val="nil"/>
                <w:between w:val="nil"/>
              </w:pBdr>
            </w:pPr>
            <w:r>
              <w:t xml:space="preserve">The use of the strategic format for the suppliers, the bottleneck suppliers are with the commodity suppliers. </w:t>
            </w:r>
          </w:p>
        </w:tc>
        <w:tc>
          <w:tcPr>
            <w:tcW w:w="1215" w:type="dxa"/>
            <w:tcMar>
              <w:top w:w="100" w:type="dxa"/>
              <w:left w:w="100" w:type="dxa"/>
              <w:bottom w:w="100" w:type="dxa"/>
              <w:right w:w="100" w:type="dxa"/>
            </w:tcMar>
          </w:tcPr>
          <w:p w14:paraId="22F3649B" w14:textId="77777777" w:rsidR="00A15321" w:rsidRDefault="00000000">
            <w:pPr>
              <w:widowControl w:val="0"/>
              <w:pBdr>
                <w:top w:val="nil"/>
                <w:left w:val="nil"/>
                <w:bottom w:val="nil"/>
                <w:right w:val="nil"/>
                <w:between w:val="nil"/>
              </w:pBdr>
            </w:pPr>
            <w:r>
              <w:t xml:space="preserve"> The communication for the platforms for the users was the visual communication tools for the procurement of the SRN for the software for the enabling of transparent communication.</w:t>
            </w:r>
          </w:p>
        </w:tc>
        <w:tc>
          <w:tcPr>
            <w:tcW w:w="1245" w:type="dxa"/>
            <w:tcMar>
              <w:top w:w="100" w:type="dxa"/>
              <w:left w:w="100" w:type="dxa"/>
              <w:bottom w:w="100" w:type="dxa"/>
              <w:right w:w="100" w:type="dxa"/>
            </w:tcMar>
          </w:tcPr>
          <w:p w14:paraId="6E6740A8" w14:textId="77777777" w:rsidR="00A15321" w:rsidRDefault="00000000">
            <w:pPr>
              <w:widowControl w:val="0"/>
              <w:pBdr>
                <w:top w:val="nil"/>
                <w:left w:val="nil"/>
                <w:bottom w:val="nil"/>
                <w:right w:val="nil"/>
                <w:between w:val="nil"/>
              </w:pBdr>
            </w:pPr>
            <w:r>
              <w:t>Supplier is the sustainability of the code network for the agreements for the integrated approach with procurement platforms for the enforcement of transparency.</w:t>
            </w:r>
          </w:p>
        </w:tc>
        <w:tc>
          <w:tcPr>
            <w:tcW w:w="1320" w:type="dxa"/>
            <w:tcMar>
              <w:top w:w="100" w:type="dxa"/>
              <w:left w:w="100" w:type="dxa"/>
              <w:bottom w:w="100" w:type="dxa"/>
              <w:right w:w="100" w:type="dxa"/>
            </w:tcMar>
          </w:tcPr>
          <w:p w14:paraId="0A286FA3" w14:textId="77777777" w:rsidR="00A15321" w:rsidRDefault="00000000">
            <w:pPr>
              <w:widowControl w:val="0"/>
              <w:pBdr>
                <w:top w:val="nil"/>
                <w:left w:val="nil"/>
                <w:bottom w:val="nil"/>
                <w:right w:val="nil"/>
                <w:between w:val="nil"/>
              </w:pBdr>
            </w:pPr>
            <w:r>
              <w:t>Suppliers are the sustainability, and the code of conduct is for the adoption of the innovation with a competitive advantage for risk management and stability.</w:t>
            </w:r>
          </w:p>
        </w:tc>
        <w:tc>
          <w:tcPr>
            <w:tcW w:w="1320" w:type="dxa"/>
            <w:tcMar>
              <w:top w:w="100" w:type="dxa"/>
              <w:left w:w="100" w:type="dxa"/>
              <w:bottom w:w="100" w:type="dxa"/>
              <w:right w:w="100" w:type="dxa"/>
            </w:tcMar>
          </w:tcPr>
          <w:p w14:paraId="4C4F6468" w14:textId="77777777" w:rsidR="00A15321" w:rsidRDefault="00000000">
            <w:pPr>
              <w:widowControl w:val="0"/>
              <w:pBdr>
                <w:top w:val="nil"/>
                <w:left w:val="nil"/>
                <w:bottom w:val="nil"/>
                <w:right w:val="nil"/>
                <w:between w:val="nil"/>
              </w:pBdr>
            </w:pPr>
            <w:r>
              <w:t>Suppliers are there for the financial stability with collaborative innovation for the ethical compliance with growth and development.</w:t>
            </w:r>
          </w:p>
        </w:tc>
        <w:tc>
          <w:tcPr>
            <w:tcW w:w="1320" w:type="dxa"/>
            <w:tcMar>
              <w:top w:w="100" w:type="dxa"/>
              <w:left w:w="100" w:type="dxa"/>
              <w:bottom w:w="100" w:type="dxa"/>
              <w:right w:w="100" w:type="dxa"/>
            </w:tcMar>
          </w:tcPr>
          <w:p w14:paraId="1CCBB95C" w14:textId="77777777" w:rsidR="00A15321" w:rsidRDefault="00000000">
            <w:pPr>
              <w:widowControl w:val="0"/>
              <w:pBdr>
                <w:top w:val="nil"/>
                <w:left w:val="nil"/>
                <w:bottom w:val="nil"/>
                <w:right w:val="nil"/>
                <w:between w:val="nil"/>
              </w:pBdr>
            </w:pPr>
            <w:r>
              <w:t xml:space="preserve">The business is for continuity, the primary interest for the malabaricane for the stability can be there for the content first, for the revenue generation and growth. </w:t>
            </w:r>
          </w:p>
        </w:tc>
      </w:tr>
    </w:tbl>
    <w:p w14:paraId="6C2FDCB1" w14:textId="77777777" w:rsidR="00A15321" w:rsidRDefault="00000000">
      <w:r>
        <w:rPr>
          <w:b/>
          <w:bCs/>
        </w:rPr>
        <w:t xml:space="preserve">Communication plan </w:t>
      </w:r>
    </w:p>
    <w:tbl>
      <w:tblPr>
        <w:tblStyle w:val="a6"/>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A15321" w14:paraId="4C252535" w14:textId="77777777">
        <w:tc>
          <w:tcPr>
            <w:tcW w:w="1560" w:type="dxa"/>
            <w:tcMar>
              <w:top w:w="100" w:type="dxa"/>
              <w:left w:w="100" w:type="dxa"/>
              <w:bottom w:w="100" w:type="dxa"/>
              <w:right w:w="100" w:type="dxa"/>
            </w:tcMar>
          </w:tcPr>
          <w:p w14:paraId="033259EE" w14:textId="77777777" w:rsidR="00A15321" w:rsidRDefault="00000000">
            <w:pPr>
              <w:widowControl w:val="0"/>
              <w:pBdr>
                <w:top w:val="nil"/>
                <w:left w:val="nil"/>
                <w:bottom w:val="nil"/>
                <w:right w:val="nil"/>
                <w:between w:val="nil"/>
              </w:pBdr>
              <w:rPr>
                <w:b/>
                <w:bCs/>
              </w:rPr>
            </w:pPr>
            <w:r>
              <w:rPr>
                <w:b/>
                <w:bCs/>
              </w:rPr>
              <w:t>Communicat</w:t>
            </w:r>
            <w:r>
              <w:rPr>
                <w:b/>
                <w:bCs/>
              </w:rPr>
              <w:lastRenderedPageBreak/>
              <w:t>ion</w:t>
            </w:r>
          </w:p>
        </w:tc>
        <w:tc>
          <w:tcPr>
            <w:tcW w:w="1560" w:type="dxa"/>
            <w:tcMar>
              <w:top w:w="100" w:type="dxa"/>
              <w:left w:w="100" w:type="dxa"/>
              <w:bottom w:w="100" w:type="dxa"/>
              <w:right w:w="100" w:type="dxa"/>
            </w:tcMar>
          </w:tcPr>
          <w:p w14:paraId="3DB0BB08" w14:textId="77777777" w:rsidR="00A15321" w:rsidRDefault="00000000">
            <w:pPr>
              <w:widowControl w:val="0"/>
              <w:pBdr>
                <w:top w:val="nil"/>
                <w:left w:val="nil"/>
                <w:bottom w:val="nil"/>
                <w:right w:val="nil"/>
                <w:between w:val="nil"/>
              </w:pBdr>
              <w:rPr>
                <w:b/>
                <w:bCs/>
              </w:rPr>
            </w:pPr>
            <w:r>
              <w:rPr>
                <w:b/>
                <w:bCs/>
              </w:rPr>
              <w:lastRenderedPageBreak/>
              <w:t>Format</w:t>
            </w:r>
          </w:p>
        </w:tc>
        <w:tc>
          <w:tcPr>
            <w:tcW w:w="1560" w:type="dxa"/>
            <w:tcMar>
              <w:top w:w="100" w:type="dxa"/>
              <w:left w:w="100" w:type="dxa"/>
              <w:bottom w:w="100" w:type="dxa"/>
              <w:right w:w="100" w:type="dxa"/>
            </w:tcMar>
          </w:tcPr>
          <w:p w14:paraId="4003E4E5" w14:textId="77777777" w:rsidR="00A15321" w:rsidRDefault="00000000">
            <w:pPr>
              <w:widowControl w:val="0"/>
              <w:pBdr>
                <w:top w:val="nil"/>
                <w:left w:val="nil"/>
                <w:bottom w:val="nil"/>
                <w:right w:val="nil"/>
                <w:between w:val="nil"/>
              </w:pBdr>
              <w:rPr>
                <w:b/>
                <w:bCs/>
              </w:rPr>
            </w:pPr>
            <w:r>
              <w:rPr>
                <w:b/>
                <w:bCs/>
              </w:rPr>
              <w:t>Frequency</w:t>
            </w:r>
          </w:p>
        </w:tc>
        <w:tc>
          <w:tcPr>
            <w:tcW w:w="1560" w:type="dxa"/>
            <w:tcMar>
              <w:top w:w="100" w:type="dxa"/>
              <w:left w:w="100" w:type="dxa"/>
              <w:bottom w:w="100" w:type="dxa"/>
              <w:right w:w="100" w:type="dxa"/>
            </w:tcMar>
          </w:tcPr>
          <w:p w14:paraId="7070FE81" w14:textId="77777777" w:rsidR="00A15321" w:rsidRDefault="00000000">
            <w:pPr>
              <w:widowControl w:val="0"/>
              <w:pBdr>
                <w:top w:val="nil"/>
                <w:left w:val="nil"/>
                <w:bottom w:val="nil"/>
                <w:right w:val="nil"/>
                <w:between w:val="nil"/>
              </w:pBdr>
              <w:rPr>
                <w:b/>
                <w:bCs/>
              </w:rPr>
            </w:pPr>
            <w:r>
              <w:rPr>
                <w:b/>
                <w:bCs/>
              </w:rPr>
              <w:t>Owner</w:t>
            </w:r>
          </w:p>
        </w:tc>
        <w:tc>
          <w:tcPr>
            <w:tcW w:w="1560" w:type="dxa"/>
            <w:tcMar>
              <w:top w:w="100" w:type="dxa"/>
              <w:left w:w="100" w:type="dxa"/>
              <w:bottom w:w="100" w:type="dxa"/>
              <w:right w:w="100" w:type="dxa"/>
            </w:tcMar>
          </w:tcPr>
          <w:p w14:paraId="39E0887C" w14:textId="77777777" w:rsidR="00A15321" w:rsidRDefault="00000000">
            <w:pPr>
              <w:widowControl w:val="0"/>
              <w:pBdr>
                <w:top w:val="nil"/>
                <w:left w:val="nil"/>
                <w:bottom w:val="nil"/>
                <w:right w:val="nil"/>
                <w:between w:val="nil"/>
              </w:pBdr>
              <w:rPr>
                <w:b/>
                <w:bCs/>
              </w:rPr>
            </w:pPr>
            <w:r>
              <w:rPr>
                <w:b/>
                <w:bCs/>
              </w:rPr>
              <w:t>Distribution</w:t>
            </w:r>
          </w:p>
        </w:tc>
        <w:tc>
          <w:tcPr>
            <w:tcW w:w="1560" w:type="dxa"/>
            <w:tcMar>
              <w:top w:w="100" w:type="dxa"/>
              <w:left w:w="100" w:type="dxa"/>
              <w:bottom w:w="100" w:type="dxa"/>
              <w:right w:w="100" w:type="dxa"/>
            </w:tcMar>
          </w:tcPr>
          <w:p w14:paraId="75E0CCFE" w14:textId="77777777" w:rsidR="00A15321" w:rsidRDefault="00000000">
            <w:pPr>
              <w:widowControl w:val="0"/>
              <w:pBdr>
                <w:top w:val="nil"/>
                <w:left w:val="nil"/>
                <w:bottom w:val="nil"/>
                <w:right w:val="nil"/>
                <w:between w:val="nil"/>
              </w:pBdr>
              <w:rPr>
                <w:b/>
                <w:bCs/>
              </w:rPr>
            </w:pPr>
            <w:r>
              <w:rPr>
                <w:b/>
                <w:bCs/>
              </w:rPr>
              <w:t>Escalation</w:t>
            </w:r>
          </w:p>
        </w:tc>
      </w:tr>
      <w:tr w:rsidR="00A15321" w14:paraId="5DF25420" w14:textId="77777777">
        <w:tc>
          <w:tcPr>
            <w:tcW w:w="1560" w:type="dxa"/>
            <w:tcMar>
              <w:top w:w="100" w:type="dxa"/>
              <w:left w:w="100" w:type="dxa"/>
              <w:bottom w:w="100" w:type="dxa"/>
              <w:right w:w="100" w:type="dxa"/>
            </w:tcMar>
          </w:tcPr>
          <w:p w14:paraId="481142B0" w14:textId="77777777" w:rsidR="00A15321" w:rsidRDefault="00000000">
            <w:pPr>
              <w:widowControl w:val="0"/>
              <w:pBdr>
                <w:top w:val="nil"/>
                <w:left w:val="nil"/>
                <w:bottom w:val="nil"/>
                <w:right w:val="nil"/>
                <w:between w:val="nil"/>
              </w:pBdr>
            </w:pPr>
            <w:r>
              <w:t>Advertising campaign weekly</w:t>
            </w:r>
          </w:p>
        </w:tc>
        <w:tc>
          <w:tcPr>
            <w:tcW w:w="1560" w:type="dxa"/>
            <w:tcMar>
              <w:top w:w="100" w:type="dxa"/>
              <w:left w:w="100" w:type="dxa"/>
              <w:bottom w:w="100" w:type="dxa"/>
              <w:right w:w="100" w:type="dxa"/>
            </w:tcMar>
          </w:tcPr>
          <w:p w14:paraId="59382B02" w14:textId="77777777" w:rsidR="00A15321" w:rsidRDefault="00000000">
            <w:pPr>
              <w:widowControl w:val="0"/>
              <w:pBdr>
                <w:top w:val="nil"/>
                <w:left w:val="nil"/>
                <w:bottom w:val="nil"/>
                <w:right w:val="nil"/>
                <w:between w:val="nil"/>
              </w:pBdr>
            </w:pPr>
            <w:r>
              <w:t xml:space="preserve"> E-mail</w:t>
            </w:r>
          </w:p>
        </w:tc>
        <w:tc>
          <w:tcPr>
            <w:tcW w:w="1560" w:type="dxa"/>
            <w:tcMar>
              <w:top w:w="100" w:type="dxa"/>
              <w:left w:w="100" w:type="dxa"/>
              <w:bottom w:w="100" w:type="dxa"/>
              <w:right w:w="100" w:type="dxa"/>
            </w:tcMar>
          </w:tcPr>
          <w:p w14:paraId="5AD6DA18" w14:textId="77777777" w:rsidR="00A15321" w:rsidRDefault="00000000">
            <w:pPr>
              <w:widowControl w:val="0"/>
              <w:pBdr>
                <w:top w:val="nil"/>
                <w:left w:val="nil"/>
                <w:bottom w:val="nil"/>
                <w:right w:val="nil"/>
                <w:between w:val="nil"/>
              </w:pBdr>
            </w:pPr>
            <w:r>
              <w:t>Weekly</w:t>
            </w:r>
          </w:p>
        </w:tc>
        <w:tc>
          <w:tcPr>
            <w:tcW w:w="1560" w:type="dxa"/>
            <w:tcMar>
              <w:top w:w="100" w:type="dxa"/>
              <w:left w:w="100" w:type="dxa"/>
              <w:bottom w:w="100" w:type="dxa"/>
              <w:right w:w="100" w:type="dxa"/>
            </w:tcMar>
          </w:tcPr>
          <w:p w14:paraId="7F79B9E9" w14:textId="77777777" w:rsidR="00A15321" w:rsidRDefault="00000000">
            <w:pPr>
              <w:widowControl w:val="0"/>
              <w:pBdr>
                <w:top w:val="nil"/>
                <w:left w:val="nil"/>
                <w:bottom w:val="nil"/>
                <w:right w:val="nil"/>
                <w:between w:val="nil"/>
              </w:pBdr>
            </w:pPr>
            <w:r>
              <w:t>CMO</w:t>
            </w:r>
          </w:p>
        </w:tc>
        <w:tc>
          <w:tcPr>
            <w:tcW w:w="1560" w:type="dxa"/>
            <w:tcMar>
              <w:top w:w="100" w:type="dxa"/>
              <w:left w:w="100" w:type="dxa"/>
              <w:bottom w:w="100" w:type="dxa"/>
              <w:right w:w="100" w:type="dxa"/>
            </w:tcMar>
          </w:tcPr>
          <w:p w14:paraId="7BDE0EC3" w14:textId="77777777" w:rsidR="00A15321" w:rsidRDefault="00000000">
            <w:pPr>
              <w:widowControl w:val="0"/>
              <w:pBdr>
                <w:top w:val="nil"/>
                <w:left w:val="nil"/>
                <w:bottom w:val="nil"/>
                <w:right w:val="nil"/>
                <w:between w:val="nil"/>
              </w:pBdr>
            </w:pPr>
            <w:r>
              <w:t>Throughout the project, members</w:t>
            </w:r>
          </w:p>
        </w:tc>
        <w:tc>
          <w:tcPr>
            <w:tcW w:w="1560" w:type="dxa"/>
            <w:tcMar>
              <w:top w:w="100" w:type="dxa"/>
              <w:left w:w="100" w:type="dxa"/>
              <w:bottom w:w="100" w:type="dxa"/>
              <w:right w:w="100" w:type="dxa"/>
            </w:tcMar>
          </w:tcPr>
          <w:p w14:paraId="10E93711" w14:textId="77777777" w:rsidR="00A15321" w:rsidRDefault="00000000">
            <w:pPr>
              <w:widowControl w:val="0"/>
              <w:pBdr>
                <w:top w:val="nil"/>
                <w:left w:val="nil"/>
                <w:bottom w:val="nil"/>
                <w:right w:val="nil"/>
                <w:between w:val="nil"/>
              </w:pBdr>
            </w:pPr>
            <w:r>
              <w:t>CEO</w:t>
            </w:r>
          </w:p>
        </w:tc>
      </w:tr>
      <w:tr w:rsidR="00A15321" w14:paraId="008099DB" w14:textId="77777777">
        <w:tc>
          <w:tcPr>
            <w:tcW w:w="1560" w:type="dxa"/>
            <w:tcMar>
              <w:top w:w="100" w:type="dxa"/>
              <w:left w:w="100" w:type="dxa"/>
              <w:bottom w:w="100" w:type="dxa"/>
              <w:right w:w="100" w:type="dxa"/>
            </w:tcMar>
          </w:tcPr>
          <w:p w14:paraId="34923E5F" w14:textId="77777777" w:rsidR="00A15321" w:rsidRDefault="00000000">
            <w:pPr>
              <w:widowControl w:val="0"/>
              <w:pBdr>
                <w:top w:val="nil"/>
                <w:left w:val="nil"/>
                <w:bottom w:val="nil"/>
                <w:right w:val="nil"/>
                <w:between w:val="nil"/>
              </w:pBdr>
            </w:pPr>
            <w:r>
              <w:t>Action for the financial process</w:t>
            </w:r>
          </w:p>
        </w:tc>
        <w:tc>
          <w:tcPr>
            <w:tcW w:w="1560" w:type="dxa"/>
            <w:tcMar>
              <w:top w:w="100" w:type="dxa"/>
              <w:left w:w="100" w:type="dxa"/>
              <w:bottom w:w="100" w:type="dxa"/>
              <w:right w:w="100" w:type="dxa"/>
            </w:tcMar>
          </w:tcPr>
          <w:p w14:paraId="696F87D1" w14:textId="77777777" w:rsidR="00A15321" w:rsidRDefault="00000000">
            <w:pPr>
              <w:widowControl w:val="0"/>
              <w:pBdr>
                <w:top w:val="nil"/>
                <w:left w:val="nil"/>
                <w:bottom w:val="nil"/>
                <w:right w:val="nil"/>
                <w:between w:val="nil"/>
              </w:pBdr>
            </w:pPr>
            <w:r>
              <w:t>Online video conference</w:t>
            </w:r>
          </w:p>
        </w:tc>
        <w:tc>
          <w:tcPr>
            <w:tcW w:w="1560" w:type="dxa"/>
            <w:tcMar>
              <w:top w:w="100" w:type="dxa"/>
              <w:left w:w="100" w:type="dxa"/>
              <w:bottom w:w="100" w:type="dxa"/>
              <w:right w:w="100" w:type="dxa"/>
            </w:tcMar>
          </w:tcPr>
          <w:p w14:paraId="76BA5DCD" w14:textId="77777777" w:rsidR="00A15321" w:rsidRDefault="00000000">
            <w:pPr>
              <w:widowControl w:val="0"/>
              <w:pBdr>
                <w:top w:val="nil"/>
                <w:left w:val="nil"/>
                <w:bottom w:val="nil"/>
                <w:right w:val="nil"/>
                <w:between w:val="nil"/>
              </w:pBdr>
            </w:pPr>
            <w:r>
              <w:t xml:space="preserve">Once every 2 days </w:t>
            </w:r>
          </w:p>
        </w:tc>
        <w:tc>
          <w:tcPr>
            <w:tcW w:w="1560" w:type="dxa"/>
            <w:tcMar>
              <w:top w:w="100" w:type="dxa"/>
              <w:left w:w="100" w:type="dxa"/>
              <w:bottom w:w="100" w:type="dxa"/>
              <w:right w:w="100" w:type="dxa"/>
            </w:tcMar>
          </w:tcPr>
          <w:p w14:paraId="66AD6B7F" w14:textId="77777777" w:rsidR="00A15321" w:rsidRDefault="00000000">
            <w:pPr>
              <w:widowControl w:val="0"/>
              <w:pBdr>
                <w:top w:val="nil"/>
                <w:left w:val="nil"/>
                <w:bottom w:val="nil"/>
                <w:right w:val="nil"/>
                <w:between w:val="nil"/>
              </w:pBdr>
            </w:pPr>
            <w:r>
              <w:t>CFO</w:t>
            </w:r>
          </w:p>
        </w:tc>
        <w:tc>
          <w:tcPr>
            <w:tcW w:w="1560" w:type="dxa"/>
            <w:tcMar>
              <w:top w:w="100" w:type="dxa"/>
              <w:left w:w="100" w:type="dxa"/>
              <w:bottom w:w="100" w:type="dxa"/>
              <w:right w:w="100" w:type="dxa"/>
            </w:tcMar>
          </w:tcPr>
          <w:p w14:paraId="2601C1E0" w14:textId="77777777" w:rsidR="00A15321" w:rsidRDefault="00000000">
            <w:pPr>
              <w:widowControl w:val="0"/>
              <w:pBdr>
                <w:top w:val="nil"/>
                <w:left w:val="nil"/>
                <w:bottom w:val="nil"/>
                <w:right w:val="nil"/>
                <w:between w:val="nil"/>
              </w:pBdr>
            </w:pPr>
            <w:r>
              <w:t xml:space="preserve">Every stakeholder in internal </w:t>
            </w:r>
          </w:p>
        </w:tc>
        <w:tc>
          <w:tcPr>
            <w:tcW w:w="1560" w:type="dxa"/>
            <w:tcMar>
              <w:top w:w="100" w:type="dxa"/>
              <w:left w:w="100" w:type="dxa"/>
              <w:bottom w:w="100" w:type="dxa"/>
              <w:right w:w="100" w:type="dxa"/>
            </w:tcMar>
          </w:tcPr>
          <w:p w14:paraId="2C7786F1" w14:textId="77777777" w:rsidR="00A15321" w:rsidRDefault="00000000">
            <w:pPr>
              <w:widowControl w:val="0"/>
              <w:pBdr>
                <w:top w:val="nil"/>
                <w:left w:val="nil"/>
                <w:bottom w:val="nil"/>
                <w:right w:val="nil"/>
                <w:between w:val="nil"/>
              </w:pBdr>
            </w:pPr>
            <w:r>
              <w:t>COO</w:t>
            </w:r>
          </w:p>
        </w:tc>
      </w:tr>
      <w:tr w:rsidR="00A15321" w14:paraId="1C3A4BE9" w14:textId="77777777">
        <w:tc>
          <w:tcPr>
            <w:tcW w:w="1560" w:type="dxa"/>
            <w:tcMar>
              <w:top w:w="100" w:type="dxa"/>
              <w:left w:w="100" w:type="dxa"/>
              <w:bottom w:w="100" w:type="dxa"/>
              <w:right w:w="100" w:type="dxa"/>
            </w:tcMar>
          </w:tcPr>
          <w:p w14:paraId="609B12EA" w14:textId="77777777" w:rsidR="00A15321" w:rsidRDefault="00000000">
            <w:pPr>
              <w:widowControl w:val="0"/>
              <w:pBdr>
                <w:top w:val="nil"/>
                <w:left w:val="nil"/>
                <w:bottom w:val="nil"/>
                <w:right w:val="nil"/>
                <w:between w:val="nil"/>
              </w:pBdr>
            </w:pPr>
            <w:r>
              <w:t>Reward structure for employees</w:t>
            </w:r>
          </w:p>
        </w:tc>
        <w:tc>
          <w:tcPr>
            <w:tcW w:w="1560" w:type="dxa"/>
            <w:tcMar>
              <w:top w:w="100" w:type="dxa"/>
              <w:left w:w="100" w:type="dxa"/>
              <w:bottom w:w="100" w:type="dxa"/>
              <w:right w:w="100" w:type="dxa"/>
            </w:tcMar>
          </w:tcPr>
          <w:p w14:paraId="3831893B" w14:textId="77777777" w:rsidR="00A15321" w:rsidRDefault="00000000">
            <w:pPr>
              <w:widowControl w:val="0"/>
              <w:pBdr>
                <w:top w:val="nil"/>
                <w:left w:val="nil"/>
                <w:bottom w:val="nil"/>
                <w:right w:val="nil"/>
                <w:between w:val="nil"/>
              </w:pBdr>
            </w:pPr>
            <w:r>
              <w:t>Conference Face-to-Face interaction</w:t>
            </w:r>
          </w:p>
        </w:tc>
        <w:tc>
          <w:tcPr>
            <w:tcW w:w="1560" w:type="dxa"/>
            <w:tcMar>
              <w:top w:w="100" w:type="dxa"/>
              <w:left w:w="100" w:type="dxa"/>
              <w:bottom w:w="100" w:type="dxa"/>
              <w:right w:w="100" w:type="dxa"/>
            </w:tcMar>
          </w:tcPr>
          <w:p w14:paraId="5F6A62CA" w14:textId="77777777" w:rsidR="00A15321" w:rsidRDefault="00000000">
            <w:pPr>
              <w:widowControl w:val="0"/>
              <w:pBdr>
                <w:top w:val="nil"/>
                <w:left w:val="nil"/>
                <w:bottom w:val="nil"/>
                <w:right w:val="nil"/>
                <w:between w:val="nil"/>
              </w:pBdr>
            </w:pPr>
            <w:r>
              <w:t>Once a month</w:t>
            </w:r>
          </w:p>
        </w:tc>
        <w:tc>
          <w:tcPr>
            <w:tcW w:w="1560" w:type="dxa"/>
            <w:tcMar>
              <w:top w:w="100" w:type="dxa"/>
              <w:left w:w="100" w:type="dxa"/>
              <w:bottom w:w="100" w:type="dxa"/>
              <w:right w:w="100" w:type="dxa"/>
            </w:tcMar>
          </w:tcPr>
          <w:p w14:paraId="0F5CCEBB" w14:textId="77777777" w:rsidR="00A15321" w:rsidRDefault="00000000">
            <w:pPr>
              <w:widowControl w:val="0"/>
              <w:pBdr>
                <w:top w:val="nil"/>
                <w:left w:val="nil"/>
                <w:bottom w:val="nil"/>
                <w:right w:val="nil"/>
                <w:between w:val="nil"/>
              </w:pBdr>
            </w:pPr>
            <w:r>
              <w:t>PMO</w:t>
            </w:r>
          </w:p>
        </w:tc>
        <w:tc>
          <w:tcPr>
            <w:tcW w:w="1560" w:type="dxa"/>
            <w:tcMar>
              <w:top w:w="100" w:type="dxa"/>
              <w:left w:w="100" w:type="dxa"/>
              <w:bottom w:w="100" w:type="dxa"/>
              <w:right w:w="100" w:type="dxa"/>
            </w:tcMar>
          </w:tcPr>
          <w:p w14:paraId="76738C42" w14:textId="77777777" w:rsidR="00A15321" w:rsidRDefault="00000000">
            <w:pPr>
              <w:widowControl w:val="0"/>
              <w:pBdr>
                <w:top w:val="nil"/>
                <w:left w:val="nil"/>
                <w:bottom w:val="nil"/>
                <w:right w:val="nil"/>
                <w:between w:val="nil"/>
              </w:pBdr>
            </w:pPr>
            <w:r>
              <w:t>All the employee structure</w:t>
            </w:r>
          </w:p>
        </w:tc>
        <w:tc>
          <w:tcPr>
            <w:tcW w:w="1560" w:type="dxa"/>
            <w:tcMar>
              <w:top w:w="100" w:type="dxa"/>
              <w:left w:w="100" w:type="dxa"/>
              <w:bottom w:w="100" w:type="dxa"/>
              <w:right w:w="100" w:type="dxa"/>
            </w:tcMar>
          </w:tcPr>
          <w:p w14:paraId="49D8C63F" w14:textId="77777777" w:rsidR="00A15321" w:rsidRDefault="00000000">
            <w:pPr>
              <w:widowControl w:val="0"/>
              <w:pBdr>
                <w:top w:val="nil"/>
                <w:left w:val="nil"/>
                <w:bottom w:val="nil"/>
                <w:right w:val="nil"/>
                <w:between w:val="nil"/>
              </w:pBdr>
            </w:pPr>
            <w:r>
              <w:t>PM</w:t>
            </w:r>
          </w:p>
        </w:tc>
      </w:tr>
    </w:tbl>
    <w:p w14:paraId="037EE824" w14:textId="77777777" w:rsidR="00A15321" w:rsidRDefault="00000000">
      <w:pPr>
        <w:rPr>
          <w:b/>
          <w:bCs/>
        </w:rPr>
      </w:pPr>
      <w:r>
        <w:rPr>
          <w:b/>
          <w:bCs/>
        </w:rPr>
        <w:t>RACI matrix</w:t>
      </w:r>
    </w:p>
    <w:p w14:paraId="369C4CEC" w14:textId="77777777" w:rsidR="00A15321" w:rsidRDefault="00000000">
      <w:pPr>
        <w:rPr>
          <w:b/>
          <w:bCs/>
        </w:rPr>
      </w:pPr>
      <w:r>
        <w:rPr>
          <w:b/>
          <w:bCs/>
          <w:noProof/>
        </w:rPr>
        <w:drawing>
          <wp:inline distT="114300" distB="114300" distL="114300" distR="114300" wp14:anchorId="57E45A57" wp14:editId="6E6AB177">
            <wp:extent cx="5943600" cy="3390900"/>
            <wp:effectExtent l="12700" t="12700" r="12700" b="1270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943600" cy="3390900"/>
                    </a:xfrm>
                    <a:prstGeom prst="rect">
                      <a:avLst/>
                    </a:prstGeom>
                    <a:ln w="12700">
                      <a:solidFill>
                        <a:srgbClr val="000000"/>
                      </a:solidFill>
                      <a:prstDash val="solid"/>
                    </a:ln>
                  </pic:spPr>
                </pic:pic>
              </a:graphicData>
            </a:graphic>
          </wp:inline>
        </w:drawing>
      </w:r>
    </w:p>
    <w:p w14:paraId="253FDB25" w14:textId="77777777" w:rsidR="00A15321" w:rsidRDefault="00000000">
      <w:pPr>
        <w:pStyle w:val="Heading1"/>
      </w:pPr>
      <w:bookmarkStart w:id="5" w:name="_heading=h.v8vw3l79lxil" w:colFirst="0" w:colLast="0"/>
      <w:bookmarkEnd w:id="5"/>
      <w:r>
        <w:t>Critical explanation evaluation methods for resolving conflict by using the 4C’s model</w:t>
      </w:r>
    </w:p>
    <w:p w14:paraId="1DC6D304" w14:textId="77777777" w:rsidR="00A15321" w:rsidRDefault="00000000">
      <w:pPr>
        <w:rPr>
          <w:b/>
          <w:bCs/>
          <w:i/>
          <w:iCs/>
        </w:rPr>
      </w:pPr>
      <w:r>
        <w:rPr>
          <w:b/>
          <w:bCs/>
          <w:i/>
          <w:iCs/>
        </w:rPr>
        <w:t>Analysis process of stakeholders’ engagement</w:t>
      </w:r>
    </w:p>
    <w:p w14:paraId="6F99F93F" w14:textId="77777777" w:rsidR="00A15321" w:rsidRDefault="00000000">
      <w:r>
        <w:t xml:space="preserve">According to the effective analysis, it has been found that the interaction of different strategies and processes is beneficial for the company, which helps in engaging the stakeholders in the business </w:t>
      </w:r>
      <w:r>
        <w:lastRenderedPageBreak/>
        <w:t xml:space="preserve">and mainly focuses on reducing the number of conflicts. There are different structured approaches that are required to be focused by the company for interacting and managing the effective concerns which are related to business interactions (Christopher </w:t>
      </w:r>
      <w:r>
        <w:rPr>
          <w:i/>
          <w:iCs/>
        </w:rPr>
        <w:t>et al.</w:t>
      </w:r>
      <w:r>
        <w:t xml:space="preserve"> 2013). There are some of the effective models which can be applied for managing the stakeholders of businesses. The application of the 4C’s model is defined below for the Rocco Forte Group. </w:t>
      </w:r>
    </w:p>
    <w:p w14:paraId="00FBD9F4" w14:textId="77777777" w:rsidR="00A15321" w:rsidRDefault="00000000">
      <w:pPr>
        <w:rPr>
          <w:b/>
          <w:bCs/>
          <w:i/>
          <w:iCs/>
        </w:rPr>
      </w:pPr>
      <w:r>
        <w:rPr>
          <w:b/>
          <w:bCs/>
          <w:i/>
          <w:iCs/>
        </w:rPr>
        <w:t>Application of the model in the Rocco Forte Group</w:t>
      </w:r>
    </w:p>
    <w:p w14:paraId="58E5270D" w14:textId="77777777" w:rsidR="00A15321" w:rsidRDefault="00000000">
      <w:r>
        <w:t xml:space="preserve">The application of the 4C model is beneficial for the company as it helps in enhancing brand loyalty, market relevance, and the profitability of the company. The model is effective as it helps the company in focusing towards the customer-centric strategy (Pratt, 2023). As the application of the model holds some of the effective elements which are required to focus on business development in terms of improving brand reputation. </w:t>
      </w:r>
    </w:p>
    <w:p w14:paraId="6A180D84" w14:textId="77777777" w:rsidR="00A15321" w:rsidRDefault="00000000">
      <w:pPr>
        <w:rPr>
          <w:i/>
          <w:iCs/>
          <w:u w:val="single"/>
        </w:rPr>
      </w:pPr>
      <w:r>
        <w:rPr>
          <w:i/>
          <w:iCs/>
          <w:u w:val="single"/>
        </w:rPr>
        <w:t xml:space="preserve">Communication: </w:t>
      </w:r>
    </w:p>
    <w:p w14:paraId="37CB668F" w14:textId="77777777" w:rsidR="00A15321" w:rsidRDefault="00000000">
      <w:r>
        <w:t xml:space="preserve">In the field of communication, which has been recorded as part of the model, it is effective to be focused on by the Rocco Forte Group marketing team and the project manager. As the influences towards the communication were beneficial for the company, which helps in focusing towards the development of advertisements. It helps the company in developing a two-way dialogue that is used for collecting customer feedback loops (APM, 2026). The communication between the marketing team and the project manager is required to be clear, as one creates the plan and the other helps in attracting the potential target market customers to the meeting. The communication can help the managers in fostering trust of the customers in the part of “StaySmart+.” The Rocco Forte Group wants to adopt the AI-driven guest interaction tools, which are required to be managed by the project manager. The information and the advertisements of this planning are required to be made by the marketing team of the company. The management of communication can help the company in reducing conflicts in the business among the stakeholders (Winaryati and Hidayat, 2020). </w:t>
      </w:r>
    </w:p>
    <w:p w14:paraId="112A3B1E" w14:textId="77777777" w:rsidR="00A15321" w:rsidRDefault="00000000">
      <w:pPr>
        <w:rPr>
          <w:i/>
          <w:iCs/>
          <w:u w:val="single"/>
        </w:rPr>
      </w:pPr>
      <w:r>
        <w:rPr>
          <w:i/>
          <w:iCs/>
          <w:u w:val="single"/>
        </w:rPr>
        <w:t xml:space="preserve">Collaboration: </w:t>
      </w:r>
    </w:p>
    <w:p w14:paraId="1C2AA619" w14:textId="77777777" w:rsidR="00A15321" w:rsidRDefault="00000000">
      <w:r>
        <w:t xml:space="preserve">There are several core principles while working in the field of collaboration in any company. It has been found that the collection elements are one of the effective processes that are effective for the business to focus on the development of an inclusive environment. In this section, the main roles which are focused on and managed were the internal section (Hall, 2020). The Legal Team of the Rocco Forte Group are required to focus on the management of new technological adoption </w:t>
      </w:r>
      <w:r>
        <w:lastRenderedPageBreak/>
        <w:t>for “StaySmart+.” The legal authorities are required to collaborate with the business goal and engage their required users in the correct manner. This party of interaction is vital for the company, which can help in personalised travel planning of the Rocco Forte Group in a legal manner. The concerns of the Legal Team were extremely helpful during the application of the “StaySmart+” towards the international markets of the Rocco Forte Group. The focused area of the company is to enhance comfort for their customers while enjoying their travelling experiences in the business environment. The role of the Legal Team towards business development is much required, as they help in focusing towards the legal requirements which are required to be managed by the company while operating in international markets (</w:t>
      </w:r>
      <w:r>
        <w:rPr>
          <w:color w:val="222222"/>
        </w:rPr>
        <w:t>Do</w:t>
      </w:r>
      <w:r>
        <w:rPr>
          <w:i/>
          <w:iCs/>
          <w:color w:val="222222"/>
        </w:rPr>
        <w:t xml:space="preserve"> et al.</w:t>
      </w:r>
      <w:r>
        <w:rPr>
          <w:color w:val="222222"/>
        </w:rPr>
        <w:t xml:space="preserve"> 2023)</w:t>
      </w:r>
      <w:r>
        <w:t>.</w:t>
      </w:r>
    </w:p>
    <w:p w14:paraId="2B32C967" w14:textId="77777777" w:rsidR="00A15321" w:rsidRDefault="00000000">
      <w:pPr>
        <w:rPr>
          <w:i/>
          <w:iCs/>
          <w:u w:val="single"/>
        </w:rPr>
      </w:pPr>
      <w:r>
        <w:rPr>
          <w:i/>
          <w:iCs/>
          <w:u w:val="single"/>
        </w:rPr>
        <w:t xml:space="preserve">Consultation: </w:t>
      </w:r>
    </w:p>
    <w:p w14:paraId="5665305C" w14:textId="77777777" w:rsidR="00A15321" w:rsidRDefault="00000000">
      <w:r>
        <w:t>The challenges which can be recorded in the company during the implication of the premium customer experience services in the Rocco Forte Group can be from the external stakeholders. It has been noted that the consultations are seen to be the fourth pillar of the model, which is required for understanding the changes in the market. If the company produces new changes in the services, it is hard for the external stakeholders to adapt. As the sudden changes in the company can increase the issues for the company (</w:t>
      </w:r>
      <w:r>
        <w:rPr>
          <w:color w:val="222222"/>
        </w:rPr>
        <w:t>Do</w:t>
      </w:r>
      <w:r>
        <w:rPr>
          <w:i/>
          <w:iCs/>
          <w:color w:val="222222"/>
        </w:rPr>
        <w:t xml:space="preserve"> et al.</w:t>
      </w:r>
      <w:r>
        <w:rPr>
          <w:color w:val="222222"/>
        </w:rPr>
        <w:t xml:space="preserve"> 2023)</w:t>
      </w:r>
      <w:r>
        <w:t>. As it has been seen that the supplier and the government bodies are one of the essential pillars for the company, which help them in providing the funding and financial requirements which are required for the company during its development. The key changes which are required for the company to be developed are the persuasive broadcasts that are beneficial for the business in managing and interacting with their government and suppliers. As the company is required to consult with these external stakeholders to know their preferences during the change in the company. As the Rocco Forte Group is producing the “StaySmart+,” managing the government interaction and supplier help can be beneficial. This can help the company in setting its creation objective in the form of sustainability-focused amenities (</w:t>
      </w:r>
      <w:r>
        <w:rPr>
          <w:color w:val="222222"/>
        </w:rPr>
        <w:t xml:space="preserve">Supena </w:t>
      </w:r>
      <w:r>
        <w:rPr>
          <w:i/>
          <w:iCs/>
          <w:color w:val="222222"/>
        </w:rPr>
        <w:t>et al.</w:t>
      </w:r>
      <w:r>
        <w:rPr>
          <w:color w:val="222222"/>
        </w:rPr>
        <w:t xml:space="preserve"> 2021)</w:t>
      </w:r>
      <w:r>
        <w:t xml:space="preserve">. </w:t>
      </w:r>
    </w:p>
    <w:p w14:paraId="02FD1F41" w14:textId="77777777" w:rsidR="00A15321" w:rsidRDefault="00000000">
      <w:pPr>
        <w:rPr>
          <w:i/>
          <w:iCs/>
          <w:u w:val="single"/>
        </w:rPr>
      </w:pPr>
      <w:r>
        <w:rPr>
          <w:i/>
          <w:iCs/>
          <w:u w:val="single"/>
        </w:rPr>
        <w:t xml:space="preserve">Commitment: </w:t>
      </w:r>
    </w:p>
    <w:p w14:paraId="43A4AE52" w14:textId="77777777" w:rsidR="00A15321" w:rsidRDefault="00000000">
      <w:r>
        <w:t xml:space="preserve">By focusing on the methods of commitment, the most effective impacts are seen on the company's customers. Before creating any type of commitment, the company is required to analyse the desires and wants of the customers. As the Rocco Forte Group is required to adopt the “StaySmart+,” which can help the company in personalised travel planning, enhance brand differentiation, efficiency and profitability of the company. The amenities designed by the company can help the </w:t>
      </w:r>
      <w:r>
        <w:lastRenderedPageBreak/>
        <w:t xml:space="preserve">business develop sustainability-focused services for its customers. The Rocco Forte Group wants to adopt the AI-driven guest interaction tools, which are required to be managed by company employees, which can help in meeting the wants of the customers (Winaryati and Hidayat, 2020). </w:t>
      </w:r>
    </w:p>
    <w:p w14:paraId="1FC051FD" w14:textId="77777777" w:rsidR="00A15321" w:rsidRDefault="00000000">
      <w:pPr>
        <w:pStyle w:val="Heading1"/>
      </w:pPr>
      <w:bookmarkStart w:id="6" w:name="_heading=h.jgol2zp31rg8" w:colFirst="0" w:colLast="0"/>
      <w:bookmarkEnd w:id="6"/>
      <w:r>
        <w:t>Impact of stakeholders’ engagement and recommendations</w:t>
      </w:r>
    </w:p>
    <w:p w14:paraId="30162B5B" w14:textId="77777777" w:rsidR="00A15321" w:rsidRDefault="00000000">
      <w:pPr>
        <w:rPr>
          <w:b/>
          <w:bCs/>
          <w:i/>
          <w:iCs/>
        </w:rPr>
      </w:pPr>
      <w:r>
        <w:rPr>
          <w:b/>
          <w:bCs/>
          <w:i/>
          <w:iCs/>
        </w:rPr>
        <w:t xml:space="preserve">Stakeholders' engagement impacts on business performances </w:t>
      </w:r>
    </w:p>
    <w:p w14:paraId="5D8A10BB" w14:textId="77777777" w:rsidR="00A15321" w:rsidRDefault="00000000">
      <w:r>
        <w:t>According to the sources, it has been found that the stakeholders' engagement is one of the vital processes which are beneficial for the company in developing the performance of the business. The engagement of the stakeholders boosts the project success of the company (Christopher</w:t>
      </w:r>
      <w:r>
        <w:rPr>
          <w:i/>
          <w:iCs/>
        </w:rPr>
        <w:t xml:space="preserve"> et al. </w:t>
      </w:r>
      <w:r>
        <w:t xml:space="preserve">2013). The direct impacts of engagement on the company's performance are recorded to enhance profitability, manage innovation and develop the company's reputation (ESG, 2025). The evaluation of impacts is recorded below. </w:t>
      </w:r>
    </w:p>
    <w:p w14:paraId="14B0CB80" w14:textId="77777777" w:rsidR="00A15321" w:rsidRDefault="00000000">
      <w:pPr>
        <w:rPr>
          <w:i/>
          <w:iCs/>
          <w:u w:val="single"/>
        </w:rPr>
      </w:pPr>
      <w:r>
        <w:rPr>
          <w:i/>
          <w:iCs/>
          <w:u w:val="single"/>
        </w:rPr>
        <w:t xml:space="preserve">Risk Mitigation: </w:t>
      </w:r>
    </w:p>
    <w:p w14:paraId="5D7BA0C0" w14:textId="77777777" w:rsidR="00A15321" w:rsidRDefault="00000000">
      <w:r>
        <w:t>The engagement of stakeholders in the company helps in developing the business performance in an effective way. As a stakeholder of the company helps the business in reducing the risk of the company (</w:t>
      </w:r>
      <w:r>
        <w:rPr>
          <w:color w:val="222222"/>
        </w:rPr>
        <w:t>Hristov and Appolloni, 2022)</w:t>
      </w:r>
      <w:r>
        <w:t xml:space="preserve">. As the stakeholders are beneficial for the company, resolve potential issues of the Rocco Forte Group. Stakeholder engagement is vital for the organisation, which helps in mitigating the operational hurdles of the company in the required way. </w:t>
      </w:r>
    </w:p>
    <w:p w14:paraId="6AD2C8E1" w14:textId="77777777" w:rsidR="00A15321" w:rsidRDefault="00000000">
      <w:pPr>
        <w:rPr>
          <w:i/>
          <w:iCs/>
          <w:u w:val="single"/>
        </w:rPr>
      </w:pPr>
      <w:r>
        <w:rPr>
          <w:i/>
          <w:iCs/>
          <w:u w:val="single"/>
        </w:rPr>
        <w:t>Enhanced Financial Performance:</w:t>
      </w:r>
    </w:p>
    <w:p w14:paraId="3371457E" w14:textId="77777777" w:rsidR="00A15321" w:rsidRDefault="00000000">
      <w:r>
        <w:t xml:space="preserve">The stakeholders' engagement is beneficial for the company, which helps in enhancing the financial performance of the business. The company is required to focus towards managing the trusted relationships with the company that are vital to higher loyalty of the company in an effective manner (ESG, 2025). The engagement of stakeholders is helping the Rocco Forte Group for operational efficiency, boosting sales and reducing costs of the business. </w:t>
      </w:r>
    </w:p>
    <w:p w14:paraId="1B83C007" w14:textId="77777777" w:rsidR="00A15321" w:rsidRDefault="00000000">
      <w:pPr>
        <w:rPr>
          <w:i/>
          <w:iCs/>
          <w:u w:val="single"/>
        </w:rPr>
      </w:pPr>
      <w:r>
        <w:rPr>
          <w:i/>
          <w:iCs/>
          <w:u w:val="single"/>
        </w:rPr>
        <w:t>Improved Decision-Making:</w:t>
      </w:r>
    </w:p>
    <w:p w14:paraId="286A8A6F" w14:textId="77777777" w:rsidR="00A15321" w:rsidRDefault="00000000">
      <w:pPr>
        <w:rPr>
          <w:b/>
          <w:bCs/>
          <w:i/>
          <w:iCs/>
        </w:rPr>
      </w:pPr>
      <w:r>
        <w:t>As the structured engagement of the stakeholders is beneficial for the company, it helps the business reduce project delays. The management of the stakeholders' engagement in the business operations is vital, as it plays an active role in making the activities interact to improve business efficiency (Velnampy, 2024). The Rocco Forte Group is beneficial for managing the engagement of the stakeholders, which is beneficial for ensuring long-term viability.</w:t>
      </w:r>
    </w:p>
    <w:p w14:paraId="1A4D9F84" w14:textId="77777777" w:rsidR="00A15321" w:rsidRDefault="00000000">
      <w:pPr>
        <w:rPr>
          <w:b/>
          <w:bCs/>
          <w:i/>
          <w:iCs/>
        </w:rPr>
      </w:pPr>
      <w:r>
        <w:rPr>
          <w:b/>
          <w:bCs/>
          <w:i/>
          <w:iCs/>
        </w:rPr>
        <w:t>Recommendations for the future</w:t>
      </w:r>
    </w:p>
    <w:p w14:paraId="2EED409A" w14:textId="77777777" w:rsidR="00A15321" w:rsidRDefault="00000000">
      <w:pPr>
        <w:rPr>
          <w:i/>
          <w:iCs/>
          <w:u w:val="single"/>
        </w:rPr>
      </w:pPr>
      <w:r>
        <w:rPr>
          <w:i/>
          <w:iCs/>
          <w:u w:val="single"/>
        </w:rPr>
        <w:lastRenderedPageBreak/>
        <w:t xml:space="preserve">Two-Way Communication: </w:t>
      </w:r>
    </w:p>
    <w:p w14:paraId="5ED42FE1" w14:textId="77777777" w:rsidR="00A15321" w:rsidRDefault="00000000">
      <w:r>
        <w:t>The effective recommendations which are required are to be adopted by the Rocco Forte Group for enhancing their stakeholder engagement in the company focus on the Two-Way Communication. The application of this strategy in the business can help in diverse channels and create opportunities for managing feedback for the employees. The application of these stringers is vital for the company as it helps in interacting and developing the management effectiveness of the stakeholders with the business. These communication factors are beneficial for the company, which can help the company in sharing information to their stakeholders (</w:t>
      </w:r>
      <w:r>
        <w:rPr>
          <w:color w:val="222222"/>
        </w:rPr>
        <w:t>Government Communication Service, 2026)</w:t>
      </w:r>
      <w:r>
        <w:t xml:space="preserve">. </w:t>
      </w:r>
    </w:p>
    <w:p w14:paraId="0D3DC613" w14:textId="77777777" w:rsidR="00A15321" w:rsidRDefault="00000000">
      <w:pPr>
        <w:rPr>
          <w:i/>
          <w:iCs/>
          <w:u w:val="single"/>
        </w:rPr>
      </w:pPr>
      <w:r>
        <w:rPr>
          <w:i/>
          <w:iCs/>
          <w:u w:val="single"/>
        </w:rPr>
        <w:t>Digital Automation &amp; Transformation:</w:t>
      </w:r>
    </w:p>
    <w:p w14:paraId="15E479A2" w14:textId="77777777" w:rsidR="00A15321" w:rsidRDefault="00000000">
      <w:r>
        <w:t>The implementation of digital automation is beneficial for the company, which helps in streamlining operations. The overall effect of the effective process was to automate the routine tasks of the company in implementing their technological advancement. The digital transformation is beneficial for the company, which is helping in managing the CRM and ERP. The data flow of the company reduced errors in the Rocco Forte Group. There are different structured approaches that are required to be focused by the company for interacting and managing the effective concerns which are related to business interactions (</w:t>
      </w:r>
      <w:r>
        <w:rPr>
          <w:color w:val="222222"/>
        </w:rPr>
        <w:t>Farida and Setiawan, 2022)</w:t>
      </w:r>
      <w:r>
        <w:t>. It helps the company in developing a two-way dialogue that is used for collecting customer feedback loops. The Rocco Forte Group wants to adopt the AI-driven guest interaction tools, which are required to be managed by the project manager. The key changes which are required for the company to be developed are the persuasive broadcasts that are beneficial for the business in managing and interacting with their government and suppliers.</w:t>
      </w:r>
    </w:p>
    <w:p w14:paraId="791AEE33" w14:textId="77777777" w:rsidR="00A15321" w:rsidRDefault="00000000">
      <w:pPr>
        <w:pStyle w:val="Heading1"/>
      </w:pPr>
      <w:bookmarkStart w:id="7" w:name="_heading=h.3jallh1kx9u5" w:colFirst="0" w:colLast="0"/>
      <w:bookmarkEnd w:id="7"/>
      <w:r>
        <w:t xml:space="preserve">Conclusion </w:t>
      </w:r>
    </w:p>
    <w:p w14:paraId="19311D21" w14:textId="77777777" w:rsidR="00A15321" w:rsidRDefault="00000000">
      <w:r>
        <w:t xml:space="preserve">It can be concluded from the above study that there have been choices which have been considered with the implementation of the StaySmart+. Then there was the SWOT and the PESTLE analysis, the Rocco Forte Group has been established, and their internal and external stakeholders have been commended for the processes of the implementation. Furthermore, the Stakeholder Matrix is effective for the undertaking; the output regarding the specialised knowledge has been shown to be effective. Then, there has been an effective engagement plan shown. Then there is the communication plan, also shown effectively for the users. Then the RACI matrix is also shown here; the security and implementation have also been considered. Thereafter, a critical explanation </w:t>
      </w:r>
      <w:r>
        <w:lastRenderedPageBreak/>
        <w:t>of the communication and the collaboration for the process. The impact on the stakeholders has been shown. Then there has been for the stakeholders’ engagement for the business, and the performance has been shown to boost productivity with the risk mitigation process, with an effective process with the engagement form for the fiscal performance, and the improvement in decision-making has been presented with the outcome in a respective order chronologically. Then there is the financial performance, which has also shown the use of the revenue from the projects and their delays effectively.</w:t>
      </w:r>
      <w:r>
        <w:br w:type="page"/>
      </w:r>
    </w:p>
    <w:p w14:paraId="0C37458C" w14:textId="77777777" w:rsidR="00A15321" w:rsidRDefault="00000000">
      <w:pPr>
        <w:pStyle w:val="Heading1"/>
      </w:pPr>
      <w:bookmarkStart w:id="8" w:name="_heading=h.4b1zu3v9wlau" w:colFirst="0" w:colLast="0"/>
      <w:bookmarkEnd w:id="8"/>
      <w:r>
        <w:lastRenderedPageBreak/>
        <w:t>References</w:t>
      </w:r>
    </w:p>
    <w:p w14:paraId="5F1FED25" w14:textId="77777777" w:rsidR="00757DD0" w:rsidRDefault="00757DD0">
      <w:r>
        <w:t xml:space="preserve">APM (2026). </w:t>
      </w:r>
      <w:r>
        <w:rPr>
          <w:i/>
          <w:iCs/>
        </w:rPr>
        <w:t>What is stakeholder engagement</w:t>
      </w:r>
      <w:r>
        <w:t xml:space="preserve">, </w:t>
      </w:r>
      <w:r>
        <w:rPr>
          <w:i/>
          <w:iCs/>
        </w:rPr>
        <w:t>APM</w:t>
      </w:r>
      <w:r>
        <w:t xml:space="preserve">. Available at: https://www.apm.org.uk/resources/find-a-resource/stakeholder-engagement/ (Accessed: 16 March 2026). </w:t>
      </w:r>
    </w:p>
    <w:p w14:paraId="66D9871F" w14:textId="77777777" w:rsidR="00757DD0" w:rsidRDefault="00757DD0">
      <w:r>
        <w:t>Ashcroft, J. (2017) The relational lens: understanding, measuring, and managing stakeholder relationships. Cambridge: Cambridge University Press.</w:t>
      </w:r>
    </w:p>
    <w:p w14:paraId="1D00AA81" w14:textId="77777777" w:rsidR="00757DD0" w:rsidRDefault="00757DD0">
      <w:r>
        <w:t xml:space="preserve">Christopher, M., Payne, A., and Ballantyne, D. (2013). </w:t>
      </w:r>
      <w:r>
        <w:rPr>
          <w:i/>
          <w:iCs/>
        </w:rPr>
        <w:t>Relationship Marketing: Creating Stakeholder Value. Saint Louis</w:t>
      </w:r>
      <w:r>
        <w:t>: Taylor and Francis.</w:t>
      </w:r>
    </w:p>
    <w:p w14:paraId="3D99EAEF" w14:textId="77777777" w:rsidR="00757DD0" w:rsidRDefault="00757DD0">
      <w:pPr>
        <w:rPr>
          <w:color w:val="222222"/>
        </w:rPr>
      </w:pPr>
      <w:r>
        <w:rPr>
          <w:color w:val="222222"/>
        </w:rPr>
        <w:t xml:space="preserve">Do, V., Maniate, J.M., Sultan, N. and Sonnenberg, L., (2023). The 4C’s of influence framework: fostering leadership development through character, competence, connection and culture. </w:t>
      </w:r>
      <w:r>
        <w:rPr>
          <w:i/>
          <w:iCs/>
          <w:color w:val="222222"/>
        </w:rPr>
        <w:t>Leadership in Health Services</w:t>
      </w:r>
      <w:r>
        <w:rPr>
          <w:color w:val="222222"/>
        </w:rPr>
        <w:t xml:space="preserve">, </w:t>
      </w:r>
      <w:r>
        <w:rPr>
          <w:i/>
          <w:iCs/>
          <w:color w:val="222222"/>
        </w:rPr>
        <w:t>36</w:t>
      </w:r>
      <w:r>
        <w:rPr>
          <w:color w:val="222222"/>
        </w:rPr>
        <w:t xml:space="preserve">(4), pp.461-478. </w:t>
      </w:r>
      <w:hyperlink r:id="rId11">
        <w:r>
          <w:rPr>
            <w:color w:val="1155CC"/>
            <w:u w:val="single"/>
          </w:rPr>
          <w:t>https://www.emerald.com/lhs/article/36/4/461/270765</w:t>
        </w:r>
      </w:hyperlink>
      <w:r>
        <w:rPr>
          <w:color w:val="222222"/>
        </w:rPr>
        <w:t xml:space="preserve"> </w:t>
      </w:r>
    </w:p>
    <w:p w14:paraId="54D6A505" w14:textId="77777777" w:rsidR="00757DD0" w:rsidRDefault="00757DD0">
      <w:r>
        <w:t xml:space="preserve">ESG, (2025) </w:t>
      </w:r>
      <w:r>
        <w:rPr>
          <w:rFonts w:ascii="Cardo" w:eastAsia="Cardo" w:hAnsi="Cardo" w:cs="Cardo"/>
          <w:i/>
          <w:iCs/>
        </w:rPr>
        <w:t>How does stakeholder engagement impact performance? → question</w:t>
      </w:r>
      <w:r>
        <w:t xml:space="preserve">, </w:t>
      </w:r>
      <w:r>
        <w:rPr>
          <w:i/>
          <w:iCs/>
        </w:rPr>
        <w:t>ESG</w:t>
      </w:r>
      <w:r>
        <w:t xml:space="preserve">. Available at: https://esg.sustainability-directory.com/question/how-does-stakeholder-engagement-impact-performance/ (Accessed: 16 March 2026). </w:t>
      </w:r>
    </w:p>
    <w:p w14:paraId="4985949F" w14:textId="77777777" w:rsidR="00757DD0" w:rsidRDefault="00757DD0">
      <w:r>
        <w:t>Evans, D., Bratton, S. and McKee, J., (2021). Social media marketing. AG Printing &amp; Publishing.</w:t>
      </w:r>
    </w:p>
    <w:p w14:paraId="24A36F81" w14:textId="77777777" w:rsidR="00757DD0" w:rsidRDefault="00757DD0">
      <w:pPr>
        <w:rPr>
          <w:color w:val="222222"/>
        </w:rPr>
      </w:pPr>
      <w:r>
        <w:rPr>
          <w:color w:val="222222"/>
        </w:rPr>
        <w:t xml:space="preserve">Farida, I. and Setiawan, D., (2022). Business strategies and competitive advantage: the role of performance and innovation. </w:t>
      </w:r>
      <w:r>
        <w:rPr>
          <w:i/>
          <w:iCs/>
          <w:color w:val="222222"/>
        </w:rPr>
        <w:t>Journal of open innovation: Technology, market, and complexity</w:t>
      </w:r>
      <w:r>
        <w:rPr>
          <w:color w:val="222222"/>
        </w:rPr>
        <w:t xml:space="preserve">, </w:t>
      </w:r>
      <w:r>
        <w:rPr>
          <w:i/>
          <w:iCs/>
          <w:color w:val="222222"/>
        </w:rPr>
        <w:t>8</w:t>
      </w:r>
      <w:r>
        <w:rPr>
          <w:color w:val="222222"/>
        </w:rPr>
        <w:t xml:space="preserve">(3), p.163. </w:t>
      </w:r>
      <w:hyperlink r:id="rId12">
        <w:r>
          <w:rPr>
            <w:color w:val="1155CC"/>
            <w:u w:val="single"/>
          </w:rPr>
          <w:t>https://www.sciencedirect.com/science/article/pii/S2199853122007648</w:t>
        </w:r>
      </w:hyperlink>
      <w:r>
        <w:rPr>
          <w:color w:val="222222"/>
        </w:rPr>
        <w:t xml:space="preserve"> </w:t>
      </w:r>
    </w:p>
    <w:p w14:paraId="2CF9763D" w14:textId="77777777" w:rsidR="00757DD0" w:rsidRDefault="00757DD0">
      <w:pPr>
        <w:rPr>
          <w:color w:val="222222"/>
        </w:rPr>
      </w:pPr>
      <w:r>
        <w:rPr>
          <w:color w:val="222222"/>
        </w:rPr>
        <w:t xml:space="preserve">Government Communication Service, (2026) </w:t>
      </w:r>
      <w:r>
        <w:rPr>
          <w:i/>
          <w:iCs/>
          <w:color w:val="222222"/>
        </w:rPr>
        <w:t>Ensuring effective stakeholder engagement</w:t>
      </w:r>
      <w:r>
        <w:rPr>
          <w:color w:val="222222"/>
        </w:rPr>
        <w:t xml:space="preserve">, </w:t>
      </w:r>
      <w:r>
        <w:rPr>
          <w:i/>
          <w:iCs/>
          <w:color w:val="222222"/>
        </w:rPr>
        <w:t>Government Communication Service</w:t>
      </w:r>
      <w:r>
        <w:rPr>
          <w:color w:val="222222"/>
        </w:rPr>
        <w:t xml:space="preserve">. Available at: https://www.communications.gov.uk/publications/ensuring-effective-stakeholder-engagement/ (Accessed: 16 March 2026). </w:t>
      </w:r>
    </w:p>
    <w:p w14:paraId="7939DBD9" w14:textId="77777777" w:rsidR="00757DD0" w:rsidRDefault="00757DD0">
      <w:r>
        <w:t xml:space="preserve">Hall, H.L. (2020) </w:t>
      </w:r>
      <w:r>
        <w:rPr>
          <w:i/>
          <w:iCs/>
        </w:rPr>
        <w:t>The 4Cs of great teamwork</w:t>
      </w:r>
      <w:r>
        <w:t xml:space="preserve">, </w:t>
      </w:r>
      <w:r>
        <w:rPr>
          <w:i/>
          <w:iCs/>
        </w:rPr>
        <w:t>LinkedIn</w:t>
      </w:r>
      <w:r>
        <w:t xml:space="preserve">. Available at: https://www.linkedin.com/pulse/4cs-great-teamwork-heather-l-hall (Accessed: 16 March 2026). </w:t>
      </w:r>
    </w:p>
    <w:p w14:paraId="3BB3FDEE" w14:textId="77777777" w:rsidR="00757DD0" w:rsidRDefault="00757DD0">
      <w:r>
        <w:t xml:space="preserve">Han, S.S., Jeong, W.H. and Yu, S.Y., (2016). </w:t>
      </w:r>
      <w:r>
        <w:rPr>
          <w:i/>
          <w:iCs/>
        </w:rPr>
        <w:t>Effect of Service Quality on Customer Loyalty: Multiple Comparisons between Internal and External Costumers. Journal of Comprehensive Nursing Research and Care, 1, pp.1-8</w:t>
      </w:r>
      <w:r>
        <w:t>.</w:t>
      </w:r>
      <w:hyperlink r:id="rId13">
        <w:r>
          <w:rPr>
            <w:color w:val="1155CC"/>
            <w:u w:val="single"/>
          </w:rPr>
          <w:t>https://pdfs.semanticscholar.org/b3d3/9b97bbf7d771dd7f0c15c341cd11495c946a.pdf</w:t>
        </w:r>
      </w:hyperlink>
      <w:r>
        <w:t xml:space="preserve"> </w:t>
      </w:r>
    </w:p>
    <w:p w14:paraId="03217519" w14:textId="77777777" w:rsidR="00757DD0" w:rsidRDefault="00757DD0">
      <w:pPr>
        <w:rPr>
          <w:color w:val="222222"/>
        </w:rPr>
      </w:pPr>
      <w:r>
        <w:rPr>
          <w:color w:val="222222"/>
        </w:rPr>
        <w:t xml:space="preserve">Hristov, I. and Appolloni, A., (2022). Stakeholders' engagement in the business strategy is a key driver to increasing companies' performance: Evidence from managerial and stakeholders' </w:t>
      </w:r>
      <w:r>
        <w:rPr>
          <w:color w:val="222222"/>
        </w:rPr>
        <w:lastRenderedPageBreak/>
        <w:t xml:space="preserve">practices. </w:t>
      </w:r>
      <w:r>
        <w:rPr>
          <w:i/>
          <w:iCs/>
          <w:color w:val="222222"/>
        </w:rPr>
        <w:t>Business Strategy and the Environment</w:t>
      </w:r>
      <w:r>
        <w:rPr>
          <w:color w:val="222222"/>
        </w:rPr>
        <w:t xml:space="preserve">, </w:t>
      </w:r>
      <w:r>
        <w:rPr>
          <w:i/>
          <w:iCs/>
          <w:color w:val="222222"/>
        </w:rPr>
        <w:t>31</w:t>
      </w:r>
      <w:r>
        <w:rPr>
          <w:color w:val="222222"/>
        </w:rPr>
        <w:t xml:space="preserve">(4), pp.1488-1503. </w:t>
      </w:r>
      <w:hyperlink r:id="rId14">
        <w:r>
          <w:rPr>
            <w:color w:val="1155CC"/>
            <w:u w:val="single"/>
          </w:rPr>
          <w:t>https://onlinelibrary.wiley.com/doi/abs/10.1002/bse.2965</w:t>
        </w:r>
      </w:hyperlink>
      <w:r>
        <w:rPr>
          <w:color w:val="222222"/>
        </w:rPr>
        <w:t xml:space="preserve"> </w:t>
      </w:r>
    </w:p>
    <w:p w14:paraId="3595E732" w14:textId="77777777" w:rsidR="00757DD0" w:rsidRDefault="00757DD0">
      <w:pPr>
        <w:rPr>
          <w:color w:val="222222"/>
        </w:rPr>
      </w:pPr>
      <w:r>
        <w:rPr>
          <w:color w:val="222222"/>
        </w:rPr>
        <w:t xml:space="preserve">Indeed (2025) </w:t>
      </w:r>
      <w:r>
        <w:rPr>
          <w:i/>
          <w:iCs/>
          <w:color w:val="222222"/>
        </w:rPr>
        <w:t>Stakeholder interests: Importance and examples | indeed.com</w:t>
      </w:r>
      <w:r>
        <w:rPr>
          <w:color w:val="222222"/>
        </w:rPr>
        <w:t xml:space="preserve">. Available at: https://www.indeed.com/career-advice/career-development/stakeholder-interests (Accessed: 16 March 2026). </w:t>
      </w:r>
    </w:p>
    <w:p w14:paraId="52D33BF6" w14:textId="77777777" w:rsidR="00757DD0" w:rsidRDefault="00757DD0">
      <w:pPr>
        <w:rPr>
          <w:color w:val="222222"/>
        </w:rPr>
      </w:pPr>
      <w:r>
        <w:rPr>
          <w:color w:val="222222"/>
        </w:rPr>
        <w:t xml:space="preserve">Indeed (2026) </w:t>
      </w:r>
      <w:r>
        <w:rPr>
          <w:i/>
          <w:iCs/>
          <w:color w:val="222222"/>
        </w:rPr>
        <w:t>Key stakeholders: Definition, benefits and how to identify | indeed.com</w:t>
      </w:r>
      <w:r>
        <w:rPr>
          <w:color w:val="222222"/>
        </w:rPr>
        <w:t xml:space="preserve">. Available at: https://www.indeed.com/career-advice/career-development/key-stakeholders (Accessed: 16 March 2026). </w:t>
      </w:r>
    </w:p>
    <w:p w14:paraId="0CB03233" w14:textId="77777777" w:rsidR="00757DD0" w:rsidRDefault="00757DD0">
      <w:pPr>
        <w:rPr>
          <w:color w:val="222222"/>
        </w:rPr>
      </w:pPr>
      <w:r>
        <w:rPr>
          <w:color w:val="222222"/>
        </w:rPr>
        <w:t xml:space="preserve">Mailchimp (2026) </w:t>
      </w:r>
      <w:r>
        <w:rPr>
          <w:i/>
          <w:iCs/>
          <w:color w:val="222222"/>
        </w:rPr>
        <w:t>Types of stakeholders: Internal &amp; external</w:t>
      </w:r>
      <w:r>
        <w:rPr>
          <w:color w:val="222222"/>
        </w:rPr>
        <w:t xml:space="preserve">. Available at: https://mailchimp.com/resources/types-of-stakeholders/#:~:text=Suppliers%20Suppliers%20are%20external%20entities%20that%20provide,chain%2C%20influencing%20quality%2C%20reliability%2C%20and%20product%20pricing. (Accessed: 16 March 2026). </w:t>
      </w:r>
    </w:p>
    <w:p w14:paraId="5E827C3B" w14:textId="77777777" w:rsidR="00757DD0" w:rsidRDefault="00757DD0">
      <w:r>
        <w:t xml:space="preserve">Meng, X. and Boyd, P., (2017). </w:t>
      </w:r>
      <w:r>
        <w:rPr>
          <w:i/>
          <w:iCs/>
        </w:rPr>
        <w:t>The role of the project manager in relationship management. International Journal of Project Management, 35(5)</w:t>
      </w:r>
      <w:r>
        <w:t>, pp.717-728.</w:t>
      </w:r>
      <w:hyperlink r:id="rId15">
        <w:r>
          <w:rPr>
            <w:color w:val="1155CC"/>
            <w:u w:val="single"/>
          </w:rPr>
          <w:t>https://pure.qub.ac.uk/files/138697465/The_role_of_the_project_manager_in_relationship_management.pdf?__cf_chl_tk=ib16jHMxeL_HoqgK0rvwqOVgPPbGV5w3Lz5HZFjEfYc-1773649162-1.0.1.1-n3AVxBpTD6LS6HQc97Y3t0Lso5L6kNJRsFbxF39mzTY</w:t>
        </w:r>
      </w:hyperlink>
      <w:r>
        <w:t xml:space="preserve"> </w:t>
      </w:r>
    </w:p>
    <w:p w14:paraId="4EE4DBFE" w14:textId="77777777" w:rsidR="00757DD0" w:rsidRDefault="00757DD0">
      <w:r>
        <w:t xml:space="preserve">Pratt, M. (2023) </w:t>
      </w:r>
      <w:r>
        <w:rPr>
          <w:i/>
          <w:iCs/>
        </w:rPr>
        <w:t>4CS Marketing Model &amp; Why it’s good for business</w:t>
      </w:r>
      <w:r>
        <w:t xml:space="preserve">, </w:t>
      </w:r>
      <w:r>
        <w:rPr>
          <w:i/>
          <w:iCs/>
        </w:rPr>
        <w:t>Business.org</w:t>
      </w:r>
      <w:r>
        <w:t xml:space="preserve">. Available at: https://www.business.org/marketing/sales/4cs-marketing-model-good-business/ (Accessed: 16 March 2026). </w:t>
      </w:r>
    </w:p>
    <w:p w14:paraId="3CD88314" w14:textId="77777777" w:rsidR="00757DD0" w:rsidRDefault="00757DD0">
      <w:r>
        <w:t xml:space="preserve">Rocco Forte Hotels (2026) </w:t>
      </w:r>
      <w:r>
        <w:rPr>
          <w:i/>
          <w:iCs/>
        </w:rPr>
        <w:t>5-star luxury hotels and Resorts</w:t>
      </w:r>
      <w:r>
        <w:t xml:space="preserve">, </w:t>
      </w:r>
      <w:r>
        <w:rPr>
          <w:i/>
          <w:iCs/>
        </w:rPr>
        <w:t>Rocco Forte Hotels</w:t>
      </w:r>
      <w:r>
        <w:t xml:space="preserve">. Available at: https://www.roccofortehotels.com/ (Accessed: 16 March 2026). </w:t>
      </w:r>
    </w:p>
    <w:p w14:paraId="59296E01" w14:textId="77777777" w:rsidR="00757DD0" w:rsidRDefault="00757DD0">
      <w:r>
        <w:t>Schuh, C., Schnellbacher, W., Triplat, A. and Weise, D., (2022). Profit from the source: transforming your business by putting suppliers at the core. Harvard Business Press.</w:t>
      </w:r>
    </w:p>
    <w:p w14:paraId="256E111A" w14:textId="77777777" w:rsidR="00757DD0" w:rsidRDefault="00757DD0">
      <w:pPr>
        <w:rPr>
          <w:color w:val="222222"/>
        </w:rPr>
      </w:pPr>
      <w:r>
        <w:rPr>
          <w:color w:val="222222"/>
        </w:rPr>
        <w:t xml:space="preserve">Supena, I., Darmuki, A. and Hariyadi, A., (2021). The Influence of 4C (Constructive, Critical, Creativity, Collaborative) Learning Model on Students' Learning Outcomes. </w:t>
      </w:r>
      <w:r>
        <w:rPr>
          <w:i/>
          <w:iCs/>
          <w:color w:val="222222"/>
        </w:rPr>
        <w:t>International Journal of Instruction</w:t>
      </w:r>
      <w:r>
        <w:rPr>
          <w:color w:val="222222"/>
        </w:rPr>
        <w:t xml:space="preserve">, </w:t>
      </w:r>
      <w:r>
        <w:rPr>
          <w:i/>
          <w:iCs/>
          <w:color w:val="222222"/>
        </w:rPr>
        <w:t>14</w:t>
      </w:r>
      <w:r>
        <w:rPr>
          <w:color w:val="222222"/>
        </w:rPr>
        <w:t xml:space="preserve">(3), pp.873-892. </w:t>
      </w:r>
      <w:hyperlink r:id="rId16">
        <w:r>
          <w:rPr>
            <w:color w:val="1155CC"/>
            <w:u w:val="single"/>
          </w:rPr>
          <w:t>https://eric.ed.gov/?id=ej1304598</w:t>
        </w:r>
      </w:hyperlink>
      <w:r>
        <w:rPr>
          <w:color w:val="222222"/>
        </w:rPr>
        <w:t xml:space="preserve"> </w:t>
      </w:r>
    </w:p>
    <w:p w14:paraId="0A92EC23" w14:textId="77777777" w:rsidR="00757DD0" w:rsidRDefault="00757DD0">
      <w:pPr>
        <w:rPr>
          <w:i/>
          <w:iCs/>
        </w:rPr>
      </w:pPr>
      <w:r>
        <w:t xml:space="preserve">Toth, D., (2023). </w:t>
      </w:r>
      <w:r>
        <w:rPr>
          <w:i/>
          <w:iCs/>
        </w:rPr>
        <w:t>Understanding the Concept and Importance of City Branding. Available at SSRN 5274427.</w:t>
      </w:r>
    </w:p>
    <w:p w14:paraId="4179BE73" w14:textId="77777777" w:rsidR="00757DD0" w:rsidRDefault="00757DD0">
      <w:r>
        <w:lastRenderedPageBreak/>
        <w:t xml:space="preserve">Tracxn (2026) </w:t>
      </w:r>
      <w:r>
        <w:rPr>
          <w:i/>
          <w:iCs/>
        </w:rPr>
        <w:t>Rocco Forte hotels limited - legal entities - tracxn</w:t>
      </w:r>
      <w:r>
        <w:t xml:space="preserve">. Available at: https://tracxn.com/d/legal-entities/united-kingdom/rocco-forte-hotels-limited/__iOFoPEnmyrb2gyXfHSNe3-_Q4Zj3rXAE0jzLecCJUkE (Accessed: 16 March 2026). </w:t>
      </w:r>
    </w:p>
    <w:p w14:paraId="768C2368" w14:textId="77777777" w:rsidR="00757DD0" w:rsidRDefault="00757DD0">
      <w:r>
        <w:t xml:space="preserve">VEITH, C., TOPHOF, N., TOBER, T., WEIZMANN, M., HARTUNG, M. and HARTUNG, D., (2018). </w:t>
      </w:r>
      <w:r>
        <w:rPr>
          <w:i/>
          <w:iCs/>
        </w:rPr>
        <w:t>Legal operations: Getting more from in-house legal departments and their outside Counsel.</w:t>
      </w:r>
      <w:hyperlink r:id="rId17">
        <w:r>
          <w:rPr>
            <w:color w:val="1155CC"/>
            <w:u w:val="single"/>
          </w:rPr>
          <w:t>https://ink.library.smu.edu.sg/cgi/viewcontent.cgi?article=6590&amp;context=sol_research</w:t>
        </w:r>
      </w:hyperlink>
      <w:r>
        <w:t xml:space="preserve"> </w:t>
      </w:r>
    </w:p>
    <w:p w14:paraId="7937409E" w14:textId="77777777" w:rsidR="00757DD0" w:rsidRDefault="00757DD0">
      <w:pPr>
        <w:rPr>
          <w:color w:val="222222"/>
        </w:rPr>
      </w:pPr>
      <w:r>
        <w:rPr>
          <w:color w:val="222222"/>
        </w:rPr>
        <w:t xml:space="preserve">Velnampy, T., (2024). Corporate social responsibility and stakeholder engagement: Impact on organizational performance. </w:t>
      </w:r>
      <w:r>
        <w:rPr>
          <w:i/>
          <w:iCs/>
          <w:color w:val="222222"/>
        </w:rPr>
        <w:t>Journal of Advanced Management Studies</w:t>
      </w:r>
      <w:r>
        <w:rPr>
          <w:color w:val="222222"/>
        </w:rPr>
        <w:t xml:space="preserve">, </w:t>
      </w:r>
      <w:r>
        <w:rPr>
          <w:i/>
          <w:iCs/>
          <w:color w:val="222222"/>
        </w:rPr>
        <w:t>1</w:t>
      </w:r>
      <w:r>
        <w:rPr>
          <w:color w:val="222222"/>
        </w:rPr>
        <w:t xml:space="preserve">(3), pp.23-26. </w:t>
      </w:r>
      <w:hyperlink r:id="rId18">
        <w:r>
          <w:rPr>
            <w:color w:val="1155CC"/>
            <w:u w:val="single"/>
          </w:rPr>
          <w:t>https://jams.datatablets.com/index.php/j/article/view/15</w:t>
        </w:r>
      </w:hyperlink>
      <w:r>
        <w:rPr>
          <w:color w:val="222222"/>
        </w:rPr>
        <w:t xml:space="preserve"> </w:t>
      </w:r>
    </w:p>
    <w:p w14:paraId="57B6E6B5" w14:textId="77777777" w:rsidR="00757DD0" w:rsidRDefault="00757DD0">
      <w:r>
        <w:t>Warsame, Z.A., Dirie, A.N. and Nor, B.A., (2024).</w:t>
      </w:r>
      <w:r>
        <w:rPr>
          <w:i/>
          <w:iCs/>
        </w:rPr>
        <w:t xml:space="preserve"> Towards environmental sustainability: The impact of external debt and government expenditure on carbon emissions in Somalia. International Journal of Energy Economics and Policy, 14(6)</w:t>
      </w:r>
      <w:r>
        <w:t xml:space="preserve">, pp.566-573. </w:t>
      </w:r>
      <w:hyperlink r:id="rId19">
        <w:r>
          <w:rPr>
            <w:color w:val="1155CC"/>
            <w:u w:val="single"/>
          </w:rPr>
          <w:t>https://savearchive.zbw.eu/bitstream/11159/703056/1/1914534662_0.pdf</w:t>
        </w:r>
      </w:hyperlink>
      <w:r>
        <w:t xml:space="preserve"> </w:t>
      </w:r>
    </w:p>
    <w:p w14:paraId="1EBD8A98" w14:textId="77777777" w:rsidR="00757DD0" w:rsidRDefault="00757DD0">
      <w:r>
        <w:t>Whitehouse, R., (2024). Italy-Liguria. Bradt Travel Guides.</w:t>
      </w:r>
    </w:p>
    <w:p w14:paraId="687A9EB7" w14:textId="77777777" w:rsidR="00757DD0" w:rsidRDefault="00757DD0">
      <w:pPr>
        <w:rPr>
          <w:color w:val="222222"/>
        </w:rPr>
      </w:pPr>
      <w:r>
        <w:t xml:space="preserve">Winaryati, E. and Hidayat, M.T., (2020). Conceptual framework of evaluation model on 4 C'S-based learning supervision. </w:t>
      </w:r>
      <w:r>
        <w:rPr>
          <w:i/>
          <w:iCs/>
        </w:rPr>
        <w:t>International Journal of Learning, Teaching and Educational Research</w:t>
      </w:r>
      <w:r>
        <w:t xml:space="preserve">, </w:t>
      </w:r>
      <w:r>
        <w:rPr>
          <w:i/>
          <w:iCs/>
        </w:rPr>
        <w:t>19</w:t>
      </w:r>
      <w:r>
        <w:t xml:space="preserve">(8), pp.173-193. </w:t>
      </w:r>
      <w:hyperlink r:id="rId20" w:anchor="page=191">
        <w:r>
          <w:rPr>
            <w:color w:val="1155CC"/>
            <w:u w:val="single"/>
          </w:rPr>
          <w:t>https://www.academia.edu/download/89699792/IJLTER.ORG_Vol_19_No_8_August_2020.pdf#page=191</w:t>
        </w:r>
      </w:hyperlink>
      <w:r>
        <w:rPr>
          <w:color w:val="222222"/>
        </w:rPr>
        <w:t xml:space="preserve"> </w:t>
      </w:r>
    </w:p>
    <w:p w14:paraId="50AF226B" w14:textId="77777777" w:rsidR="00A15321" w:rsidRDefault="00A15321"/>
    <w:sectPr w:rsidR="00A15321">
      <w:headerReference w:type="default" r:id="rId21"/>
      <w:footerReference w:type="default" r:id="rId22"/>
      <w:footerReference w:type="first" r:id="rId23"/>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3A3511" w14:textId="77777777" w:rsidR="00F761C6" w:rsidRDefault="00F761C6">
      <w:pPr>
        <w:spacing w:line="240" w:lineRule="auto"/>
      </w:pPr>
      <w:r>
        <w:separator/>
      </w:r>
    </w:p>
  </w:endnote>
  <w:endnote w:type="continuationSeparator" w:id="0">
    <w:p w14:paraId="2E315D92" w14:textId="77777777" w:rsidR="00F761C6" w:rsidRDefault="00F761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rdo">
    <w:charset w:val="00"/>
    <w:family w:val="auto"/>
    <w:pitch w:val="default"/>
    <w:embedItalic r:id="rId1" w:fontKey="{BE16576C-4553-46B3-B444-BF8928EC481F}"/>
  </w:font>
  <w:font w:name="Calibri">
    <w:panose1 w:val="020F0502020204030204"/>
    <w:charset w:val="00"/>
    <w:family w:val="swiss"/>
    <w:pitch w:val="variable"/>
    <w:sig w:usb0="E4002EFF" w:usb1="C200247B" w:usb2="00000009" w:usb3="00000000" w:csb0="000001FF" w:csb1="00000000"/>
    <w:embedRegular r:id="rId2" w:fontKey="{97DDC582-AFEE-4A99-BA5B-CB3DC1E6B16D}"/>
  </w:font>
  <w:font w:name="Cambria">
    <w:panose1 w:val="02040503050406030204"/>
    <w:charset w:val="00"/>
    <w:family w:val="roman"/>
    <w:pitch w:val="variable"/>
    <w:sig w:usb0="E00006FF" w:usb1="420024FF" w:usb2="02000000" w:usb3="00000000" w:csb0="0000019F" w:csb1="00000000"/>
    <w:embedRegular r:id="rId3" w:fontKey="{4E0AF173-0C93-41F9-B75E-A8F3144BCF1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03E3A" w14:textId="77777777" w:rsidR="00A15321" w:rsidRDefault="00A15321">
    <w:pPr>
      <w:jc w:val="center"/>
    </w:pPr>
  </w:p>
  <w:p w14:paraId="6EA0158D" w14:textId="77777777" w:rsidR="00A15321" w:rsidRDefault="00000000">
    <w:pPr>
      <w:jc w:val="right"/>
    </w:pPr>
    <w:r>
      <w:fldChar w:fldCharType="begin"/>
    </w:r>
    <w:r>
      <w:instrText>PAGE</w:instrText>
    </w:r>
    <w:r>
      <w:fldChar w:fldCharType="separate"/>
    </w:r>
    <w:r w:rsidR="0069521B">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27E09" w14:textId="77777777" w:rsidR="00A15321" w:rsidRDefault="00A1532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20EF7" w14:textId="77777777" w:rsidR="00F761C6" w:rsidRDefault="00F761C6">
      <w:pPr>
        <w:spacing w:line="240" w:lineRule="auto"/>
      </w:pPr>
      <w:r>
        <w:separator/>
      </w:r>
    </w:p>
  </w:footnote>
  <w:footnote w:type="continuationSeparator" w:id="0">
    <w:p w14:paraId="39BEC7E2" w14:textId="77777777" w:rsidR="00F761C6" w:rsidRDefault="00F761C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CB4C3" w14:textId="77777777" w:rsidR="00A15321" w:rsidRDefault="00A15321"/>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5321"/>
    <w:rsid w:val="002A2BFB"/>
    <w:rsid w:val="00483AE6"/>
    <w:rsid w:val="004B661E"/>
    <w:rsid w:val="005352F5"/>
    <w:rsid w:val="00556022"/>
    <w:rsid w:val="0060209E"/>
    <w:rsid w:val="0069521B"/>
    <w:rsid w:val="006A2094"/>
    <w:rsid w:val="006C5EF5"/>
    <w:rsid w:val="00757DD0"/>
    <w:rsid w:val="008E66CE"/>
    <w:rsid w:val="00A12F16"/>
    <w:rsid w:val="00A15321"/>
    <w:rsid w:val="00A54A70"/>
    <w:rsid w:val="00AA5149"/>
    <w:rsid w:val="00AE0257"/>
    <w:rsid w:val="00C45DF0"/>
    <w:rsid w:val="00EC5235"/>
    <w:rsid w:val="00F761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58893"/>
  <w15:docId w15:val="{802804C7-4D75-4634-A508-3C8AD388D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semiHidden/>
    <w:unhideWhenUsed/>
    <w:qFormat/>
    <w:pPr>
      <w:keepNext/>
      <w:keepLines/>
      <w:outlineLvl w:val="1"/>
    </w:pPr>
    <w:rPr>
      <w:b/>
      <w:bCs/>
      <w:u w:val="single"/>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Pr>
  </w:style>
  <w:style w:type="table" w:customStyle="1" w:styleId="a2">
    <w:basedOn w:val="TableNormal1"/>
    <w:tblPr>
      <w:tblStyleRowBandSize w:val="1"/>
      <w:tblStyleColBandSize w:val="1"/>
    </w:tbl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dfs.semanticscholar.org/b3d3/9b97bbf7d771dd7f0c15c341cd11495c946a.pdf" TargetMode="External"/><Relationship Id="rId18" Type="http://schemas.openxmlformats.org/officeDocument/2006/relationships/hyperlink" Target="https://jams.datatablets.com/index.php/j/article/view/15"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sciencedirect.com/science/article/pii/S2199853122007648" TargetMode="External"/><Relationship Id="rId17" Type="http://schemas.openxmlformats.org/officeDocument/2006/relationships/hyperlink" Target="https://ink.library.smu.edu.sg/cgi/viewcontent.cgi?article=6590&amp;context=sol_research"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ric.ed.gov/?id=ej1304598" TargetMode="External"/><Relationship Id="rId20" Type="http://schemas.openxmlformats.org/officeDocument/2006/relationships/hyperlink" Target="https://www.academia.edu/download/89699792/IJLTER.ORG_Vol_19_No_8_August_202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erald.com/lhs/article/36/4/461/270765"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ure.qub.ac.uk/files/138697465/The_role_of_the_project_manager_in_relationship_management.pdf?__cf_chl_tk=ib16jHMxeL_HoqgK0rvwqOVgPPbGV5w3Lz5HZFjEfYc-1773649162-1.0.1.1-n3AVxBpTD6LS6HQc97Y3t0Lso5L6kNJRsFbxF39mzTY" TargetMode="External"/><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s://savearchive.zbw.eu/bitstream/11159/703056/1/1914534662_0.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onlinelibrary.wiley.com/doi/abs/10.1002/bse.2965" TargetMode="External"/><Relationship Id="rId22"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oYjy7tsZjTVbsxzhjf3ReCqrCA==">CgMxLjAyDWguNXIwbjVxMnliOTIyDmguaTYwMjlsemJ4NmU5Mg5oLncwcGJmN2xidmV3ZTIOaC5za3JldWp1dDg0NHUyDmgueGVhMGpqczIwbHZvMg5oLnY4dnczbDc5bHhpbDIOaC5qZ29sMnpwMzFyZzgyDmguM2phbGxoMWt4OXU1Mg5oLjRiMXp1M3Y5d2xhdTgAciExeDRuYnl6WkZXOVVmQTEtdTFFQy1ldHg5VmZtWERFZmk=</go:docsCustomData>
</go:gDocsCustomXmlDataStorage>
</file>

<file path=customXml/itemProps1.xml><?xml version="1.0" encoding="utf-8"?>
<ds:datastoreItem xmlns:ds="http://schemas.openxmlformats.org/officeDocument/2006/customXml" ds:itemID="{6CA841CA-2021-4937-AD5A-B0C187EDED0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22</Pages>
  <Words>5710</Words>
  <Characters>32553</Characters>
  <Application>Microsoft Office Word</Application>
  <DocSecurity>0</DocSecurity>
  <Lines>271</Lines>
  <Paragraphs>76</Paragraphs>
  <ScaleCrop>false</ScaleCrop>
  <Company/>
  <LinksUpToDate>false</LinksUpToDate>
  <CharactersWithSpaces>38187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Office</cp:lastModifiedBy>
  <cp:revision>23</cp:revision>
  <dcterms:created xsi:type="dcterms:W3CDTF">2026-03-16T12:17:00Z</dcterms:created>
  <dcterms:modified xsi:type="dcterms:W3CDTF">2026-03-16T12:45:00Z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f88bd7e7-7acf-4fc7-b781-54dd2d10b029</vt:lpwstr>
  </property>
</Properties>
</file>