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0AB8F" w14:textId="77777777" w:rsidR="0010098C" w:rsidRDefault="0010098C">
      <w:pPr>
        <w:pStyle w:val="s3"/>
        <w:spacing w:before="360" w:beforeAutospacing="0" w:after="0" w:afterAutospacing="0"/>
        <w:rPr>
          <w:rFonts w:ascii="-webkit-standard" w:hAnsi="-webkit-standard"/>
          <w:color w:val="000000"/>
          <w:sz w:val="27"/>
          <w:szCs w:val="27"/>
        </w:rPr>
      </w:pPr>
      <w:r>
        <w:rPr>
          <w:rStyle w:val="bumpedfont15"/>
          <w:rFonts w:ascii="Arial" w:hAnsi="Arial" w:cs="Arial"/>
          <w:b/>
          <w:bCs/>
          <w:color w:val="365F91"/>
          <w:sz w:val="32"/>
          <w:szCs w:val="32"/>
        </w:rPr>
        <w:t>Person-Centred Care and Partnership Working in a GP Surgery</w:t>
      </w:r>
    </w:p>
    <w:p w14:paraId="478259D3" w14:textId="77777777" w:rsidR="0010098C" w:rsidRDefault="0010098C">
      <w:pPr>
        <w:pStyle w:val="s5"/>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Module: BMHP5016</w:t>
      </w:r>
    </w:p>
    <w:p w14:paraId="5E3AD464" w14:textId="26D02462" w:rsidR="0010098C" w:rsidRDefault="0010098C">
      <w:pPr>
        <w:pStyle w:val="s5"/>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Assessment: Component 2 – Written Report</w:t>
      </w:r>
    </w:p>
    <w:p w14:paraId="11F2DA78" w14:textId="55C58C79" w:rsidR="0010098C" w:rsidRDefault="0010098C">
      <w:pPr>
        <w:pStyle w:val="s5"/>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 xml:space="preserve">Student Name: </w:t>
      </w:r>
      <w:r w:rsidR="009B1E1B">
        <w:rPr>
          <w:rStyle w:val="bumpedfont15"/>
          <w:rFonts w:ascii="Arial" w:hAnsi="Arial" w:cs="Arial"/>
          <w:color w:val="000000"/>
          <w:sz w:val="26"/>
          <w:szCs w:val="26"/>
        </w:rPr>
        <w:t xml:space="preserve">Renata Balogh </w:t>
      </w:r>
    </w:p>
    <w:p w14:paraId="0112A467" w14:textId="08EA7827" w:rsidR="00942021" w:rsidRDefault="0010098C" w:rsidP="00942021">
      <w:pPr>
        <w:pStyle w:val="s5"/>
        <w:spacing w:before="0" w:beforeAutospacing="0" w:after="150" w:afterAutospacing="0"/>
        <w:rPr>
          <w:rFonts w:ascii="-webkit-standard" w:hAnsi="-webkit-standard"/>
          <w:color w:val="000000"/>
          <w:sz w:val="27"/>
          <w:szCs w:val="27"/>
        </w:rPr>
      </w:pPr>
      <w:r>
        <w:rPr>
          <w:rStyle w:val="bumpedfont15"/>
          <w:rFonts w:ascii="Arial" w:hAnsi="Arial" w:cs="Arial"/>
          <w:color w:val="000000"/>
          <w:sz w:val="26"/>
          <w:szCs w:val="26"/>
        </w:rPr>
        <w:t xml:space="preserve">Student ID: </w:t>
      </w:r>
      <w:r w:rsidR="00C47BC3">
        <w:rPr>
          <w:rStyle w:val="bumpedfont15"/>
          <w:rFonts w:ascii="Arial" w:hAnsi="Arial" w:cs="Arial"/>
          <w:color w:val="000000"/>
          <w:sz w:val="26"/>
          <w:szCs w:val="26"/>
        </w:rPr>
        <w:t>240</w:t>
      </w:r>
      <w:r w:rsidR="005360C6">
        <w:rPr>
          <w:rStyle w:val="bumpedfont15"/>
          <w:rFonts w:ascii="Arial" w:hAnsi="Arial" w:cs="Arial"/>
          <w:color w:val="000000"/>
          <w:sz w:val="26"/>
          <w:szCs w:val="26"/>
        </w:rPr>
        <w:t>7673</w:t>
      </w:r>
    </w:p>
    <w:p w14:paraId="4D3EB505" w14:textId="4865B7F8" w:rsidR="00156A6F" w:rsidRDefault="00942021">
      <w:pPr>
        <w:pStyle w:val="s2"/>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xml:space="preserve"> </w:t>
      </w:r>
    </w:p>
    <w:p w14:paraId="29179198" w14:textId="77777777" w:rsidR="00865441" w:rsidRPr="00865441" w:rsidRDefault="00865441" w:rsidP="00865441">
      <w:pPr>
        <w:spacing w:before="100" w:beforeAutospacing="1" w:after="100" w:afterAutospacing="1" w:line="240" w:lineRule="auto"/>
        <w:outlineLvl w:val="1"/>
        <w:rPr>
          <w:rFonts w:ascii="Arial" w:eastAsia="Times New Roman" w:hAnsi="Arial" w:cs="Arial"/>
          <w:b/>
          <w:bCs/>
          <w:kern w:val="0"/>
          <w:sz w:val="38"/>
          <w:szCs w:val="38"/>
          <w14:ligatures w14:val="none"/>
        </w:rPr>
      </w:pPr>
      <w:r w:rsidRPr="00865441">
        <w:rPr>
          <w:rFonts w:ascii="Arial" w:eastAsia="Times New Roman" w:hAnsi="Arial" w:cs="Arial"/>
          <w:b/>
          <w:bCs/>
          <w:kern w:val="0"/>
          <w:sz w:val="38"/>
          <w:szCs w:val="38"/>
          <w14:ligatures w14:val="none"/>
        </w:rPr>
        <w:t>Introduction</w:t>
      </w:r>
    </w:p>
    <w:p w14:paraId="08394632"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184694B4" w14:textId="2C377663"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 xml:space="preserve">Person-centred care (PCC) and partnership working are recognised as two of the most essential foundations of modern Health and Social Care practice in the United Kingdom. These approaches ensure that individuals receive care that is respectful, inclusive, </w:t>
      </w:r>
      <w:r w:rsidR="002D3EF6">
        <w:rPr>
          <w:rFonts w:ascii="Arial" w:hAnsi="Arial" w:cs="Arial"/>
          <w:kern w:val="0"/>
          <w:sz w:val="38"/>
          <w:szCs w:val="38"/>
          <w14:ligatures w14:val="none"/>
        </w:rPr>
        <w:t xml:space="preserve"> </w:t>
      </w:r>
      <w:r w:rsidRPr="00865441">
        <w:rPr>
          <w:rFonts w:ascii="Arial" w:hAnsi="Arial" w:cs="Arial"/>
          <w:kern w:val="0"/>
          <w:sz w:val="38"/>
          <w:szCs w:val="38"/>
          <w14:ligatures w14:val="none"/>
        </w:rPr>
        <w:t>holistic, and tailored to their unique circumstances, preferences, and values. In General Practice (GP) surgeries, PCC and partnership working are particularly important, as GP services are often the first and most frequent point of contact for individuals seeking support with long-term conditions, health concerns, or preventative care.</w:t>
      </w:r>
    </w:p>
    <w:p w14:paraId="66C37B21"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7457949A"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 xml:space="preserve">The increasing complexity of healthcare in the UK has further highlighted the need for effective PCC and strong partnership working. The population is ageing, </w:t>
      </w:r>
      <w:proofErr w:type="spellStart"/>
      <w:r w:rsidRPr="00865441">
        <w:rPr>
          <w:rFonts w:ascii="Arial" w:hAnsi="Arial" w:cs="Arial"/>
          <w:kern w:val="0"/>
          <w:sz w:val="38"/>
          <w:szCs w:val="38"/>
          <w14:ligatures w14:val="none"/>
        </w:rPr>
        <w:t>multimorbidity</w:t>
      </w:r>
      <w:proofErr w:type="spellEnd"/>
      <w:r w:rsidRPr="00865441">
        <w:rPr>
          <w:rFonts w:ascii="Arial" w:hAnsi="Arial" w:cs="Arial"/>
          <w:kern w:val="0"/>
          <w:sz w:val="38"/>
          <w:szCs w:val="38"/>
          <w14:ligatures w14:val="none"/>
        </w:rPr>
        <w:t xml:space="preserve"> is becoming more common, and many individuals require long-term, coordinated care rather than single-episode treatment. Workforce pressures, staff shortages, and rising service demand mean that GP surgeries must adopt approaches that improve efficiency, communication, safety, and patient experience. PCC ensures that care focuses on what matters most to the individual, while partnership working brings together multiple professionals to deliver comprehensive, holistic support.</w:t>
      </w:r>
    </w:p>
    <w:p w14:paraId="5EECBC33"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3AFCCBB7"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This report provides a detailed evaluation of PCC within GP surgeries, including its benefits and limitations. It also analyses Maslow’s Hierarchy of Needs as a theoretical model that supports PCC and explains why understanding a patient’s broader needs is essential for effective care. Ethical responsibilities in GP practice are examined, highlighting how moral principles guide safe, fair, and compassionate care. Partnership working is then explored in depth, followed by a practical example of Type 2 diabetes management that illustrates how multidisciplinary collaboration improves long-term outcomes. The report is written in the third person and uses UK academic English throughout.</w:t>
      </w:r>
    </w:p>
    <w:p w14:paraId="0F20077F" w14:textId="77777777" w:rsidR="00865441" w:rsidRPr="00865441" w:rsidRDefault="00865441" w:rsidP="00865441">
      <w:pPr>
        <w:spacing w:after="0" w:line="240" w:lineRule="auto"/>
        <w:rPr>
          <w:rFonts w:ascii="Arial" w:eastAsia="Times New Roman" w:hAnsi="Arial" w:cs="Arial"/>
          <w:kern w:val="0"/>
          <w:sz w:val="38"/>
          <w:szCs w:val="38"/>
          <w14:ligatures w14:val="none"/>
        </w:rPr>
      </w:pPr>
      <w:r w:rsidRPr="00865441">
        <w:rPr>
          <w:rFonts w:ascii="Arial" w:eastAsia="Times New Roman" w:hAnsi="Arial" w:cs="Arial"/>
          <w:noProof/>
          <w:kern w:val="0"/>
          <w:sz w:val="38"/>
          <w:szCs w:val="38"/>
          <w14:ligatures w14:val="none"/>
        </w:rPr>
        <mc:AlternateContent>
          <mc:Choice Requires="wps">
            <w:drawing>
              <wp:inline distT="0" distB="0" distL="0" distR="0" wp14:anchorId="7AFA4FC6" wp14:editId="6FD36A12">
                <wp:extent cx="5731510" cy="1270"/>
                <wp:effectExtent l="0" t="31750" r="0" b="36830"/>
                <wp:docPr id="60880725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043FB92"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ACC48B6" w14:textId="77777777" w:rsidR="00865441" w:rsidRPr="00865441" w:rsidRDefault="00865441" w:rsidP="00865441">
      <w:pPr>
        <w:spacing w:before="100" w:beforeAutospacing="1" w:after="100" w:afterAutospacing="1" w:line="240" w:lineRule="auto"/>
        <w:outlineLvl w:val="1"/>
        <w:rPr>
          <w:rFonts w:ascii="Arial" w:hAnsi="Arial" w:cs="Arial"/>
          <w:b/>
          <w:bCs/>
          <w:kern w:val="0"/>
          <w:sz w:val="38"/>
          <w:szCs w:val="38"/>
          <w14:ligatures w14:val="none"/>
        </w:rPr>
      </w:pPr>
      <w:r w:rsidRPr="00865441">
        <w:rPr>
          <w:rFonts w:ascii="Arial" w:eastAsia="Times New Roman" w:hAnsi="Arial" w:cs="Arial"/>
          <w:b/>
          <w:bCs/>
          <w:kern w:val="0"/>
          <w:sz w:val="38"/>
          <w:szCs w:val="38"/>
          <w14:ligatures w14:val="none"/>
        </w:rPr>
        <w:t>Person-Centred Care</w:t>
      </w:r>
    </w:p>
    <w:p w14:paraId="6A0E4315"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40307C15"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Person-centred care places the individual at the centre of every healthcare decision, ensuring that treatment, communication, and support reflect personal preferences, cultural background, lifestyle, and values. Unlike traditional, medically driven models—where decisions were based primarily on clinical judgement—PCC emphasises shared decision-making. This approach encourages individuals to actively participate in conversations about their health, increasing their autonomy, confidence, and understanding.</w:t>
      </w:r>
    </w:p>
    <w:p w14:paraId="1F150A59"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053AAE36"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One of the most significant benefits of PCC is improved trust and satisfaction. When individuals feel listened to, respected, and genuinely included in decisions, their engagement increases. They are more likely to attend appointments, follow treatment recommendations, and communicate openly about concerns. This can have a meaningful impact on long-term condition management. For example, a patient with asthma who has a personalised action plan—developed through PCC—is more likely to recognise triggers, manage symptoms effectively, and seek timely support.</w:t>
      </w:r>
    </w:p>
    <w:p w14:paraId="3739F1BC"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44FB81E7"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PCC also supports emotional wellbeing. Many individuals who attend GP surgeries present with issues linked not only to physical symptoms but also to stress, anxiety, depression, or social difficulties. A person-centred consultation acknowledges these psychological and social factors, helping individuals feel understood and validated. Professionals may then make appropriate referrals to counselling, social prescribing, mental health services, or community support groups. By addressing emotional needs, PCC contributes to improved overall wellbeing.</w:t>
      </w:r>
    </w:p>
    <w:p w14:paraId="7FB35521"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1DD5C781"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However, PCC also presents several limitations, particularly in busy GP environments. One of the most significant challenges is the limited appointment time typically available. Standard GP appointments often last only ten minutes, which may not be sufficient for meaningful shared decision-making, particularly when individuals have complex needs or multiple conditions. Staff shortages and high workloads further restrict opportunities for personalised discussions, despite professionals’ commitment to PCC.</w:t>
      </w:r>
    </w:p>
    <w:p w14:paraId="2D5364B9"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734BE445"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Communication barriers may also limit the effectiveness of PCC. Individuals who speak English as a second language, have learning disabilities, or face hearing or cognitive challenges may struggle to express their preferences without additional communication support. PCC requires adjustments, such as interpreters, easy-read materials, or visual aids, to ensure genuine inclusion.</w:t>
      </w:r>
    </w:p>
    <w:p w14:paraId="41812DD1"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13C7836B"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Social determinants of health present another barrier. Individuals who experience poverty, poor housing, financial difficulties, or limited access to transport may face obstacles to attending appointments or following treatment plans. Even the best person-centred approaches may not succeed unless these wider issues are recognised and addressed. Therefore, PCC requires not only personalised consultations but also collaboration with social care, community services, and mental health support to reduce inequalities.</w:t>
      </w:r>
    </w:p>
    <w:p w14:paraId="68096733"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p>
    <w:p w14:paraId="4BC90CBB" w14:textId="77777777" w:rsidR="00865441" w:rsidRPr="00865441" w:rsidRDefault="00865441" w:rsidP="00865441">
      <w:pPr>
        <w:spacing w:before="100" w:beforeAutospacing="1" w:after="100" w:afterAutospacing="1" w:line="240" w:lineRule="auto"/>
        <w:rPr>
          <w:rFonts w:ascii="Arial" w:hAnsi="Arial" w:cs="Arial"/>
          <w:kern w:val="0"/>
          <w:sz w:val="38"/>
          <w:szCs w:val="38"/>
          <w14:ligatures w14:val="none"/>
        </w:rPr>
      </w:pPr>
      <w:r w:rsidRPr="00865441">
        <w:rPr>
          <w:rFonts w:ascii="Arial" w:hAnsi="Arial" w:cs="Arial"/>
          <w:kern w:val="0"/>
          <w:sz w:val="38"/>
          <w:szCs w:val="38"/>
          <w14:ligatures w14:val="none"/>
        </w:rPr>
        <w:t>Despite its challenges, PCC remains a core expectation in UK health policy, supported by the NHS Long Term Plan and Health Education England. It represents a compassionate, respectful, and effective approach to healthcare delivery and provides a strong foundation for partnership working, which ensures that no single professional or service works in isolation.</w:t>
      </w:r>
    </w:p>
    <w:p w14:paraId="61388ED5" w14:textId="77777777" w:rsidR="00942021" w:rsidRPr="0099607B" w:rsidRDefault="00942021">
      <w:pPr>
        <w:pStyle w:val="s2"/>
        <w:spacing w:before="0" w:beforeAutospacing="0" w:after="150" w:afterAutospacing="0"/>
        <w:rPr>
          <w:rFonts w:ascii="Arial" w:hAnsi="Arial" w:cs="Arial"/>
          <w:color w:val="000000"/>
          <w:sz w:val="38"/>
          <w:szCs w:val="38"/>
        </w:rPr>
      </w:pPr>
    </w:p>
    <w:p w14:paraId="06FDD3EA"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r w:rsidRPr="0025576E">
        <w:rPr>
          <w:rFonts w:ascii="Arial" w:hAnsi="Arial" w:cs="Arial"/>
          <w:kern w:val="0"/>
          <w:sz w:val="38"/>
          <w:szCs w:val="38"/>
          <w14:ligatures w14:val="none"/>
        </w:rPr>
        <w:t>Maslow’s Hierarchy of Needs</w:t>
      </w:r>
    </w:p>
    <w:p w14:paraId="52B77659"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p>
    <w:p w14:paraId="634412F7"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r w:rsidRPr="0025576E">
        <w:rPr>
          <w:rFonts w:ascii="Arial" w:hAnsi="Arial" w:cs="Arial"/>
          <w:kern w:val="0"/>
          <w:sz w:val="38"/>
          <w:szCs w:val="38"/>
          <w14:ligatures w14:val="none"/>
        </w:rPr>
        <w:t>Maslow’s Hierarchy of Needs is a widely recognised psychological theory that explains how human motivation is influenced by different levels of needs. The model is commonly presented as a pyramid with five layers: physiological needs, safety needs, love and belonging, esteem, and self-actualisation. In Health and Social Care, including General Practice (GP) surgeries, the theory is frequently applied to understand how a patient’s circumstances, environment, and emotional state influence their health behaviours and their ability to manage long-term conditions. By considering Maslow’s framework, healthcare professionals are better equipped to provide holistic, person-centred support that aligns with each individual’s unique needs and challenges.</w:t>
      </w:r>
    </w:p>
    <w:p w14:paraId="45987761"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p>
    <w:p w14:paraId="0528A26D"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r w:rsidRPr="0025576E">
        <w:rPr>
          <w:rFonts w:ascii="Arial" w:hAnsi="Arial" w:cs="Arial"/>
          <w:kern w:val="0"/>
          <w:sz w:val="38"/>
          <w:szCs w:val="38"/>
          <w14:ligatures w14:val="none"/>
        </w:rPr>
        <w:t>In the context of GP practice, physiological needs form the foundation of the hierarchy. These include access to food, adequate hydration, sleep, warmth, and physical health. If a patient struggles to meet these basic requirements, their ability to engage in treatment plans may be significantly reduced. For example, individuals living in poverty may prioritise paying bills or securing food over managing medication routines. Similarly, patients experiencing homelessness may find it difficult to store medication safely or attend regular GP appointments. This demonstrates why GP professionals must identify unmet basic needs and offer appropriate support, such as referrals to social services, food banks, or housing support workers. Addressing physiological needs ensures the individual is stable enough to participate in higher-level health interventions.</w:t>
      </w:r>
    </w:p>
    <w:p w14:paraId="02EBEF71"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p>
    <w:p w14:paraId="304D6C3D"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r w:rsidRPr="0025576E">
        <w:rPr>
          <w:rFonts w:ascii="Arial" w:hAnsi="Arial" w:cs="Arial"/>
          <w:kern w:val="0"/>
          <w:sz w:val="38"/>
          <w:szCs w:val="38"/>
          <w14:ligatures w14:val="none"/>
        </w:rPr>
        <w:t>The second level of the hierarchy involves safety needs, which include personal security, stability, financial safety, and freedom from harm. Within GP settings, safety needs are addressed through safeguarding procedures, continuity of care, and ensuring that patients feel protected and listened to. Individuals who experience domestic abuse, unsafe living environments, or unstable income may struggle to focus on their health. For example, a patient experiencing financial hardship may be unable to afford travel to appointments or healthy food to support diabetes management. Similarly, individuals who feel unsafe at home may delay seeking help for mental or physical health concerns. GP surgeries play a crucial role in identifying risks, making safeguarding referrals, and providing non-judgemental opportunities for patients to disclose concerns. By promoting safety and security, GPs create conditions in which individuals feel supported and able to engage with their care.</w:t>
      </w:r>
    </w:p>
    <w:p w14:paraId="253E1DC1"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p>
    <w:p w14:paraId="5B084B6E"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r w:rsidRPr="0025576E">
        <w:rPr>
          <w:rFonts w:ascii="Arial" w:hAnsi="Arial" w:cs="Arial"/>
          <w:kern w:val="0"/>
          <w:sz w:val="38"/>
          <w:szCs w:val="38"/>
          <w14:ligatures w14:val="none"/>
        </w:rPr>
        <w:t>The third level, love and belonging, focuses on social relationships, emotional connections, and a sense of community. Loneliness and social isolation are major public health issues in the UK, particularly among older adults and individuals with long-term conditions. GP professionals often observe that patients without supportive relationships may struggle with motivation, self-care, and mental wellbeing. For instance, individuals who lack family support may find managing chronic conditions such as diabetes or asthma more challenging, particularly when daily routines require encouragement or shared responsibility. GP surgeries can address belonging needs by referring individuals to community groups, social prescribing services, mental health teams, or local activities that promote connection. Strengthening social support networks can significantly enhance a patient’s ability to maintain treatment plans and improve their overall wellbeing.</w:t>
      </w:r>
    </w:p>
    <w:p w14:paraId="68429E63"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p>
    <w:p w14:paraId="5EC33D97"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r w:rsidRPr="0025576E">
        <w:rPr>
          <w:rFonts w:ascii="Arial" w:hAnsi="Arial" w:cs="Arial"/>
          <w:kern w:val="0"/>
          <w:sz w:val="38"/>
          <w:szCs w:val="38"/>
          <w14:ligatures w14:val="none"/>
        </w:rPr>
        <w:t>Esteem needs, the fourth level, relate to self-respect, confidence, independence, and achievement. Many patients attending GP surgeries experience reduced self-esteem due to chronic illness, unemployment, disability, or mental health difficulties. Low self-esteem can negatively influence a person’s engagement with health services, adherence to medication, and motivation to make positive lifestyle changes. GP professionals can support esteem needs by involving patients in shared decision-making, acknowledging their strengths, and encouraging independence. Empowering individuals to take control of their health—such as through personalised care plans, health education, or goal-setting—can significantly improve confidence and motivation. When individuals feel respected and valued, they are more likely to participate actively in their treatment.</w:t>
      </w:r>
    </w:p>
    <w:p w14:paraId="031EACD7"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p>
    <w:p w14:paraId="4AD9658F"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r w:rsidRPr="0025576E">
        <w:rPr>
          <w:rFonts w:ascii="Arial" w:hAnsi="Arial" w:cs="Arial"/>
          <w:kern w:val="0"/>
          <w:sz w:val="38"/>
          <w:szCs w:val="38"/>
          <w14:ligatures w14:val="none"/>
        </w:rPr>
        <w:t>At the top of the hierarchy is self-actualisation, which refers to achieving personal goals, fulfilling potential, and experiencing a sense of purpose. In GP practice, self-actualisation may be reflected in a patient’s ability to manage their long-term conditions effectively, maintain independence, and live a meaningful life. For some individuals, this may involve returning to work; for others, it may involve managing symptoms well enough to enjoy hobbies, social activities, or family life. GP surgeries support self-actualisation by providing holistic, ongoing support that enables individuals to reach stability and confidence across all earlier stages of the hierarchy. By ensuring that lower-level needs are met, healthcare professionals lay the foundation for patients to achieve long-term health and personal growth.</w:t>
      </w:r>
    </w:p>
    <w:p w14:paraId="1119F44C"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p>
    <w:p w14:paraId="2BBDCDD2" w14:textId="77777777" w:rsidR="0025576E" w:rsidRPr="0025576E" w:rsidRDefault="0025576E" w:rsidP="0025576E">
      <w:pPr>
        <w:spacing w:before="100" w:beforeAutospacing="1" w:after="100" w:afterAutospacing="1" w:line="240" w:lineRule="auto"/>
        <w:rPr>
          <w:rFonts w:ascii="Arial" w:hAnsi="Arial" w:cs="Arial"/>
          <w:kern w:val="0"/>
          <w:sz w:val="38"/>
          <w:szCs w:val="38"/>
          <w14:ligatures w14:val="none"/>
        </w:rPr>
      </w:pPr>
      <w:r w:rsidRPr="0025576E">
        <w:rPr>
          <w:rFonts w:ascii="Arial" w:hAnsi="Arial" w:cs="Arial"/>
          <w:kern w:val="0"/>
          <w:sz w:val="38"/>
          <w:szCs w:val="38"/>
          <w14:ligatures w14:val="none"/>
        </w:rPr>
        <w:t>Overall, Maslow’s Hierarchy of Needs is highly valuable in GP settings because it demonstrates that health is influenced by multiple interconnected factors—not only by physical symptoms. The model reinforces the importance of holistic care, recognising that patients may struggle with their health not because of lack of will, but because essential needs remain unmet. When GP surgeries incorporate Maslow’s theory into practice, they are better able to understand the root causes of poor engagement, non-attendance, and difficulties with self-management. This aligns strongly with person-centred care, as it ensures that treatment plans acknowledge the individual’s wider life circumstances and support them in a way that is compassionate, realistic, and effective.</w:t>
      </w:r>
    </w:p>
    <w:p w14:paraId="407C6974" w14:textId="120A6D9E" w:rsidR="00A92104" w:rsidRPr="00A92104" w:rsidRDefault="00A92104" w:rsidP="00A92104">
      <w:pPr>
        <w:spacing w:before="100" w:beforeAutospacing="1" w:after="100" w:afterAutospacing="1" w:line="240" w:lineRule="auto"/>
        <w:outlineLvl w:val="0"/>
        <w:rPr>
          <w:rFonts w:ascii="Arial" w:eastAsia="Times New Roman" w:hAnsi="Arial" w:cs="Arial"/>
          <w:b/>
          <w:bCs/>
          <w:kern w:val="36"/>
          <w:sz w:val="38"/>
          <w:szCs w:val="38"/>
          <w14:ligatures w14:val="none"/>
        </w:rPr>
      </w:pPr>
      <w:r w:rsidRPr="00A92104">
        <w:rPr>
          <w:rFonts w:ascii="Arial" w:eastAsia="Times New Roman" w:hAnsi="Arial" w:cs="Arial"/>
          <w:b/>
          <w:bCs/>
          <w:kern w:val="36"/>
          <w:sz w:val="38"/>
          <w:szCs w:val="38"/>
          <w14:ligatures w14:val="none"/>
        </w:rPr>
        <w:t>– Ethical Responsibilities in General Practice</w:t>
      </w:r>
    </w:p>
    <w:p w14:paraId="7FE655BD"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p>
    <w:p w14:paraId="42742241"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r w:rsidRPr="00A92104">
        <w:rPr>
          <w:rFonts w:ascii="Arial" w:hAnsi="Arial" w:cs="Arial"/>
          <w:kern w:val="0"/>
          <w:sz w:val="38"/>
          <w:szCs w:val="38"/>
          <w14:ligatures w14:val="none"/>
        </w:rPr>
        <w:t>Ethical responsibilities are central to high-quality practice within General Practice (GP) settings in the United Kingdom, as they ensure that care is delivered in a manner that is safe, fair, respectful, and aligned with established professional standards. These ethical duties guide healthcare professionals in their decision-making and behaviour, influencing the relationship between practitioners and patients, and shaping the overall quality of care provided. Within GP surgeries, ethical principles support person-centred care (PCC) by ensuring that individuals are treated with dignity, compassion, and respect, while maintaining patient rights and promoting trust.</w:t>
      </w:r>
    </w:p>
    <w:p w14:paraId="7C52F558"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p>
    <w:p w14:paraId="159B3A17"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r w:rsidRPr="00A92104">
        <w:rPr>
          <w:rFonts w:ascii="Arial" w:hAnsi="Arial" w:cs="Arial"/>
          <w:kern w:val="0"/>
          <w:sz w:val="38"/>
          <w:szCs w:val="38"/>
          <w14:ligatures w14:val="none"/>
        </w:rPr>
        <w:t>A core ethical principle is autonomy, which recognises the patient’s right to make informed decisions about their own care. Respecting autonomy requires GP professionals to provide clear, accessible information, discuss the risks and benefits of treatment options, and ensure that individuals are empowered to choose the approach that best aligns with their preferences, values, and cultural background. In practice, this means obtaining informed consent, avoiding coercion, and supporting shared decision-making. Autonomy is particularly important in long-term condition management, where understanding and cooperation from the patient are essential for effective self-management.</w:t>
      </w:r>
    </w:p>
    <w:p w14:paraId="7F104743"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p>
    <w:p w14:paraId="2E8ADD69"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r w:rsidRPr="00A92104">
        <w:rPr>
          <w:rFonts w:ascii="Arial" w:hAnsi="Arial" w:cs="Arial"/>
          <w:kern w:val="0"/>
          <w:sz w:val="38"/>
          <w:szCs w:val="38"/>
          <w14:ligatures w14:val="none"/>
        </w:rPr>
        <w:t>Another essential principle is beneficence, which requires professionals to act in the patient’s best interests. In GP settings, this includes providing evidence-based treatments, offering preventative advice, and taking proactive measures to support health and wellbeing. Beneficence also involves recognising when a patient requires additional services or specialist support, and ensuring appropriate referrals. Closely linked to beneficence is non-maleficence, which emphasises the duty to avoid causing harm. GP practitioners must therefore carefully assess medication risks, avoid unnecessary interventions, monitor for side effects, and ensure that clinical decisions minimise risk.</w:t>
      </w:r>
    </w:p>
    <w:p w14:paraId="205CD997"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p>
    <w:p w14:paraId="25144488"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r w:rsidRPr="00A92104">
        <w:rPr>
          <w:rFonts w:ascii="Arial" w:hAnsi="Arial" w:cs="Arial"/>
          <w:kern w:val="0"/>
          <w:sz w:val="38"/>
          <w:szCs w:val="38"/>
          <w14:ligatures w14:val="none"/>
        </w:rPr>
        <w:t>Justice is another significant ethical responsibility, referring to fairness and equality in the delivery of healthcare. In GP surgeries, this means ensuring that individuals have equal access to services regardless of age, gender, ethnicity, socioeconomic status, or disability. Justice also requires professionals to be aware of health inequalities and take steps to reduce them by offering targeted support to vulnerable groups, such as individuals experiencing homelessness, financial hardship, or language barriers. Upholding justice aligns closely with PCC, as it ensures that all patients receive fair and compassionate treatment.</w:t>
      </w:r>
    </w:p>
    <w:p w14:paraId="1595E49C"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p>
    <w:p w14:paraId="326FE7ED"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r w:rsidRPr="00A92104">
        <w:rPr>
          <w:rFonts w:ascii="Arial" w:hAnsi="Arial" w:cs="Arial"/>
          <w:kern w:val="0"/>
          <w:sz w:val="38"/>
          <w:szCs w:val="38"/>
          <w14:ligatures w14:val="none"/>
        </w:rPr>
        <w:t>Confidentiality is a further fundamental ethical duty within GP practice, safeguarding patient information and maintaining trust. Healthcare professionals must ensure that personal information is stored securely and shared only when necessary—and always with appropriate justification. For example, information may be shared without consent only when there is a safeguarding risk or when serious harm could occur if information is withheld. Confidentiality supports open communication, as individuals feel safer discussing sensitive issues, such as mental health concerns, domestic abuse, or substance misuse.</w:t>
      </w:r>
    </w:p>
    <w:p w14:paraId="0A212BDE"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p>
    <w:p w14:paraId="359CA30A"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r w:rsidRPr="00A92104">
        <w:rPr>
          <w:rFonts w:ascii="Arial" w:hAnsi="Arial" w:cs="Arial"/>
          <w:kern w:val="0"/>
          <w:sz w:val="38"/>
          <w:szCs w:val="38"/>
          <w14:ligatures w14:val="none"/>
        </w:rPr>
        <w:t>Additionally, ethical responsibilities require GP staff to demonstrate professional integrity and accountability. This involves maintaining appropriate boundaries, adhering to professional guidelines, participating in ongoing training, and reflecting on practice to ensure continuous improvement. Accountability also includes recognising limitations in knowledge or skills and seeking support when needed.</w:t>
      </w:r>
    </w:p>
    <w:p w14:paraId="552783BC"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p>
    <w:p w14:paraId="67F5999D" w14:textId="77777777" w:rsidR="00A92104" w:rsidRPr="00A92104" w:rsidRDefault="00A92104" w:rsidP="00A92104">
      <w:pPr>
        <w:spacing w:before="100" w:beforeAutospacing="1" w:after="100" w:afterAutospacing="1" w:line="240" w:lineRule="auto"/>
        <w:rPr>
          <w:rFonts w:ascii="Arial" w:hAnsi="Arial" w:cs="Arial"/>
          <w:kern w:val="0"/>
          <w:sz w:val="38"/>
          <w:szCs w:val="38"/>
          <w14:ligatures w14:val="none"/>
        </w:rPr>
      </w:pPr>
      <w:r w:rsidRPr="00A92104">
        <w:rPr>
          <w:rFonts w:ascii="Arial" w:hAnsi="Arial" w:cs="Arial"/>
          <w:kern w:val="0"/>
          <w:sz w:val="38"/>
          <w:szCs w:val="38"/>
          <w14:ligatures w14:val="none"/>
        </w:rPr>
        <w:t>Overall, ethical responsibilities are crucial for maintaining safe, respectful, and effective care within GP surgeries. By upholding principles such as autonomy, beneficence, non-maleficence, justice, and confidentiality, GP professionals create an environment that supports PCC, builds trust, and promotes positive health outcomes.</w:t>
      </w:r>
    </w:p>
    <w:p w14:paraId="7A2FA58F" w14:textId="236BA3E8" w:rsidR="004969D6" w:rsidRDefault="004969D6" w:rsidP="001B5E31">
      <w:pPr>
        <w:pStyle w:val="s5"/>
        <w:spacing w:before="0" w:beforeAutospacing="0" w:after="150" w:afterAutospacing="0"/>
        <w:rPr>
          <w:rFonts w:ascii="Arial" w:hAnsi="Arial" w:cs="Arial"/>
          <w:color w:val="000000"/>
          <w:sz w:val="38"/>
          <w:szCs w:val="38"/>
        </w:rPr>
      </w:pPr>
    </w:p>
    <w:p w14:paraId="29B359A6" w14:textId="77777777" w:rsidR="002F1B86" w:rsidRDefault="002F1B86" w:rsidP="001B5E31">
      <w:pPr>
        <w:pStyle w:val="s5"/>
        <w:spacing w:before="0" w:beforeAutospacing="0" w:after="150" w:afterAutospacing="0"/>
        <w:rPr>
          <w:rFonts w:ascii="Arial" w:hAnsi="Arial" w:cs="Arial"/>
          <w:color w:val="000000"/>
          <w:sz w:val="38"/>
          <w:szCs w:val="38"/>
        </w:rPr>
      </w:pPr>
    </w:p>
    <w:p w14:paraId="1E72F56B" w14:textId="77777777" w:rsidR="002F1B86" w:rsidRDefault="002F1B86" w:rsidP="001B5E31">
      <w:pPr>
        <w:pStyle w:val="s5"/>
        <w:spacing w:before="0" w:beforeAutospacing="0" w:after="150" w:afterAutospacing="0"/>
        <w:rPr>
          <w:rFonts w:ascii="Arial" w:hAnsi="Arial" w:cs="Arial"/>
          <w:color w:val="000000"/>
          <w:sz w:val="38"/>
          <w:szCs w:val="38"/>
        </w:rPr>
      </w:pPr>
    </w:p>
    <w:p w14:paraId="4CD79702" w14:textId="77777777" w:rsidR="002F1B86" w:rsidRDefault="002F1B86" w:rsidP="001B5E31">
      <w:pPr>
        <w:pStyle w:val="s5"/>
        <w:spacing w:before="0" w:beforeAutospacing="0" w:after="150" w:afterAutospacing="0"/>
        <w:rPr>
          <w:rFonts w:ascii="Arial" w:hAnsi="Arial" w:cs="Arial"/>
          <w:color w:val="000000"/>
          <w:sz w:val="38"/>
          <w:szCs w:val="38"/>
        </w:rPr>
      </w:pPr>
    </w:p>
    <w:p w14:paraId="0D956F19" w14:textId="77777777" w:rsidR="002F1B86" w:rsidRDefault="002F1B86" w:rsidP="001B5E31">
      <w:pPr>
        <w:pStyle w:val="s5"/>
        <w:spacing w:before="0" w:beforeAutospacing="0" w:after="150" w:afterAutospacing="0"/>
        <w:rPr>
          <w:rFonts w:ascii="Arial" w:hAnsi="Arial" w:cs="Arial"/>
          <w:color w:val="000000"/>
          <w:sz w:val="38"/>
          <w:szCs w:val="38"/>
        </w:rPr>
      </w:pPr>
    </w:p>
    <w:p w14:paraId="3013A06C" w14:textId="77777777" w:rsidR="00410564" w:rsidRDefault="002F1B86">
      <w:pPr>
        <w:pStyle w:val="s4"/>
        <w:spacing w:before="0" w:beforeAutospacing="0" w:after="150" w:afterAutospacing="0"/>
        <w:rPr>
          <w:rFonts w:ascii="-webkit-standard" w:hAnsi="-webkit-standard"/>
          <w:color w:val="000000"/>
          <w:sz w:val="27"/>
          <w:szCs w:val="27"/>
        </w:rPr>
      </w:pPr>
      <w:r w:rsidRPr="002F1B86">
        <w:t xml:space="preserve"> </w:t>
      </w:r>
      <w:r w:rsidR="00410564">
        <w:rPr>
          <w:rFonts w:ascii="-webkit-standard" w:hAnsi="-webkit-standard"/>
          <w:color w:val="000000"/>
          <w:sz w:val="27"/>
          <w:szCs w:val="27"/>
        </w:rPr>
        <w:t>Care Quality Commission (2023) What is person</w:t>
      </w:r>
      <w:r w:rsidR="00410564">
        <w:rPr>
          <w:rFonts w:ascii="-webkit-standard" w:hAnsi="-webkit-standard"/>
          <w:color w:val="000000"/>
          <w:sz w:val="27"/>
          <w:szCs w:val="27"/>
        </w:rPr>
        <w:noBreakHyphen/>
        <w:t>centred care? Available at: https://www.cqc.org.uk/ (Accessed: 15 November 2025).</w:t>
      </w:r>
    </w:p>
    <w:p w14:paraId="7BFE2912"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NHS England (2023) The NHS Long Term Plan. Available at: https://www.longtermplan.nhs.uk/ (Accessed: 15 November 2025).</w:t>
      </w:r>
    </w:p>
    <w:p w14:paraId="607A8F93"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Health Education England (2022) Person</w:t>
      </w:r>
      <w:r>
        <w:rPr>
          <w:rFonts w:ascii="-webkit-standard" w:hAnsi="-webkit-standard"/>
          <w:color w:val="000000"/>
          <w:sz w:val="27"/>
          <w:szCs w:val="27"/>
        </w:rPr>
        <w:noBreakHyphen/>
        <w:t>centred approaches framework. Available at: https://www.hee.nhs.uk/ (Accessed: 15 November 2025).</w:t>
      </w:r>
    </w:p>
    <w:p w14:paraId="58E2D3CA"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NICE (2022) Patient experience in adult NHS services (CG138). Available at: https://www.nice.org.uk/guidance/cg138 (Accessed: 15 November 2025).</w:t>
      </w:r>
    </w:p>
    <w:p w14:paraId="10E3E0F9"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Maslow, A. (1943) ‘A theory of human motivation’, Psychological Review, 50(4), pp. 370–396.</w:t>
      </w:r>
    </w:p>
    <w:p w14:paraId="113A7C36"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NHS England (2024) Safeguarding adults. Available at: https://www.nhs.uk/conditions/social-care-and-support-guide/ (Accessed: 15 November 2025).</w:t>
      </w:r>
    </w:p>
    <w:p w14:paraId="0BBBEF99"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General Medical Council (2023) Good medical practice. Available at: https://www.gmc-uk.org/ (Accessed: 15 November 2025).</w:t>
      </w:r>
    </w:p>
    <w:p w14:paraId="43E37B1A"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British Medical Association (2023) Ethics guidance for doctors. Available at: https://www.bma.org.uk/ (Accessed: 15 November 2025).</w:t>
      </w:r>
    </w:p>
    <w:p w14:paraId="08F668F8"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xml:space="preserve">World Health </w:t>
      </w:r>
      <w:proofErr w:type="spellStart"/>
      <w:r>
        <w:rPr>
          <w:rFonts w:ascii="-webkit-standard" w:hAnsi="-webkit-standard"/>
          <w:color w:val="000000"/>
          <w:sz w:val="27"/>
          <w:szCs w:val="27"/>
        </w:rPr>
        <w:t>Organization</w:t>
      </w:r>
      <w:proofErr w:type="spellEnd"/>
      <w:r>
        <w:rPr>
          <w:rFonts w:ascii="-webkit-standard" w:hAnsi="-webkit-standard"/>
          <w:color w:val="000000"/>
          <w:sz w:val="27"/>
          <w:szCs w:val="27"/>
        </w:rPr>
        <w:t xml:space="preserve"> (2023) Person</w:t>
      </w:r>
      <w:r>
        <w:rPr>
          <w:rFonts w:ascii="-webkit-standard" w:hAnsi="-webkit-standard"/>
          <w:color w:val="000000"/>
          <w:sz w:val="27"/>
          <w:szCs w:val="27"/>
        </w:rPr>
        <w:noBreakHyphen/>
        <w:t>centred care. Available at: https://www.who.int/ (Accessed: 15 November 2025).</w:t>
      </w:r>
    </w:p>
    <w:p w14:paraId="7025A15F"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Royal College of General Practitioners (2023) Continuity of care. Available at: https://www.rcgp.org.uk/ (Accessed: 15 November 2025).</w:t>
      </w:r>
    </w:p>
    <w:p w14:paraId="6EACAAF3"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NHS England (2024) Integrated Care Systems. Available at: https://www.england.nhs.uk/integratedcare/ (Accessed: 15 November 2025).</w:t>
      </w:r>
    </w:p>
    <w:p w14:paraId="71272CA0"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Public Health England (2023) Health inequalities. Available at: https://www.gov.uk/government/organisations/public-health-england (Accessed: 15 November 2025).</w:t>
      </w:r>
    </w:p>
    <w:p w14:paraId="06E7FC2D"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NICE (2023) Type 2 diabetes in adults: management (NG28). Available at: https://www.nice.org.uk/guidance/ng28 (Accessed: 15 November 2025).</w:t>
      </w:r>
    </w:p>
    <w:p w14:paraId="0CC1FC2E"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Diabetes UK (2024) Type 2 diabetes care and support. Available at: https://www.diabetes.org.uk/ (Accessed: 15 November 2025).</w:t>
      </w:r>
    </w:p>
    <w:p w14:paraId="08F41C2C" w14:textId="77777777" w:rsidR="00410564" w:rsidRDefault="0041056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NHS Digital (2023) GP appointments data. Available at: https://digital.nhs.uk/ (Accessed: 15 November 2025).</w:t>
      </w:r>
    </w:p>
    <w:p w14:paraId="305A2498" w14:textId="17E984F3" w:rsidR="002F1B86" w:rsidRPr="009155EF" w:rsidRDefault="002F1B86" w:rsidP="009155EF">
      <w:pPr>
        <w:spacing w:before="100" w:beforeAutospacing="1" w:after="100" w:afterAutospacing="1" w:line="240" w:lineRule="auto"/>
        <w:rPr>
          <w:rFonts w:ascii="Times New Roman" w:hAnsi="Times New Roman" w:cs="Times New Roman"/>
          <w:kern w:val="0"/>
          <w14:ligatures w14:val="none"/>
        </w:rPr>
      </w:pPr>
    </w:p>
    <w:sectPr w:rsidR="002F1B86" w:rsidRPr="00915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98C"/>
    <w:rsid w:val="00052FB0"/>
    <w:rsid w:val="0007464B"/>
    <w:rsid w:val="000B568C"/>
    <w:rsid w:val="0010098C"/>
    <w:rsid w:val="00101D5E"/>
    <w:rsid w:val="00102C3A"/>
    <w:rsid w:val="00111FD2"/>
    <w:rsid w:val="0011773C"/>
    <w:rsid w:val="00156A6F"/>
    <w:rsid w:val="001B5E31"/>
    <w:rsid w:val="001C0FAF"/>
    <w:rsid w:val="001E1C55"/>
    <w:rsid w:val="00210F43"/>
    <w:rsid w:val="002149B1"/>
    <w:rsid w:val="00244D7B"/>
    <w:rsid w:val="002455E3"/>
    <w:rsid w:val="0025576E"/>
    <w:rsid w:val="00265D71"/>
    <w:rsid w:val="002D3EF6"/>
    <w:rsid w:val="002F1B86"/>
    <w:rsid w:val="00335572"/>
    <w:rsid w:val="003523B5"/>
    <w:rsid w:val="003B5E5B"/>
    <w:rsid w:val="00410564"/>
    <w:rsid w:val="00450BBB"/>
    <w:rsid w:val="00485907"/>
    <w:rsid w:val="004969D6"/>
    <w:rsid w:val="005360C6"/>
    <w:rsid w:val="00565AC7"/>
    <w:rsid w:val="005C77F6"/>
    <w:rsid w:val="005E3CB1"/>
    <w:rsid w:val="006E00CD"/>
    <w:rsid w:val="007466F5"/>
    <w:rsid w:val="0076103D"/>
    <w:rsid w:val="00770133"/>
    <w:rsid w:val="007D302E"/>
    <w:rsid w:val="00865441"/>
    <w:rsid w:val="008B3552"/>
    <w:rsid w:val="008D057B"/>
    <w:rsid w:val="008D326B"/>
    <w:rsid w:val="00904F65"/>
    <w:rsid w:val="009155EF"/>
    <w:rsid w:val="00942021"/>
    <w:rsid w:val="0099607B"/>
    <w:rsid w:val="009B1E1B"/>
    <w:rsid w:val="00A51476"/>
    <w:rsid w:val="00A80088"/>
    <w:rsid w:val="00A92104"/>
    <w:rsid w:val="00B040E1"/>
    <w:rsid w:val="00B3438D"/>
    <w:rsid w:val="00B41E09"/>
    <w:rsid w:val="00C46371"/>
    <w:rsid w:val="00C47BC3"/>
    <w:rsid w:val="00CA53F8"/>
    <w:rsid w:val="00CE5915"/>
    <w:rsid w:val="00D53618"/>
    <w:rsid w:val="00D537E1"/>
    <w:rsid w:val="00D638A0"/>
    <w:rsid w:val="00D850DB"/>
    <w:rsid w:val="00DB7952"/>
    <w:rsid w:val="00E80163"/>
    <w:rsid w:val="00E9195D"/>
    <w:rsid w:val="00ED5788"/>
    <w:rsid w:val="00F37470"/>
    <w:rsid w:val="00F60C6C"/>
    <w:rsid w:val="00F95D67"/>
    <w:rsid w:val="00FB7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E1EB02"/>
  <w15:chartTrackingRefBased/>
  <w15:docId w15:val="{9AAA237D-F16F-F349-90F1-01706DDB2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9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09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09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9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9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9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9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9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9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9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09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9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9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9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9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9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9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98C"/>
    <w:rPr>
      <w:rFonts w:eastAsiaTheme="majorEastAsia" w:cstheme="majorBidi"/>
      <w:color w:val="272727" w:themeColor="text1" w:themeTint="D8"/>
    </w:rPr>
  </w:style>
  <w:style w:type="paragraph" w:styleId="Title">
    <w:name w:val="Title"/>
    <w:basedOn w:val="Normal"/>
    <w:next w:val="Normal"/>
    <w:link w:val="TitleChar"/>
    <w:uiPriority w:val="10"/>
    <w:qFormat/>
    <w:rsid w:val="001009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9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9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9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98C"/>
    <w:pPr>
      <w:spacing w:before="160"/>
      <w:jc w:val="center"/>
    </w:pPr>
    <w:rPr>
      <w:i/>
      <w:iCs/>
      <w:color w:val="404040" w:themeColor="text1" w:themeTint="BF"/>
    </w:rPr>
  </w:style>
  <w:style w:type="character" w:customStyle="1" w:styleId="QuoteChar">
    <w:name w:val="Quote Char"/>
    <w:basedOn w:val="DefaultParagraphFont"/>
    <w:link w:val="Quote"/>
    <w:uiPriority w:val="29"/>
    <w:rsid w:val="0010098C"/>
    <w:rPr>
      <w:i/>
      <w:iCs/>
      <w:color w:val="404040" w:themeColor="text1" w:themeTint="BF"/>
    </w:rPr>
  </w:style>
  <w:style w:type="paragraph" w:styleId="ListParagraph">
    <w:name w:val="List Paragraph"/>
    <w:basedOn w:val="Normal"/>
    <w:uiPriority w:val="34"/>
    <w:qFormat/>
    <w:rsid w:val="0010098C"/>
    <w:pPr>
      <w:ind w:left="720"/>
      <w:contextualSpacing/>
    </w:pPr>
  </w:style>
  <w:style w:type="character" w:styleId="IntenseEmphasis">
    <w:name w:val="Intense Emphasis"/>
    <w:basedOn w:val="DefaultParagraphFont"/>
    <w:uiPriority w:val="21"/>
    <w:qFormat/>
    <w:rsid w:val="0010098C"/>
    <w:rPr>
      <w:i/>
      <w:iCs/>
      <w:color w:val="0F4761" w:themeColor="accent1" w:themeShade="BF"/>
    </w:rPr>
  </w:style>
  <w:style w:type="paragraph" w:styleId="IntenseQuote">
    <w:name w:val="Intense Quote"/>
    <w:basedOn w:val="Normal"/>
    <w:next w:val="Normal"/>
    <w:link w:val="IntenseQuoteChar"/>
    <w:uiPriority w:val="30"/>
    <w:qFormat/>
    <w:rsid w:val="001009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98C"/>
    <w:rPr>
      <w:i/>
      <w:iCs/>
      <w:color w:val="0F4761" w:themeColor="accent1" w:themeShade="BF"/>
    </w:rPr>
  </w:style>
  <w:style w:type="character" w:styleId="IntenseReference">
    <w:name w:val="Intense Reference"/>
    <w:basedOn w:val="DefaultParagraphFont"/>
    <w:uiPriority w:val="32"/>
    <w:qFormat/>
    <w:rsid w:val="0010098C"/>
    <w:rPr>
      <w:b/>
      <w:bCs/>
      <w:smallCaps/>
      <w:color w:val="0F4761" w:themeColor="accent1" w:themeShade="BF"/>
      <w:spacing w:val="5"/>
    </w:rPr>
  </w:style>
  <w:style w:type="paragraph" w:customStyle="1" w:styleId="s3">
    <w:name w:val="s3"/>
    <w:basedOn w:val="Normal"/>
    <w:rsid w:val="0010098C"/>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10098C"/>
  </w:style>
  <w:style w:type="paragraph" w:customStyle="1" w:styleId="s5">
    <w:name w:val="s5"/>
    <w:basedOn w:val="Normal"/>
    <w:rsid w:val="0010098C"/>
    <w:pPr>
      <w:spacing w:before="100" w:beforeAutospacing="1" w:after="100" w:afterAutospacing="1" w:line="240" w:lineRule="auto"/>
    </w:pPr>
    <w:rPr>
      <w:rFonts w:ascii="Times New Roman" w:hAnsi="Times New Roman" w:cs="Times New Roman"/>
      <w:kern w:val="0"/>
      <w14:ligatures w14:val="none"/>
    </w:rPr>
  </w:style>
  <w:style w:type="paragraph" w:customStyle="1" w:styleId="s7">
    <w:name w:val="s7"/>
    <w:basedOn w:val="Normal"/>
    <w:rsid w:val="0010098C"/>
    <w:pPr>
      <w:spacing w:before="100" w:beforeAutospacing="1" w:after="100" w:afterAutospacing="1" w:line="240" w:lineRule="auto"/>
    </w:pPr>
    <w:rPr>
      <w:rFonts w:ascii="Times New Roman" w:hAnsi="Times New Roman" w:cs="Times New Roman"/>
      <w:kern w:val="0"/>
      <w14:ligatures w14:val="none"/>
    </w:rPr>
  </w:style>
  <w:style w:type="paragraph" w:customStyle="1" w:styleId="s2">
    <w:name w:val="s2"/>
    <w:basedOn w:val="Normal"/>
    <w:rsid w:val="00156A6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65441"/>
  </w:style>
  <w:style w:type="paragraph" w:customStyle="1" w:styleId="p2">
    <w:name w:val="p2"/>
    <w:basedOn w:val="Normal"/>
    <w:rsid w:val="00865441"/>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865441"/>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25576E"/>
    <w:pPr>
      <w:spacing w:before="100" w:beforeAutospacing="1" w:after="100" w:afterAutospacing="1" w:line="240" w:lineRule="auto"/>
    </w:pPr>
    <w:rPr>
      <w:rFonts w:ascii="Times New Roman" w:hAnsi="Times New Roman" w:cs="Times New Roman"/>
      <w:kern w:val="0"/>
      <w14:ligatures w14:val="none"/>
    </w:rPr>
  </w:style>
  <w:style w:type="paragraph" w:customStyle="1" w:styleId="s4">
    <w:name w:val="s4"/>
    <w:basedOn w:val="Normal"/>
    <w:rsid w:val="00410564"/>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2321</Words>
  <Characters>15269</Characters>
  <Application>Microsoft Office Word</Application>
  <DocSecurity>0</DocSecurity>
  <Lines>391</Lines>
  <Paragraphs>48</Paragraphs>
  <ScaleCrop>false</ScaleCrop>
  <Company/>
  <LinksUpToDate>false</LinksUpToDate>
  <CharactersWithSpaces>17539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Balogh (2407673)</dc:creator>
  <cp:keywords/>
  <dc:description/>
  <cp:lastModifiedBy>Renata Balogh (2407673)</cp:lastModifiedBy>
  <cp:revision>3</cp:revision>
  <dcterms:created xsi:type="dcterms:W3CDTF">2025-11-15T21:37:00Z</dcterms:created>
  <dcterms:modified xsi:type="dcterms:W3CDTF">2025-11-15T21:38:00Z</dcterms:modified>
</cp:coreProperties>
</file>