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4A1020" w14:textId="30522EF7" w:rsidR="00592CB7" w:rsidRDefault="00DF7CAD">
      <w:r>
        <w:t>Kristin Bremer</w:t>
      </w:r>
    </w:p>
    <w:p w14:paraId="5BE08209" w14:textId="09B0E3A3" w:rsidR="00DF7CAD" w:rsidRDefault="00DF7CAD">
      <w:r>
        <w:t>HPHI7016: Past Peoples, Present Societies</w:t>
      </w:r>
    </w:p>
    <w:p w14:paraId="6219AA45" w14:textId="1462E338" w:rsidR="00DF7CAD" w:rsidRDefault="00DF7CAD">
      <w:r>
        <w:t>14 November 2021</w:t>
      </w:r>
    </w:p>
    <w:p w14:paraId="30B3909E" w14:textId="73BFDCDB" w:rsidR="00DF7CAD" w:rsidRDefault="00DF7CAD"/>
    <w:p w14:paraId="2288A722" w14:textId="5F497D99" w:rsidR="00DF7CAD" w:rsidRDefault="00DF7CAD">
      <w:r>
        <w:t>Assessment 2</w:t>
      </w:r>
      <w:r w:rsidR="005126BE">
        <w:t xml:space="preserve"> Bibliographic Exercise</w:t>
      </w:r>
    </w:p>
    <w:p w14:paraId="21642E53" w14:textId="1B51F488" w:rsidR="005126BE" w:rsidRDefault="005126BE"/>
    <w:p w14:paraId="321EB8BC" w14:textId="3E9E43FC" w:rsidR="005126BE" w:rsidRDefault="000B26F3">
      <w:r>
        <w:t>Domesday Book</w:t>
      </w:r>
    </w:p>
    <w:p w14:paraId="58A2E626" w14:textId="7C642435" w:rsidR="00D24BFD" w:rsidRDefault="00D24BFD"/>
    <w:p w14:paraId="0905D560" w14:textId="77777777" w:rsidR="004B42FE" w:rsidRDefault="00D24BFD" w:rsidP="004B42FE">
      <w:pPr>
        <w:spacing w:line="480" w:lineRule="auto"/>
      </w:pPr>
      <w:r>
        <w:t xml:space="preserve">Domesday is one of the most important innovations in the field of public administration.  William I, following the Conquest, commissioned the work to consolidate his power in England.  In order to do that, he needed a firm administrative grip on the Kingdom that gave both legitimacy and the ability to extract resources.  Domesday spans almost all of England and gives an accounting of land, chattel, and </w:t>
      </w:r>
      <w:r w:rsidR="00BD16F5">
        <w:t>men (slave and free)</w:t>
      </w:r>
      <w:r>
        <w:t xml:space="preserve"> held.  </w:t>
      </w:r>
      <w:r w:rsidR="009E4F76">
        <w:t xml:space="preserve">Domesday is based on a geographical division of the Kingdom into 7 circuits and within each circuit a subdivision into shires.  </w:t>
      </w:r>
      <w:r w:rsidR="008934AB">
        <w:t xml:space="preserve">A survey questionnaire was used to find out all Manorial holdings under </w:t>
      </w:r>
      <w:r w:rsidR="00032CAE">
        <w:t xml:space="preserve">King </w:t>
      </w:r>
      <w:r w:rsidR="008934AB">
        <w:t>Edward</w:t>
      </w:r>
      <w:r w:rsidR="00032CAE">
        <w:t xml:space="preserve"> the Confessor</w:t>
      </w:r>
      <w:r w:rsidR="008934AB">
        <w:t xml:space="preserve"> as well as the holdings at the time (1086).  In addition, the questionnaire also asked for land description such as woodland, meadows, grazing, and fisheries.</w:t>
      </w:r>
      <w:r w:rsidR="00B739E8">
        <w:rPr>
          <w:rStyle w:val="FootnoteReference"/>
        </w:rPr>
        <w:footnoteReference w:id="1"/>
      </w:r>
      <w:r w:rsidR="008934AB">
        <w:t xml:space="preserve">  This gave information to form an accounting system to calculate </w:t>
      </w:r>
      <w:r w:rsidR="00131D2D">
        <w:t>landholders’</w:t>
      </w:r>
      <w:r w:rsidR="008934AB">
        <w:t xml:space="preserve"> income as well as an ability to </w:t>
      </w:r>
      <w:r w:rsidR="00131D2D">
        <w:t xml:space="preserve">implement </w:t>
      </w:r>
      <w:r w:rsidR="008934AB">
        <w:t xml:space="preserve">a land tax.  </w:t>
      </w:r>
      <w:r>
        <w:t>In this way, he was able to devise a tax system</w:t>
      </w:r>
      <w:r w:rsidR="0009551B">
        <w:t xml:space="preserve"> that was viable and comprehensive.  </w:t>
      </w:r>
    </w:p>
    <w:p w14:paraId="7F6B078F" w14:textId="32BCEA52" w:rsidR="00C27723" w:rsidRDefault="00C27723" w:rsidP="004B42FE">
      <w:pPr>
        <w:spacing w:line="480" w:lineRule="auto"/>
        <w:ind w:firstLine="720"/>
      </w:pPr>
      <w:r>
        <w:t>I began my research by simply googling ‘publication of Domesday book’ and looked first at the Wikipedia entry for some guidance (</w:t>
      </w:r>
      <w:hyperlink r:id="rId7" w:history="1">
        <w:r w:rsidRPr="002319B2">
          <w:rPr>
            <w:rStyle w:val="Hyperlink"/>
          </w:rPr>
          <w:t>https://en.wikipedia.org/wiki/Publication_of_Domesday_Book</w:t>
        </w:r>
      </w:hyperlink>
      <w:r>
        <w:t>).  Wikipedia gave me some background information and the primary editors of Domesday since the 18</w:t>
      </w:r>
      <w:r w:rsidRPr="00C27723">
        <w:rPr>
          <w:vertAlign w:val="superscript"/>
        </w:rPr>
        <w:t>th</w:t>
      </w:r>
      <w:r>
        <w:t xml:space="preserve"> century.  I then search</w:t>
      </w:r>
      <w:r w:rsidR="0033467E">
        <w:t>ed</w:t>
      </w:r>
      <w:r>
        <w:t xml:space="preserve"> The National Archives (TNA) for the original Domesday holding and also came across </w:t>
      </w:r>
      <w:r>
        <w:lastRenderedPageBreak/>
        <w:t>TNA digital resources on Domesday.  F</w:t>
      </w:r>
      <w:r w:rsidR="00BD16F5">
        <w:t>rom</w:t>
      </w:r>
      <w:r>
        <w:t xml:space="preserve"> this basic information, </w:t>
      </w:r>
      <w:r w:rsidR="00BD16F5">
        <w:t>I search</w:t>
      </w:r>
      <w:r w:rsidR="00131D2D">
        <w:t>ed</w:t>
      </w:r>
      <w:r w:rsidR="00BD16F5">
        <w:t xml:space="preserve"> Ebscohost.com to search for peer-reviewed articles on Domesday and found </w:t>
      </w:r>
      <w:r w:rsidR="00E92FF4">
        <w:t>a number of articles</w:t>
      </w:r>
      <w:r w:rsidR="004B42FE">
        <w:t xml:space="preserve"> and books</w:t>
      </w:r>
      <w:r w:rsidR="00E92FF4">
        <w:t xml:space="preserve"> that </w:t>
      </w:r>
      <w:r w:rsidR="00131D2D">
        <w:t xml:space="preserve">provided background information and </w:t>
      </w:r>
      <w:r w:rsidR="00E92FF4">
        <w:t>examined the method</w:t>
      </w:r>
      <w:r w:rsidR="00131D2D">
        <w:t xml:space="preserve"> in which Domesday was constructed.  </w:t>
      </w:r>
      <w:r>
        <w:t xml:space="preserve">I </w:t>
      </w:r>
      <w:r w:rsidR="00131D2D">
        <w:t xml:space="preserve">then </w:t>
      </w:r>
      <w:r>
        <w:t xml:space="preserve">used WorldCat.org </w:t>
      </w:r>
      <w:r w:rsidR="00980850">
        <w:t>to find various printed editions of Domesday.</w:t>
      </w:r>
      <w:r>
        <w:t xml:space="preserve"> </w:t>
      </w:r>
      <w:r w:rsidR="004B42FE">
        <w:t xml:space="preserve"> Over times, we see that the various editions used previous editions and facsimiles to construct their work on Domesday.  </w:t>
      </w:r>
      <w:r w:rsidR="00095348">
        <w:t>The earliest edition that I found was the 1783 Farley edition.  I find it difficult to believe that this is the first published edition of the oft-cited Domesday – seven hundred years after its construction.</w:t>
      </w:r>
    </w:p>
    <w:p w14:paraId="27205653" w14:textId="7AF2CAF2" w:rsidR="00032CAE" w:rsidRDefault="00032CAE"/>
    <w:p w14:paraId="0D68FC8C" w14:textId="0FAD4F3E" w:rsidR="00517A8C" w:rsidRDefault="00517A8C"/>
    <w:p w14:paraId="06C5C2D6" w14:textId="48B5D94C" w:rsidR="00517A8C" w:rsidRDefault="00C16F05">
      <w:r>
        <w:t>TNA</w:t>
      </w:r>
      <w:r>
        <w:tab/>
      </w:r>
      <w:r>
        <w:tab/>
      </w:r>
      <w:r>
        <w:tab/>
      </w:r>
      <w:r>
        <w:tab/>
      </w:r>
      <w:r>
        <w:tab/>
      </w:r>
      <w:r>
        <w:tab/>
        <w:t>Kew</w:t>
      </w:r>
      <w:r w:rsidR="00517A8C">
        <w:t xml:space="preserve">, The National </w:t>
      </w:r>
      <w:r w:rsidR="000B26F3">
        <w:t>Archives, E</w:t>
      </w:r>
      <w:r>
        <w:t>31</w:t>
      </w:r>
    </w:p>
    <w:p w14:paraId="5885ACD5" w14:textId="4F60A332" w:rsidR="00517A8C" w:rsidRDefault="00517A8C"/>
    <w:p w14:paraId="4961839D" w14:textId="03865EDB" w:rsidR="00032CAE" w:rsidRDefault="00032CAE">
      <w:r>
        <w:t>Printed Editions</w:t>
      </w:r>
    </w:p>
    <w:p w14:paraId="36F1B247" w14:textId="77777777" w:rsidR="00032CAE" w:rsidRDefault="00032CAE"/>
    <w:p w14:paraId="272774C1" w14:textId="0BA70151" w:rsidR="00517A8C" w:rsidRDefault="00312650" w:rsidP="004F23E6">
      <w:r w:rsidRPr="004F23E6">
        <w:rPr>
          <w:i/>
          <w:iCs/>
        </w:rPr>
        <w:t>Domesday</w:t>
      </w:r>
      <w:r w:rsidR="000A1185">
        <w:t xml:space="preserve">, ed. by Farley A. (London, </w:t>
      </w:r>
      <w:r w:rsidR="003B1B46">
        <w:t>publisher is not identified,</w:t>
      </w:r>
      <w:r w:rsidR="000A1185">
        <w:t xml:space="preserve"> 1783)</w:t>
      </w:r>
    </w:p>
    <w:p w14:paraId="2A799450" w14:textId="153B925D" w:rsidR="000A1185" w:rsidRDefault="000A1185"/>
    <w:p w14:paraId="6844CE0A" w14:textId="5C62780F" w:rsidR="000A1185" w:rsidRDefault="000A1185">
      <w:r>
        <w:t xml:space="preserve">Farley replicated the original </w:t>
      </w:r>
      <w:r w:rsidR="00312650">
        <w:rPr>
          <w:i/>
          <w:iCs/>
        </w:rPr>
        <w:t>Domesday</w:t>
      </w:r>
      <w:r>
        <w:t xml:space="preserve"> by the early use of record type.  Two short comings to this edition are noted: 1) circulation was limited and 2) it does not contain supplementary material.</w:t>
      </w:r>
      <w:r w:rsidR="008962F4">
        <w:rPr>
          <w:rStyle w:val="FootnoteReference"/>
        </w:rPr>
        <w:footnoteReference w:id="2"/>
      </w:r>
    </w:p>
    <w:p w14:paraId="725B44EE" w14:textId="77777777" w:rsidR="000A1185" w:rsidRDefault="000A1185"/>
    <w:p w14:paraId="630DE2A2" w14:textId="1CC71827" w:rsidR="003B1B46" w:rsidRDefault="00312650" w:rsidP="003B1B46">
      <w:r>
        <w:rPr>
          <w:i/>
          <w:iCs/>
        </w:rPr>
        <w:t>Domesday</w:t>
      </w:r>
      <w:r w:rsidR="000A1185">
        <w:t xml:space="preserve">, ed </w:t>
      </w:r>
      <w:r w:rsidR="003B1B46">
        <w:t>by Farley A. and H. Ellis (London, publisher is not identified, 1816)</w:t>
      </w:r>
    </w:p>
    <w:p w14:paraId="6E84AB57" w14:textId="72AE2A4E" w:rsidR="00491392" w:rsidRDefault="00491392" w:rsidP="003B1B46"/>
    <w:p w14:paraId="1E99DC5D" w14:textId="2892F9EB" w:rsidR="00491392" w:rsidRDefault="00491392" w:rsidP="003B1B46">
      <w:r>
        <w:t>This version is also cited below as:</w:t>
      </w:r>
    </w:p>
    <w:p w14:paraId="6444183D" w14:textId="2362D1A6" w:rsidR="00AA056A" w:rsidRDefault="00AA056A" w:rsidP="003B1B46"/>
    <w:p w14:paraId="1E93D07B" w14:textId="2B86F3CD" w:rsidR="00AA056A" w:rsidRPr="00AA056A" w:rsidRDefault="00AA056A" w:rsidP="004F23E6">
      <w:pPr>
        <w:ind w:left="720" w:hanging="720"/>
      </w:pPr>
      <w:r w:rsidRPr="00AA056A">
        <w:rPr>
          <w:i/>
          <w:iCs/>
        </w:rPr>
        <w:t xml:space="preserve">Domesday-Book, </w:t>
      </w:r>
      <w:proofErr w:type="spellStart"/>
      <w:r w:rsidRPr="00AA056A">
        <w:rPr>
          <w:i/>
          <w:iCs/>
        </w:rPr>
        <w:t>seu</w:t>
      </w:r>
      <w:proofErr w:type="spellEnd"/>
      <w:r w:rsidRPr="00AA056A">
        <w:rPr>
          <w:i/>
          <w:iCs/>
        </w:rPr>
        <w:t xml:space="preserve"> liber </w:t>
      </w:r>
      <w:proofErr w:type="spellStart"/>
      <w:r w:rsidRPr="00AA056A">
        <w:rPr>
          <w:i/>
          <w:iCs/>
        </w:rPr>
        <w:t>censualis</w:t>
      </w:r>
      <w:proofErr w:type="spellEnd"/>
      <w:r w:rsidRPr="00AA056A">
        <w:rPr>
          <w:i/>
          <w:iCs/>
        </w:rPr>
        <w:t xml:space="preserve">, </w:t>
      </w:r>
      <w:proofErr w:type="spellStart"/>
      <w:r w:rsidRPr="00AA056A">
        <w:rPr>
          <w:i/>
          <w:iCs/>
        </w:rPr>
        <w:t>Willelmi</w:t>
      </w:r>
      <w:proofErr w:type="spellEnd"/>
      <w:r w:rsidRPr="00AA056A">
        <w:rPr>
          <w:i/>
          <w:iCs/>
        </w:rPr>
        <w:t xml:space="preserve"> </w:t>
      </w:r>
      <w:proofErr w:type="spellStart"/>
      <w:r w:rsidRPr="00AA056A">
        <w:rPr>
          <w:i/>
          <w:iCs/>
        </w:rPr>
        <w:t>Primi</w:t>
      </w:r>
      <w:proofErr w:type="spellEnd"/>
      <w:r w:rsidRPr="00AA056A">
        <w:rPr>
          <w:i/>
          <w:iCs/>
        </w:rPr>
        <w:t xml:space="preserve"> Regis </w:t>
      </w:r>
      <w:proofErr w:type="spellStart"/>
      <w:r w:rsidRPr="00AA056A">
        <w:rPr>
          <w:i/>
          <w:iCs/>
        </w:rPr>
        <w:t>Angliae</w:t>
      </w:r>
      <w:proofErr w:type="spellEnd"/>
      <w:r w:rsidRPr="00AA056A">
        <w:rPr>
          <w:i/>
          <w:iCs/>
        </w:rPr>
        <w:t xml:space="preserve">, inter </w:t>
      </w:r>
      <w:proofErr w:type="spellStart"/>
      <w:r w:rsidRPr="00AA056A">
        <w:rPr>
          <w:i/>
          <w:iCs/>
        </w:rPr>
        <w:t>archivos</w:t>
      </w:r>
      <w:proofErr w:type="spellEnd"/>
      <w:r w:rsidRPr="00AA056A">
        <w:rPr>
          <w:i/>
          <w:iCs/>
        </w:rPr>
        <w:t xml:space="preserve"> regni in domo </w:t>
      </w:r>
      <w:proofErr w:type="spellStart"/>
      <w:r w:rsidRPr="00AA056A">
        <w:rPr>
          <w:i/>
          <w:iCs/>
        </w:rPr>
        <w:t>capitulari</w:t>
      </w:r>
      <w:proofErr w:type="spellEnd"/>
      <w:r w:rsidRPr="00AA056A">
        <w:rPr>
          <w:i/>
          <w:iCs/>
        </w:rPr>
        <w:t xml:space="preserve"> </w:t>
      </w:r>
      <w:proofErr w:type="spellStart"/>
      <w:r w:rsidRPr="00AA056A">
        <w:rPr>
          <w:i/>
          <w:iCs/>
        </w:rPr>
        <w:t>Westmonasterii</w:t>
      </w:r>
      <w:proofErr w:type="spellEnd"/>
      <w:r w:rsidRPr="00AA056A">
        <w:rPr>
          <w:i/>
          <w:iCs/>
        </w:rPr>
        <w:t xml:space="preserve"> </w:t>
      </w:r>
      <w:proofErr w:type="spellStart"/>
      <w:r w:rsidRPr="00AA056A">
        <w:rPr>
          <w:i/>
          <w:iCs/>
        </w:rPr>
        <w:t>asservatus</w:t>
      </w:r>
      <w:proofErr w:type="spellEnd"/>
      <w:r w:rsidRPr="00AA056A">
        <w:rPr>
          <w:i/>
          <w:iCs/>
        </w:rPr>
        <w:t xml:space="preserve">: </w:t>
      </w:r>
      <w:proofErr w:type="spellStart"/>
      <w:r w:rsidRPr="00AA056A">
        <w:rPr>
          <w:i/>
          <w:iCs/>
        </w:rPr>
        <w:t>jubente</w:t>
      </w:r>
      <w:proofErr w:type="spellEnd"/>
      <w:r w:rsidRPr="00AA056A">
        <w:rPr>
          <w:i/>
          <w:iCs/>
        </w:rPr>
        <w:t xml:space="preserve"> </w:t>
      </w:r>
      <w:proofErr w:type="spellStart"/>
      <w:r w:rsidRPr="00AA056A">
        <w:rPr>
          <w:i/>
          <w:iCs/>
        </w:rPr>
        <w:t>rege</w:t>
      </w:r>
      <w:proofErr w:type="spellEnd"/>
      <w:r w:rsidRPr="00AA056A">
        <w:rPr>
          <w:i/>
          <w:iCs/>
        </w:rPr>
        <w:t xml:space="preserve"> </w:t>
      </w:r>
      <w:proofErr w:type="spellStart"/>
      <w:r w:rsidRPr="00AA056A">
        <w:rPr>
          <w:i/>
          <w:iCs/>
        </w:rPr>
        <w:t>augustissimo</w:t>
      </w:r>
      <w:proofErr w:type="spellEnd"/>
      <w:r w:rsidRPr="00AA056A">
        <w:rPr>
          <w:i/>
          <w:iCs/>
        </w:rPr>
        <w:t xml:space="preserve"> </w:t>
      </w:r>
      <w:proofErr w:type="spellStart"/>
      <w:r w:rsidRPr="00AA056A">
        <w:rPr>
          <w:i/>
          <w:iCs/>
        </w:rPr>
        <w:t>Georgio</w:t>
      </w:r>
      <w:proofErr w:type="spellEnd"/>
      <w:r w:rsidRPr="00AA056A">
        <w:rPr>
          <w:i/>
          <w:iCs/>
        </w:rPr>
        <w:t xml:space="preserve"> </w:t>
      </w:r>
      <w:proofErr w:type="spellStart"/>
      <w:r w:rsidRPr="00AA056A">
        <w:rPr>
          <w:i/>
          <w:iCs/>
        </w:rPr>
        <w:t>Tertio</w:t>
      </w:r>
      <w:proofErr w:type="spellEnd"/>
      <w:r w:rsidRPr="00AA056A">
        <w:rPr>
          <w:i/>
          <w:iCs/>
        </w:rPr>
        <w:t xml:space="preserve"> </w:t>
      </w:r>
      <w:proofErr w:type="spellStart"/>
      <w:r w:rsidRPr="00AA056A">
        <w:rPr>
          <w:i/>
          <w:iCs/>
        </w:rPr>
        <w:t>praelo</w:t>
      </w:r>
      <w:proofErr w:type="spellEnd"/>
      <w:r w:rsidRPr="00AA056A">
        <w:rPr>
          <w:i/>
          <w:iCs/>
        </w:rPr>
        <w:t xml:space="preserve"> </w:t>
      </w:r>
      <w:proofErr w:type="spellStart"/>
      <w:r w:rsidRPr="00AA056A">
        <w:rPr>
          <w:i/>
          <w:iCs/>
        </w:rPr>
        <w:t>mandatus</w:t>
      </w:r>
      <w:proofErr w:type="spellEnd"/>
      <w:r w:rsidRPr="00AA056A">
        <w:rPr>
          <w:i/>
          <w:iCs/>
        </w:rPr>
        <w:t xml:space="preserve"> </w:t>
      </w:r>
      <w:proofErr w:type="spellStart"/>
      <w:r w:rsidRPr="00AA056A">
        <w:rPr>
          <w:i/>
          <w:iCs/>
        </w:rPr>
        <w:t>typis</w:t>
      </w:r>
      <w:proofErr w:type="spellEnd"/>
      <w:r w:rsidRPr="00AA056A">
        <w:t xml:space="preserve">, ed. Abraham Farley and Henry Ellis, 4 vols. (London, </w:t>
      </w:r>
      <w:r w:rsidR="00416C8C">
        <w:t>1783-1816)</w:t>
      </w:r>
    </w:p>
    <w:p w14:paraId="296AB056" w14:textId="7D609357" w:rsidR="000A1185" w:rsidRDefault="000A1185" w:rsidP="004F23E6">
      <w:pPr>
        <w:ind w:left="720" w:hanging="720"/>
      </w:pPr>
    </w:p>
    <w:p w14:paraId="7D01742D" w14:textId="1AD5E7C5" w:rsidR="003B1B46" w:rsidRDefault="003B1B46">
      <w:r>
        <w:t>This is Farley’s Latin edition.</w:t>
      </w:r>
      <w:r w:rsidR="004A4752">
        <w:t xml:space="preserve">  The record type is known to be superb and legible.</w:t>
      </w:r>
    </w:p>
    <w:p w14:paraId="4A1B3341" w14:textId="77777777" w:rsidR="004F23E6" w:rsidRDefault="004F23E6" w:rsidP="003B1B46"/>
    <w:p w14:paraId="17745D5B" w14:textId="108A2A72" w:rsidR="003B1B46" w:rsidRDefault="00312650" w:rsidP="003B1B46">
      <w:r>
        <w:rPr>
          <w:i/>
          <w:iCs/>
        </w:rPr>
        <w:t>Domesday</w:t>
      </w:r>
      <w:r w:rsidR="003B1B46">
        <w:t>, ed. by Farley A., H. Ellis and T. Philips (London, Record Commission, 1783-1816)</w:t>
      </w:r>
    </w:p>
    <w:p w14:paraId="797A54AB" w14:textId="650F15B6" w:rsidR="003B1B46" w:rsidRDefault="003B1B46" w:rsidP="003B1B46"/>
    <w:p w14:paraId="0EC0CF0C" w14:textId="2D5AA672" w:rsidR="003B1B46" w:rsidRPr="003B1B46" w:rsidRDefault="003B1B46" w:rsidP="003B1B46">
      <w:r>
        <w:t xml:space="preserve">Farley et al translated </w:t>
      </w:r>
      <w:r w:rsidR="00312650">
        <w:rPr>
          <w:i/>
          <w:iCs/>
        </w:rPr>
        <w:t>Domesday</w:t>
      </w:r>
      <w:r>
        <w:t xml:space="preserve"> into English</w:t>
      </w:r>
      <w:r w:rsidR="00652A47">
        <w:t>.</w:t>
      </w:r>
    </w:p>
    <w:p w14:paraId="18B3D97E" w14:textId="46AB7616" w:rsidR="004A4752" w:rsidRPr="00E21501" w:rsidRDefault="004A4752"/>
    <w:p w14:paraId="7C1C560F" w14:textId="77777777" w:rsidR="00112C41" w:rsidRDefault="00112C41" w:rsidP="00112C41">
      <w:pPr>
        <w:pStyle w:val="NormalWeb"/>
      </w:pPr>
      <w:r w:rsidRPr="00143672">
        <w:rPr>
          <w:i/>
          <w:iCs/>
        </w:rPr>
        <w:lastRenderedPageBreak/>
        <w:t>Domesday Book</w:t>
      </w:r>
      <w:r>
        <w:rPr>
          <w:i/>
          <w:iCs/>
        </w:rPr>
        <w:t>: Text and Translations</w:t>
      </w:r>
      <w:r w:rsidRPr="00143672">
        <w:t xml:space="preserve">, ed. J. Morris et al. 34 vols </w:t>
      </w:r>
      <w:r>
        <w:t>(</w:t>
      </w:r>
      <w:r w:rsidRPr="00143672">
        <w:t xml:space="preserve">Chichester, </w:t>
      </w:r>
      <w:r>
        <w:t xml:space="preserve">Phillimore, </w:t>
      </w:r>
      <w:r w:rsidRPr="00143672">
        <w:t xml:space="preserve">1974–86). </w:t>
      </w:r>
    </w:p>
    <w:p w14:paraId="661E85D1" w14:textId="77777777" w:rsidR="00112C41" w:rsidRDefault="00112C41" w:rsidP="00112C41">
      <w:pPr>
        <w:pStyle w:val="NormalWeb"/>
      </w:pPr>
      <w:r>
        <w:t xml:space="preserve">This edition was used for the Phillimore </w:t>
      </w:r>
      <w:r>
        <w:rPr>
          <w:i/>
          <w:iCs/>
        </w:rPr>
        <w:t>Domesday Explorer</w:t>
      </w:r>
      <w:r>
        <w:t xml:space="preserve"> digital edition.  This includes translations of the Great Domesday book; however, the little Domesday book translations are missing.  The text is displayed in both Latin and English, using Farley’s facsimile for the Latin text.</w:t>
      </w:r>
      <w:r>
        <w:rPr>
          <w:rStyle w:val="FootnoteReference"/>
        </w:rPr>
        <w:footnoteReference w:id="3"/>
      </w:r>
      <w:r>
        <w:t xml:space="preserve"> </w:t>
      </w:r>
    </w:p>
    <w:p w14:paraId="3C00933E" w14:textId="77777777" w:rsidR="00112C41" w:rsidRDefault="00112C41" w:rsidP="00112C41">
      <w:pPr>
        <w:pStyle w:val="NormalWeb"/>
      </w:pPr>
      <w:r w:rsidRPr="00143672">
        <w:rPr>
          <w:i/>
          <w:iCs/>
        </w:rPr>
        <w:t>Domesday Book</w:t>
      </w:r>
      <w:r w:rsidRPr="00143672">
        <w:t xml:space="preserve">, ed. J. Morris et al. 34 vols </w:t>
      </w:r>
      <w:r>
        <w:t>(</w:t>
      </w:r>
      <w:r w:rsidRPr="00143672">
        <w:t xml:space="preserve">Chichester, </w:t>
      </w:r>
      <w:r>
        <w:t xml:space="preserve">Phillimore, </w:t>
      </w:r>
      <w:r w:rsidRPr="00143672">
        <w:t>1</w:t>
      </w:r>
      <w:r>
        <w:t>988</w:t>
      </w:r>
      <w:r w:rsidRPr="00143672">
        <w:t xml:space="preserve">). </w:t>
      </w:r>
    </w:p>
    <w:p w14:paraId="7D1D9613" w14:textId="77777777" w:rsidR="00112C41" w:rsidRDefault="00112C41" w:rsidP="00112C41">
      <w:pPr>
        <w:pStyle w:val="NormalWeb"/>
      </w:pPr>
      <w:r>
        <w:t>This later edition is in Latin.</w:t>
      </w:r>
    </w:p>
    <w:p w14:paraId="30E2FF2A" w14:textId="750FAB84" w:rsidR="004A4752" w:rsidRPr="004A4752" w:rsidRDefault="004A4752" w:rsidP="004F23E6">
      <w:pPr>
        <w:ind w:left="720" w:hanging="720"/>
      </w:pPr>
      <w:r w:rsidRPr="004A4752">
        <w:rPr>
          <w:i/>
          <w:iCs/>
        </w:rPr>
        <w:t xml:space="preserve">Domesday Book: or, The Great Survey of England of William the Conqueror: Facsimile </w:t>
      </w:r>
      <w:r w:rsidRPr="004A4752">
        <w:t>(Ordnance Survey Of</w:t>
      </w:r>
      <w:r w:rsidR="00E21501">
        <w:t>fice</w:t>
      </w:r>
      <w:r w:rsidRPr="004A4752">
        <w:t xml:space="preserve">, Southampton, 1862–3). </w:t>
      </w:r>
    </w:p>
    <w:p w14:paraId="64AF779E" w14:textId="3A8CE036" w:rsidR="00433FE3" w:rsidRDefault="00433FE3"/>
    <w:p w14:paraId="49823C1A" w14:textId="72345430" w:rsidR="00433FE3" w:rsidRDefault="00433FE3">
      <w:r>
        <w:t>This edition used the newest technology at the time, the photozincographic facsimile</w:t>
      </w:r>
      <w:r w:rsidR="00652A47">
        <w:t>, under the leadership of Henry James</w:t>
      </w:r>
      <w:r>
        <w:t>.  The facsimile makes a replica of the text and is close as possible to the original.</w:t>
      </w:r>
      <w:r w:rsidR="00652A47">
        <w:rPr>
          <w:rStyle w:val="FootnoteReference"/>
        </w:rPr>
        <w:footnoteReference w:id="4"/>
      </w:r>
      <w:r>
        <w:t xml:space="preserve">  </w:t>
      </w:r>
      <w:r w:rsidR="00491392">
        <w:t xml:space="preserve">The images produced by this facsimile are of excellent quality and used a century later in the Phillimore digital version </w:t>
      </w:r>
      <w:r w:rsidR="00491392">
        <w:rPr>
          <w:i/>
          <w:iCs/>
        </w:rPr>
        <w:t>Domesday Explorer</w:t>
      </w:r>
      <w:r w:rsidR="00491392">
        <w:t>.</w:t>
      </w:r>
    </w:p>
    <w:p w14:paraId="77B3005B" w14:textId="2921922E" w:rsidR="00491392" w:rsidRDefault="00491392"/>
    <w:p w14:paraId="07F1B094" w14:textId="3CB1D4BA" w:rsidR="00491392" w:rsidRDefault="00491392" w:rsidP="004F23E6">
      <w:pPr>
        <w:ind w:left="720" w:hanging="720"/>
      </w:pPr>
      <w:r>
        <w:rPr>
          <w:i/>
          <w:iCs/>
        </w:rPr>
        <w:t>Domesday book: a complete translation</w:t>
      </w:r>
      <w:r>
        <w:t xml:space="preserve">, </w:t>
      </w:r>
      <w:r w:rsidR="006B1A9D">
        <w:t xml:space="preserve">A. </w:t>
      </w:r>
      <w:r>
        <w:t>Williams</w:t>
      </w:r>
      <w:r w:rsidR="006B1A9D">
        <w:t xml:space="preserve"> </w:t>
      </w:r>
      <w:r>
        <w:t>and G.H. Martin (London; New York, Penguin Books, 2003)</w:t>
      </w:r>
    </w:p>
    <w:p w14:paraId="0D3AB28C" w14:textId="1FE06992" w:rsidR="006B1A9D" w:rsidRDefault="006B1A9D"/>
    <w:p w14:paraId="7F3ECF2A" w14:textId="55D41327" w:rsidR="006B1A9D" w:rsidRPr="00491392" w:rsidRDefault="006B1A9D">
      <w:r>
        <w:t>This edition is subsequently included in the 2003 Alecto historical editions.  It is an English translation from the original Latin and includes supplementary material, indices of both places and people as well as glossary of terms.</w:t>
      </w:r>
    </w:p>
    <w:p w14:paraId="00863E22" w14:textId="77777777" w:rsidR="006B1A9D" w:rsidRDefault="00ED09FB" w:rsidP="004F23E6">
      <w:pPr>
        <w:pStyle w:val="NormalWeb"/>
        <w:ind w:left="720" w:hanging="720"/>
      </w:pPr>
      <w:r w:rsidRPr="00143672">
        <w:rPr>
          <w:i/>
          <w:iCs/>
        </w:rPr>
        <w:t>Great Domesday</w:t>
      </w:r>
      <w:r w:rsidRPr="00143672">
        <w:t xml:space="preserve">, ed. A. Williams and R.W.H. Erskine (Alecto Historical Editions; Library Edition, 6 cases, London, 1986–92) </w:t>
      </w:r>
    </w:p>
    <w:p w14:paraId="0792111E" w14:textId="54F1AD82" w:rsidR="006B1A9D" w:rsidRDefault="00ED09FB" w:rsidP="004F23E6">
      <w:pPr>
        <w:pStyle w:val="NormalWeb"/>
        <w:ind w:left="720" w:hanging="720"/>
      </w:pPr>
      <w:r w:rsidRPr="00143672">
        <w:rPr>
          <w:i/>
          <w:iCs/>
        </w:rPr>
        <w:t>Little Domesday</w:t>
      </w:r>
      <w:r w:rsidRPr="00143672">
        <w:t xml:space="preserve">, ed. A. Williams (Alecto Historical Editions; Library Edition, 6 vols, London, 2000) </w:t>
      </w:r>
    </w:p>
    <w:p w14:paraId="569A25AC" w14:textId="6AE5FD5B" w:rsidR="00032CAE" w:rsidRDefault="00F743EF" w:rsidP="00ED09FB">
      <w:pPr>
        <w:pStyle w:val="NormalWeb"/>
      </w:pPr>
      <w:r>
        <w:t xml:space="preserve">The above editions are also published under </w:t>
      </w:r>
      <w:r w:rsidRPr="00DD0AAC">
        <w:t xml:space="preserve">series title </w:t>
      </w:r>
      <w:r w:rsidRPr="00F743EF">
        <w:rPr>
          <w:i/>
          <w:iCs/>
        </w:rPr>
        <w:t>Alecto County Edition of Domesday Book</w:t>
      </w:r>
      <w:r w:rsidRPr="00DD0AAC">
        <w:t xml:space="preserve"> (London, 1987–92)</w:t>
      </w:r>
      <w:r>
        <w:t xml:space="preserve"> in individual volumes. </w:t>
      </w:r>
      <w:r w:rsidR="00DA0EB2">
        <w:t xml:space="preserve">The Alecto Editions (1985-1992) were initially produced as a facsimile.  This was the first facsimile done since the Ordnance Survey Office more than 100 years prior.  Three editions of Alecto were produced: penny edition, millennium edition, and the Domesday Book Studies edition.  This made Domesday far more accessible to the general population as well as scholars.  It also included a set of maps from the original Ordnance Survey facsimiles as well as Indices and an English translation.  </w:t>
      </w:r>
      <w:r w:rsidR="00032CAE">
        <w:t>The above printed editions were used in the development of the digital editions of the Alecto editions put onto CD-ROM in 2002.</w:t>
      </w:r>
    </w:p>
    <w:p w14:paraId="0CE3189E" w14:textId="77777777" w:rsidR="00E0001C" w:rsidRDefault="00E0001C" w:rsidP="00ED09FB">
      <w:pPr>
        <w:pStyle w:val="NormalWeb"/>
      </w:pPr>
    </w:p>
    <w:p w14:paraId="70CB3D9A" w14:textId="65E13CB7" w:rsidR="00DA0EB2" w:rsidRDefault="00DA0EB2" w:rsidP="00ED09FB">
      <w:pPr>
        <w:pStyle w:val="NormalWeb"/>
      </w:pPr>
      <w:r>
        <w:t>Digitalized Editions</w:t>
      </w:r>
    </w:p>
    <w:p w14:paraId="038D2D72" w14:textId="2832793E" w:rsidR="009300C3" w:rsidRDefault="00DA0EB2" w:rsidP="00ED09FB">
      <w:pPr>
        <w:pStyle w:val="NormalWeb"/>
      </w:pPr>
      <w:r>
        <w:rPr>
          <w:i/>
          <w:iCs/>
        </w:rPr>
        <w:t>The Digital Domesday Book</w:t>
      </w:r>
      <w:r>
        <w:t>, (Hartley Wintney, Alecto Historical Editions, 2002) CD</w:t>
      </w:r>
      <w:r w:rsidR="009300C3">
        <w:t xml:space="preserve"> (</w:t>
      </w:r>
      <w:hyperlink r:id="rId8" w:history="1">
        <w:r w:rsidR="009300C3" w:rsidRPr="00147984">
          <w:rPr>
            <w:rStyle w:val="Hyperlink"/>
          </w:rPr>
          <w:t>https://www.nationalarchives.gov.uk/help-with-your-research/research-guides/domesday-book/</w:t>
        </w:r>
      </w:hyperlink>
      <w:r w:rsidR="009300C3">
        <w:t>)</w:t>
      </w:r>
    </w:p>
    <w:p w14:paraId="360CF416" w14:textId="61BD6ABF" w:rsidR="005545E5" w:rsidRDefault="00DA0EB2" w:rsidP="00ED09FB">
      <w:pPr>
        <w:pStyle w:val="NormalWeb"/>
      </w:pPr>
      <w:r w:rsidRPr="00DD0AAC">
        <w:t xml:space="preserve">The Alecto digital edition comes in three versions: </w:t>
      </w:r>
      <w:r w:rsidRPr="00DD0AAC">
        <w:rPr>
          <w:i/>
          <w:iCs/>
        </w:rPr>
        <w:t>Digital Domesday Scholar’s Edition (Gold Edition)</w:t>
      </w:r>
      <w:r w:rsidRPr="00DD0AAC">
        <w:t xml:space="preserve">, </w:t>
      </w:r>
      <w:r w:rsidRPr="00DD0AAC">
        <w:rPr>
          <w:i/>
          <w:iCs/>
        </w:rPr>
        <w:t>Digital Domesday General Edition (Silver Edition)</w:t>
      </w:r>
      <w:r w:rsidRPr="00DD0AAC">
        <w:t xml:space="preserve">, </w:t>
      </w:r>
      <w:r w:rsidRPr="00DD0AAC">
        <w:rPr>
          <w:i/>
          <w:iCs/>
        </w:rPr>
        <w:t>Digital Domesday Translation Edition (Bronze Edition</w:t>
      </w:r>
      <w:r w:rsidR="009300C3">
        <w:rPr>
          <w:i/>
          <w:iCs/>
        </w:rPr>
        <w:t>)</w:t>
      </w:r>
      <w:r w:rsidRPr="00DD0AAC">
        <w:t>.</w:t>
      </w:r>
      <w:r w:rsidR="009300C3">
        <w:t xml:space="preserve">  This edition is now available online at The National Archives (TNA).  This edition includes a complete copy of Farley and Ellis’s facsimile and contains ind</w:t>
      </w:r>
      <w:r w:rsidR="00520A38">
        <w:t>ices</w:t>
      </w:r>
      <w:r w:rsidR="009300C3">
        <w:t xml:space="preserve"> for people and places.  This online version makes Domesday much more accessible.  Search by mapping is a strength.  It has been criticized on its search on people.</w:t>
      </w:r>
      <w:r w:rsidR="009D6790">
        <w:rPr>
          <w:rStyle w:val="FootnoteReference"/>
        </w:rPr>
        <w:footnoteReference w:id="5"/>
      </w:r>
    </w:p>
    <w:p w14:paraId="61E90146" w14:textId="0F151F3F" w:rsidR="005545E5" w:rsidRDefault="005545E5" w:rsidP="00ED09FB">
      <w:pPr>
        <w:pStyle w:val="NormalWeb"/>
      </w:pPr>
      <w:r>
        <w:rPr>
          <w:i/>
          <w:iCs/>
        </w:rPr>
        <w:t>Domesday Explorer</w:t>
      </w:r>
      <w:r w:rsidR="00CA7A46">
        <w:rPr>
          <w:i/>
          <w:iCs/>
        </w:rPr>
        <w:t>: Great Domesday Book on CD ROM</w:t>
      </w:r>
      <w:r w:rsidR="00B33B6E">
        <w:t xml:space="preserve"> (London, Phillimore, 2003)</w:t>
      </w:r>
    </w:p>
    <w:p w14:paraId="385C6351" w14:textId="28DD6F1C" w:rsidR="00E0001C" w:rsidRPr="00B33B6E" w:rsidRDefault="00E0001C" w:rsidP="00ED09FB">
      <w:pPr>
        <w:pStyle w:val="NormalWeb"/>
      </w:pPr>
      <w:r>
        <w:t>This CD ROM edition includes the Great Domesday with translations of the printed edition.  It uses the Ordnance Survey facsimile for its images and includes mapping function.  However, it does not include little Domesday</w:t>
      </w:r>
      <w:r w:rsidR="00E43DEF">
        <w:t>.  It is less expensive than the Alecto editions, making it more accessible.</w:t>
      </w:r>
      <w:r w:rsidR="009D6790">
        <w:t xml:space="preserve">  Both the Phillimore and the Alecto digital editions have been criticized for not having a means of working with the statistical data included in Domesday.</w:t>
      </w:r>
      <w:r w:rsidR="009D6790">
        <w:rPr>
          <w:rStyle w:val="FootnoteReference"/>
        </w:rPr>
        <w:footnoteReference w:id="6"/>
      </w:r>
    </w:p>
    <w:p w14:paraId="723A1FC9" w14:textId="000DBA1C" w:rsidR="005545E5" w:rsidRDefault="005545E5" w:rsidP="00ED09FB">
      <w:pPr>
        <w:pStyle w:val="NormalWeb"/>
      </w:pPr>
      <w:r>
        <w:rPr>
          <w:i/>
          <w:iCs/>
        </w:rPr>
        <w:t>Open Domesday</w:t>
      </w:r>
      <w:r>
        <w:t xml:space="preserve"> </w:t>
      </w:r>
      <w:r w:rsidR="00751E01">
        <w:t>(</w:t>
      </w:r>
      <w:hyperlink r:id="rId9" w:history="1">
        <w:r w:rsidR="00751E01" w:rsidRPr="00751E01">
          <w:rPr>
            <w:rStyle w:val="Hyperlink"/>
          </w:rPr>
          <w:t>https://opendomesday.org</w:t>
        </w:r>
      </w:hyperlink>
      <w:r w:rsidR="00751E01">
        <w:t>)</w:t>
      </w:r>
    </w:p>
    <w:p w14:paraId="01311E53" w14:textId="14760E41" w:rsidR="00242635" w:rsidRDefault="000F0D3D" w:rsidP="00ED09FB">
      <w:pPr>
        <w:pStyle w:val="NormalWeb"/>
      </w:pPr>
      <w:r>
        <w:t>This is the first free copy of the Domesday book.  It includes mapping capability as well as folio search.</w:t>
      </w:r>
      <w:r w:rsidR="00E43DEF">
        <w:t xml:space="preserve">  It can also be found on the TNA website.</w:t>
      </w:r>
      <w:r w:rsidR="000D2314">
        <w:t xml:space="preserve">  It costs nothing and is the most accessible.</w:t>
      </w:r>
    </w:p>
    <w:p w14:paraId="7E08ED6E" w14:textId="68A88A57" w:rsidR="00112C41" w:rsidRPr="00112C41" w:rsidRDefault="00112C41" w:rsidP="00A620C0">
      <w:pPr>
        <w:pStyle w:val="NormalWeb"/>
        <w:spacing w:line="480" w:lineRule="auto"/>
      </w:pPr>
      <w:r>
        <w:t xml:space="preserve">All editions attempted to make Domesday more accessible to scholar and the general public.  However, it is the digital versions, particularly </w:t>
      </w:r>
      <w:r>
        <w:rPr>
          <w:i/>
          <w:iCs/>
        </w:rPr>
        <w:t>Open Domesday</w:t>
      </w:r>
      <w:r>
        <w:t xml:space="preserve">, that truly makes it accessible to all.  </w:t>
      </w:r>
      <w:r w:rsidR="0033467E">
        <w:t xml:space="preserve">The slightly older digital editions, Alecto and Phillimore, were more expensive and likely created for university use.  </w:t>
      </w:r>
      <w:r w:rsidR="00320526">
        <w:t>The facsimiles of Domesday give scholars a chance to examine the actual text in its original form and I believe are the most author</w:t>
      </w:r>
      <w:r w:rsidR="00A620C0">
        <w:t>i</w:t>
      </w:r>
      <w:r w:rsidR="00320526">
        <w:t>t</w:t>
      </w:r>
      <w:r w:rsidR="00A620C0">
        <w:t>at</w:t>
      </w:r>
      <w:r w:rsidR="00320526">
        <w:t>ive.</w:t>
      </w:r>
      <w:r w:rsidR="00A620C0">
        <w:t xml:space="preserve">  The English translations are geared more to the general public and are useful in understanding what Domesday reported.  </w:t>
      </w:r>
      <w:r w:rsidR="00320526">
        <w:t xml:space="preserve"> </w:t>
      </w:r>
    </w:p>
    <w:p w14:paraId="55F53E25" w14:textId="77777777" w:rsidR="00112C41" w:rsidRDefault="00112C41" w:rsidP="00ED09FB">
      <w:pPr>
        <w:pStyle w:val="NormalWeb"/>
      </w:pPr>
    </w:p>
    <w:p w14:paraId="407D5633" w14:textId="2360BEFE" w:rsidR="00242635" w:rsidRDefault="00242635" w:rsidP="00ED09FB">
      <w:pPr>
        <w:pStyle w:val="NormalWeb"/>
      </w:pPr>
    </w:p>
    <w:p w14:paraId="518BCF4B" w14:textId="7B9C52D9" w:rsidR="00242635" w:rsidRDefault="00242635" w:rsidP="00ED09FB">
      <w:pPr>
        <w:pStyle w:val="NormalWeb"/>
      </w:pPr>
    </w:p>
    <w:p w14:paraId="37235089" w14:textId="60D55B6E" w:rsidR="00242635" w:rsidRDefault="00242635" w:rsidP="00ED09FB">
      <w:pPr>
        <w:pStyle w:val="NormalWeb"/>
      </w:pPr>
    </w:p>
    <w:p w14:paraId="7421659F" w14:textId="40447CB9" w:rsidR="00242635" w:rsidRDefault="00242635" w:rsidP="00ED09FB">
      <w:pPr>
        <w:pStyle w:val="NormalWeb"/>
      </w:pPr>
    </w:p>
    <w:p w14:paraId="1E7197B5" w14:textId="06D5ADB5" w:rsidR="00242635" w:rsidRDefault="00242635" w:rsidP="00ED09FB">
      <w:pPr>
        <w:pStyle w:val="NormalWeb"/>
      </w:pPr>
    </w:p>
    <w:p w14:paraId="4E75C003" w14:textId="165402F7" w:rsidR="00242635" w:rsidRDefault="00242635" w:rsidP="00ED09FB">
      <w:pPr>
        <w:pStyle w:val="NormalWeb"/>
      </w:pPr>
    </w:p>
    <w:p w14:paraId="30028956" w14:textId="6C5B6648" w:rsidR="00242635" w:rsidRDefault="00242635" w:rsidP="00ED09FB">
      <w:pPr>
        <w:pStyle w:val="NormalWeb"/>
      </w:pPr>
    </w:p>
    <w:p w14:paraId="096FC149" w14:textId="1F56BB01" w:rsidR="00242635" w:rsidRDefault="00242635" w:rsidP="00ED09FB">
      <w:pPr>
        <w:pStyle w:val="NormalWeb"/>
      </w:pPr>
    </w:p>
    <w:p w14:paraId="5D50D2A7" w14:textId="77777777" w:rsidR="00242635" w:rsidRPr="00143672" w:rsidRDefault="00242635" w:rsidP="00ED09FB">
      <w:pPr>
        <w:pStyle w:val="NormalWeb"/>
      </w:pPr>
    </w:p>
    <w:p w14:paraId="34EC0771" w14:textId="6313134B" w:rsidR="00ED09FB" w:rsidRPr="000D2314" w:rsidRDefault="00FE7A6D" w:rsidP="000D2314">
      <w:pPr>
        <w:ind w:left="19500"/>
        <w:textAlignment w:val="baseline"/>
        <w:rPr>
          <w:rFonts w:eastAsia="Times New Roman" w:cs="Times New Roman"/>
          <w:b/>
          <w:bCs/>
          <w:color w:val="333333"/>
        </w:rPr>
      </w:pPr>
      <w:r w:rsidRPr="00FE7A6D">
        <w:rPr>
          <w:rFonts w:eastAsia="Times New Roman" w:cs="Times New Roman"/>
          <w:b/>
          <w:bCs/>
          <w:color w:val="333333"/>
        </w:rPr>
        <w:t>r:</w:t>
      </w:r>
    </w:p>
    <w:sectPr w:rsidR="00ED09FB" w:rsidRPr="000D2314">
      <w:headerReference w:type="even" r:id="rId10"/>
      <w:head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7740E3" w14:textId="77777777" w:rsidR="00521696" w:rsidRDefault="00521696" w:rsidP="00EB62C4">
      <w:r>
        <w:separator/>
      </w:r>
    </w:p>
  </w:endnote>
  <w:endnote w:type="continuationSeparator" w:id="0">
    <w:p w14:paraId="0FF56D12" w14:textId="77777777" w:rsidR="00521696" w:rsidRDefault="00521696" w:rsidP="00EB62C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imes New Roman (Body CS)">
    <w:altName w:val="Times New Roman"/>
    <w:panose1 w:val="020B0604020202020204"/>
    <w:charset w:val="00"/>
    <w:family w:val="roman"/>
    <w:pitch w:val="default"/>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4D3AE2" w14:textId="77777777" w:rsidR="00521696" w:rsidRDefault="00521696" w:rsidP="00EB62C4">
      <w:r>
        <w:separator/>
      </w:r>
    </w:p>
  </w:footnote>
  <w:footnote w:type="continuationSeparator" w:id="0">
    <w:p w14:paraId="44C56B5F" w14:textId="77777777" w:rsidR="00521696" w:rsidRDefault="00521696" w:rsidP="00EB62C4">
      <w:r>
        <w:continuationSeparator/>
      </w:r>
    </w:p>
  </w:footnote>
  <w:footnote w:id="1">
    <w:p w14:paraId="374F6C43" w14:textId="20542D87" w:rsidR="00B739E8" w:rsidRPr="00652A47" w:rsidRDefault="00B739E8">
      <w:pPr>
        <w:pStyle w:val="FootnoteText"/>
        <w:rPr>
          <w:sz w:val="24"/>
          <w:szCs w:val="24"/>
        </w:rPr>
      </w:pPr>
      <w:r>
        <w:rPr>
          <w:rStyle w:val="FootnoteReference"/>
        </w:rPr>
        <w:footnoteRef/>
      </w:r>
      <w:r>
        <w:t xml:space="preserve"> </w:t>
      </w:r>
      <w:r>
        <w:rPr>
          <w:sz w:val="24"/>
          <w:szCs w:val="24"/>
        </w:rPr>
        <w:t xml:space="preserve">Steven Baxter, ‘How and Why was Domesday Made?’ </w:t>
      </w:r>
      <w:r>
        <w:rPr>
          <w:i/>
          <w:iCs/>
          <w:sz w:val="24"/>
          <w:szCs w:val="24"/>
        </w:rPr>
        <w:t>English Historical Review</w:t>
      </w:r>
      <w:r>
        <w:rPr>
          <w:sz w:val="24"/>
          <w:szCs w:val="24"/>
        </w:rPr>
        <w:t>, 135 (2020) 1085-1131.</w:t>
      </w:r>
      <w:r w:rsidR="00652A47">
        <w:rPr>
          <w:sz w:val="24"/>
          <w:szCs w:val="24"/>
        </w:rPr>
        <w:t xml:space="preserve"> Peter B. Boyden, ‘The Making of Domesday Book’, </w:t>
      </w:r>
      <w:r w:rsidR="00652A47">
        <w:rPr>
          <w:i/>
          <w:iCs/>
          <w:sz w:val="24"/>
          <w:szCs w:val="24"/>
        </w:rPr>
        <w:t>History Today</w:t>
      </w:r>
      <w:r w:rsidR="00652A47">
        <w:rPr>
          <w:sz w:val="24"/>
          <w:szCs w:val="24"/>
        </w:rPr>
        <w:t xml:space="preserve"> (1986) 21-25.</w:t>
      </w:r>
    </w:p>
  </w:footnote>
  <w:footnote w:id="2">
    <w:p w14:paraId="48A4C811" w14:textId="2F097FD2" w:rsidR="008962F4" w:rsidRPr="008962F4" w:rsidRDefault="008962F4">
      <w:pPr>
        <w:pStyle w:val="FootnoteText"/>
        <w:rPr>
          <w:sz w:val="24"/>
          <w:szCs w:val="24"/>
        </w:rPr>
      </w:pPr>
      <w:r>
        <w:rPr>
          <w:rStyle w:val="FootnoteReference"/>
        </w:rPr>
        <w:footnoteRef/>
      </w:r>
      <w:r>
        <w:t xml:space="preserve"> </w:t>
      </w:r>
      <w:r>
        <w:rPr>
          <w:sz w:val="24"/>
          <w:szCs w:val="24"/>
        </w:rPr>
        <w:t xml:space="preserve">G.H. Martin, ‘Farley, Abraham’, </w:t>
      </w:r>
      <w:r>
        <w:rPr>
          <w:i/>
          <w:iCs/>
          <w:sz w:val="24"/>
          <w:szCs w:val="24"/>
        </w:rPr>
        <w:t>Oxford Dictionary of National Biography</w:t>
      </w:r>
      <w:r>
        <w:rPr>
          <w:sz w:val="24"/>
          <w:szCs w:val="24"/>
        </w:rPr>
        <w:t xml:space="preserve"> (Oxford: Oxford University Press) 2004.</w:t>
      </w:r>
    </w:p>
  </w:footnote>
  <w:footnote w:id="3">
    <w:p w14:paraId="73134DF6" w14:textId="77777777" w:rsidR="00112C41" w:rsidRPr="00476154" w:rsidRDefault="00112C41" w:rsidP="00112C41">
      <w:pPr>
        <w:pStyle w:val="FootnoteText"/>
        <w:rPr>
          <w:sz w:val="24"/>
          <w:szCs w:val="24"/>
        </w:rPr>
      </w:pPr>
      <w:r>
        <w:rPr>
          <w:rStyle w:val="FootnoteReference"/>
        </w:rPr>
        <w:footnoteRef/>
      </w:r>
      <w:r>
        <w:t xml:space="preserve"> </w:t>
      </w:r>
      <w:r>
        <w:rPr>
          <w:sz w:val="24"/>
          <w:szCs w:val="24"/>
        </w:rPr>
        <w:t xml:space="preserve">R. Weldon Finn, </w:t>
      </w:r>
      <w:r>
        <w:rPr>
          <w:i/>
          <w:iCs/>
          <w:sz w:val="24"/>
          <w:szCs w:val="24"/>
        </w:rPr>
        <w:t xml:space="preserve">Domesday Book: A Guide </w:t>
      </w:r>
      <w:r>
        <w:rPr>
          <w:sz w:val="24"/>
          <w:szCs w:val="24"/>
        </w:rPr>
        <w:t>(London: Phillimore, 1973).</w:t>
      </w:r>
    </w:p>
  </w:footnote>
  <w:footnote w:id="4">
    <w:p w14:paraId="5C8EA90D" w14:textId="4CDF2A6D" w:rsidR="00652A47" w:rsidRPr="00652A47" w:rsidRDefault="00652A47">
      <w:pPr>
        <w:pStyle w:val="FootnoteText"/>
        <w:rPr>
          <w:sz w:val="24"/>
          <w:szCs w:val="24"/>
        </w:rPr>
      </w:pPr>
      <w:r>
        <w:rPr>
          <w:rStyle w:val="FootnoteReference"/>
        </w:rPr>
        <w:footnoteRef/>
      </w:r>
      <w:r>
        <w:t xml:space="preserve"> </w:t>
      </w:r>
      <w:r>
        <w:rPr>
          <w:sz w:val="24"/>
          <w:szCs w:val="24"/>
        </w:rPr>
        <w:t xml:space="preserve">E. Hallam, </w:t>
      </w:r>
      <w:r>
        <w:rPr>
          <w:i/>
          <w:iCs/>
          <w:sz w:val="24"/>
          <w:szCs w:val="24"/>
        </w:rPr>
        <w:t>Domesday Book: Through Nine Centuries</w:t>
      </w:r>
      <w:r>
        <w:rPr>
          <w:sz w:val="24"/>
          <w:szCs w:val="24"/>
        </w:rPr>
        <w:t>, (London: Guild Publishing, 1986) p. 154.</w:t>
      </w:r>
    </w:p>
  </w:footnote>
  <w:footnote w:id="5">
    <w:p w14:paraId="3AB4FFCD" w14:textId="6011B449" w:rsidR="009D6790" w:rsidRPr="009D6790" w:rsidRDefault="009D6790">
      <w:pPr>
        <w:pStyle w:val="FootnoteText"/>
        <w:rPr>
          <w:sz w:val="24"/>
          <w:szCs w:val="24"/>
        </w:rPr>
      </w:pPr>
      <w:r>
        <w:rPr>
          <w:rStyle w:val="FootnoteReference"/>
        </w:rPr>
        <w:footnoteRef/>
      </w:r>
      <w:r>
        <w:t xml:space="preserve"> </w:t>
      </w:r>
      <w:r>
        <w:rPr>
          <w:sz w:val="24"/>
          <w:szCs w:val="24"/>
        </w:rPr>
        <w:t xml:space="preserve">Robin Fleming and Andrew </w:t>
      </w:r>
      <w:proofErr w:type="spellStart"/>
      <w:r>
        <w:rPr>
          <w:sz w:val="24"/>
          <w:szCs w:val="24"/>
        </w:rPr>
        <w:t>Lowerre</w:t>
      </w:r>
      <w:proofErr w:type="spellEnd"/>
      <w:r>
        <w:rPr>
          <w:sz w:val="24"/>
          <w:szCs w:val="24"/>
        </w:rPr>
        <w:t xml:space="preserve">, ‘Review: </w:t>
      </w:r>
      <w:proofErr w:type="spellStart"/>
      <w:r>
        <w:rPr>
          <w:sz w:val="24"/>
          <w:szCs w:val="24"/>
        </w:rPr>
        <w:t>MacDomesday</w:t>
      </w:r>
      <w:proofErr w:type="spellEnd"/>
      <w:r>
        <w:rPr>
          <w:sz w:val="24"/>
          <w:szCs w:val="24"/>
        </w:rPr>
        <w:t xml:space="preserve"> Book’, </w:t>
      </w:r>
      <w:r>
        <w:rPr>
          <w:i/>
          <w:iCs/>
          <w:sz w:val="24"/>
          <w:szCs w:val="24"/>
        </w:rPr>
        <w:t>Oxford University Press for the Past and Present Society</w:t>
      </w:r>
      <w:r>
        <w:rPr>
          <w:sz w:val="24"/>
          <w:szCs w:val="24"/>
        </w:rPr>
        <w:t>. 184, (2004) p. 209.</w:t>
      </w:r>
    </w:p>
  </w:footnote>
  <w:footnote w:id="6">
    <w:p w14:paraId="51FC4CE1" w14:textId="73DC4233" w:rsidR="009D6790" w:rsidRPr="009D6790" w:rsidRDefault="009D6790">
      <w:pPr>
        <w:pStyle w:val="FootnoteText"/>
        <w:rPr>
          <w:sz w:val="24"/>
          <w:szCs w:val="24"/>
        </w:rPr>
      </w:pPr>
      <w:r>
        <w:rPr>
          <w:rStyle w:val="FootnoteReference"/>
        </w:rPr>
        <w:footnoteRef/>
      </w:r>
      <w:r>
        <w:t xml:space="preserve"> </w:t>
      </w:r>
      <w:r>
        <w:rPr>
          <w:sz w:val="24"/>
          <w:szCs w:val="24"/>
        </w:rPr>
        <w:t>Ibid, p. 212.</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29736452"/>
      <w:docPartObj>
        <w:docPartGallery w:val="Page Numbers (Top of Page)"/>
        <w:docPartUnique/>
      </w:docPartObj>
    </w:sdtPr>
    <w:sdtEndPr>
      <w:rPr>
        <w:rStyle w:val="PageNumber"/>
      </w:rPr>
    </w:sdtEndPr>
    <w:sdtContent>
      <w:p w14:paraId="678193A1" w14:textId="14E3EBC5" w:rsidR="00EB62C4" w:rsidRDefault="00EB62C4" w:rsidP="002319B2">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E3CA48D" w14:textId="77777777" w:rsidR="00EB62C4" w:rsidRDefault="00EB62C4" w:rsidP="00EB62C4">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92179878"/>
      <w:docPartObj>
        <w:docPartGallery w:val="Page Numbers (Top of Page)"/>
        <w:docPartUnique/>
      </w:docPartObj>
    </w:sdtPr>
    <w:sdtEndPr>
      <w:rPr>
        <w:rStyle w:val="PageNumber"/>
      </w:rPr>
    </w:sdtEndPr>
    <w:sdtContent>
      <w:p w14:paraId="5AB4BCC4" w14:textId="7637342F" w:rsidR="00EB62C4" w:rsidRDefault="00EB62C4" w:rsidP="002319B2">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9916AA2" w14:textId="77777777" w:rsidR="00EB62C4" w:rsidRDefault="00EB62C4" w:rsidP="00EB62C4">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CF0E4A"/>
    <w:multiLevelType w:val="hybridMultilevel"/>
    <w:tmpl w:val="057CCC6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4CF409E"/>
    <w:multiLevelType w:val="hybridMultilevel"/>
    <w:tmpl w:val="DEA0462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6F51531"/>
    <w:multiLevelType w:val="hybridMultilevel"/>
    <w:tmpl w:val="4686EE6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7CAD"/>
    <w:rsid w:val="00032CAE"/>
    <w:rsid w:val="00095348"/>
    <w:rsid w:val="0009551B"/>
    <w:rsid w:val="000A1185"/>
    <w:rsid w:val="000B26F3"/>
    <w:rsid w:val="000D2314"/>
    <w:rsid w:val="000F0D3D"/>
    <w:rsid w:val="00112C41"/>
    <w:rsid w:val="00131D2D"/>
    <w:rsid w:val="00143672"/>
    <w:rsid w:val="00242635"/>
    <w:rsid w:val="00266015"/>
    <w:rsid w:val="00312650"/>
    <w:rsid w:val="00320526"/>
    <w:rsid w:val="0033467E"/>
    <w:rsid w:val="0039734C"/>
    <w:rsid w:val="003B1B46"/>
    <w:rsid w:val="00403341"/>
    <w:rsid w:val="00416C8C"/>
    <w:rsid w:val="00433FE3"/>
    <w:rsid w:val="00476154"/>
    <w:rsid w:val="00491392"/>
    <w:rsid w:val="004A4752"/>
    <w:rsid w:val="004B42FE"/>
    <w:rsid w:val="004F23E6"/>
    <w:rsid w:val="005126BE"/>
    <w:rsid w:val="00517A8C"/>
    <w:rsid w:val="00520A38"/>
    <w:rsid w:val="00521696"/>
    <w:rsid w:val="00553E5A"/>
    <w:rsid w:val="005545E5"/>
    <w:rsid w:val="00592CB7"/>
    <w:rsid w:val="00652A47"/>
    <w:rsid w:val="006B1A9D"/>
    <w:rsid w:val="00751E01"/>
    <w:rsid w:val="008934AB"/>
    <w:rsid w:val="008962F4"/>
    <w:rsid w:val="009300C3"/>
    <w:rsid w:val="00980850"/>
    <w:rsid w:val="009D6790"/>
    <w:rsid w:val="009E4F76"/>
    <w:rsid w:val="00A620C0"/>
    <w:rsid w:val="00A67BFE"/>
    <w:rsid w:val="00AA056A"/>
    <w:rsid w:val="00B33B6E"/>
    <w:rsid w:val="00B739E8"/>
    <w:rsid w:val="00BD16F5"/>
    <w:rsid w:val="00C16F05"/>
    <w:rsid w:val="00C27723"/>
    <w:rsid w:val="00CA7A46"/>
    <w:rsid w:val="00D24BFD"/>
    <w:rsid w:val="00D97EF9"/>
    <w:rsid w:val="00DA0EB2"/>
    <w:rsid w:val="00DD0AAC"/>
    <w:rsid w:val="00DF7CAD"/>
    <w:rsid w:val="00E0001C"/>
    <w:rsid w:val="00E21501"/>
    <w:rsid w:val="00E417CA"/>
    <w:rsid w:val="00E43DEF"/>
    <w:rsid w:val="00E92FF4"/>
    <w:rsid w:val="00EB62C4"/>
    <w:rsid w:val="00ED09FB"/>
    <w:rsid w:val="00F743EF"/>
    <w:rsid w:val="00FE7A6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25D440BC"/>
  <w15:chartTrackingRefBased/>
  <w15:docId w15:val="{E1B77F9B-5356-2746-9A68-4BFC69AA86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Body CS)"/>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553E5A"/>
    <w:pPr>
      <w:spacing w:before="100" w:beforeAutospacing="1" w:after="100" w:afterAutospacing="1"/>
      <w:outlineLvl w:val="0"/>
    </w:pPr>
    <w:rPr>
      <w:rFonts w:eastAsia="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27723"/>
    <w:rPr>
      <w:color w:val="0563C1" w:themeColor="hyperlink"/>
      <w:u w:val="single"/>
    </w:rPr>
  </w:style>
  <w:style w:type="character" w:styleId="UnresolvedMention">
    <w:name w:val="Unresolved Mention"/>
    <w:basedOn w:val="DefaultParagraphFont"/>
    <w:uiPriority w:val="99"/>
    <w:semiHidden/>
    <w:unhideWhenUsed/>
    <w:rsid w:val="00C27723"/>
    <w:rPr>
      <w:color w:val="605E5C"/>
      <w:shd w:val="clear" w:color="auto" w:fill="E1DFDD"/>
    </w:rPr>
  </w:style>
  <w:style w:type="paragraph" w:styleId="NormalWeb">
    <w:name w:val="Normal (Web)"/>
    <w:basedOn w:val="Normal"/>
    <w:uiPriority w:val="99"/>
    <w:semiHidden/>
    <w:unhideWhenUsed/>
    <w:rsid w:val="00ED09FB"/>
    <w:pPr>
      <w:spacing w:before="100" w:beforeAutospacing="1" w:after="100" w:afterAutospacing="1"/>
    </w:pPr>
    <w:rPr>
      <w:rFonts w:eastAsia="Times New Roman" w:cs="Times New Roman"/>
    </w:rPr>
  </w:style>
  <w:style w:type="character" w:customStyle="1" w:styleId="apple-converted-space">
    <w:name w:val="apple-converted-space"/>
    <w:basedOn w:val="DefaultParagraphFont"/>
    <w:rsid w:val="00FE7A6D"/>
  </w:style>
  <w:style w:type="character" w:styleId="Strong">
    <w:name w:val="Strong"/>
    <w:basedOn w:val="DefaultParagraphFont"/>
    <w:uiPriority w:val="22"/>
    <w:qFormat/>
    <w:rsid w:val="00FE7A6D"/>
    <w:rPr>
      <w:b/>
      <w:bCs/>
    </w:rPr>
  </w:style>
  <w:style w:type="character" w:customStyle="1" w:styleId="Heading1Char">
    <w:name w:val="Heading 1 Char"/>
    <w:basedOn w:val="DefaultParagraphFont"/>
    <w:link w:val="Heading1"/>
    <w:uiPriority w:val="9"/>
    <w:rsid w:val="00553E5A"/>
    <w:rPr>
      <w:rFonts w:eastAsia="Times New Roman" w:cs="Times New Roman"/>
      <w:b/>
      <w:bCs/>
      <w:kern w:val="36"/>
      <w:sz w:val="48"/>
      <w:szCs w:val="48"/>
    </w:rPr>
  </w:style>
  <w:style w:type="paragraph" w:styleId="Header">
    <w:name w:val="header"/>
    <w:basedOn w:val="Normal"/>
    <w:link w:val="HeaderChar"/>
    <w:uiPriority w:val="99"/>
    <w:unhideWhenUsed/>
    <w:rsid w:val="00EB62C4"/>
    <w:pPr>
      <w:tabs>
        <w:tab w:val="center" w:pos="4680"/>
        <w:tab w:val="right" w:pos="9360"/>
      </w:tabs>
    </w:pPr>
  </w:style>
  <w:style w:type="character" w:customStyle="1" w:styleId="HeaderChar">
    <w:name w:val="Header Char"/>
    <w:basedOn w:val="DefaultParagraphFont"/>
    <w:link w:val="Header"/>
    <w:uiPriority w:val="99"/>
    <w:rsid w:val="00EB62C4"/>
  </w:style>
  <w:style w:type="character" w:styleId="PageNumber">
    <w:name w:val="page number"/>
    <w:basedOn w:val="DefaultParagraphFont"/>
    <w:uiPriority w:val="99"/>
    <w:semiHidden/>
    <w:unhideWhenUsed/>
    <w:rsid w:val="00EB62C4"/>
  </w:style>
  <w:style w:type="paragraph" w:styleId="FootnoteText">
    <w:name w:val="footnote text"/>
    <w:basedOn w:val="Normal"/>
    <w:link w:val="FootnoteTextChar"/>
    <w:uiPriority w:val="99"/>
    <w:semiHidden/>
    <w:unhideWhenUsed/>
    <w:rsid w:val="00B739E8"/>
    <w:rPr>
      <w:sz w:val="20"/>
      <w:szCs w:val="20"/>
    </w:rPr>
  </w:style>
  <w:style w:type="character" w:customStyle="1" w:styleId="FootnoteTextChar">
    <w:name w:val="Footnote Text Char"/>
    <w:basedOn w:val="DefaultParagraphFont"/>
    <w:link w:val="FootnoteText"/>
    <w:uiPriority w:val="99"/>
    <w:semiHidden/>
    <w:rsid w:val="00B739E8"/>
    <w:rPr>
      <w:sz w:val="20"/>
      <w:szCs w:val="20"/>
    </w:rPr>
  </w:style>
  <w:style w:type="character" w:styleId="FootnoteReference">
    <w:name w:val="footnote reference"/>
    <w:basedOn w:val="DefaultParagraphFont"/>
    <w:uiPriority w:val="99"/>
    <w:semiHidden/>
    <w:unhideWhenUsed/>
    <w:rsid w:val="00B739E8"/>
    <w:rPr>
      <w:vertAlign w:val="superscript"/>
    </w:rPr>
  </w:style>
  <w:style w:type="paragraph" w:styleId="ListParagraph">
    <w:name w:val="List Paragraph"/>
    <w:basedOn w:val="Normal"/>
    <w:uiPriority w:val="34"/>
    <w:qFormat/>
    <w:rsid w:val="004F23E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328510">
      <w:bodyDiv w:val="1"/>
      <w:marLeft w:val="0"/>
      <w:marRight w:val="0"/>
      <w:marTop w:val="0"/>
      <w:marBottom w:val="0"/>
      <w:divBdr>
        <w:top w:val="none" w:sz="0" w:space="0" w:color="auto"/>
        <w:left w:val="none" w:sz="0" w:space="0" w:color="auto"/>
        <w:bottom w:val="none" w:sz="0" w:space="0" w:color="auto"/>
        <w:right w:val="none" w:sz="0" w:space="0" w:color="auto"/>
      </w:divBdr>
      <w:divsChild>
        <w:div w:id="170996039">
          <w:marLeft w:val="0"/>
          <w:marRight w:val="0"/>
          <w:marTop w:val="0"/>
          <w:marBottom w:val="0"/>
          <w:divBdr>
            <w:top w:val="none" w:sz="0" w:space="0" w:color="auto"/>
            <w:left w:val="none" w:sz="0" w:space="0" w:color="auto"/>
            <w:bottom w:val="none" w:sz="0" w:space="0" w:color="auto"/>
            <w:right w:val="none" w:sz="0" w:space="0" w:color="auto"/>
          </w:divBdr>
          <w:divsChild>
            <w:div w:id="1080297836">
              <w:marLeft w:val="0"/>
              <w:marRight w:val="0"/>
              <w:marTop w:val="0"/>
              <w:marBottom w:val="0"/>
              <w:divBdr>
                <w:top w:val="none" w:sz="0" w:space="0" w:color="auto"/>
                <w:left w:val="none" w:sz="0" w:space="0" w:color="auto"/>
                <w:bottom w:val="none" w:sz="0" w:space="0" w:color="auto"/>
                <w:right w:val="none" w:sz="0" w:space="0" w:color="auto"/>
              </w:divBdr>
              <w:divsChild>
                <w:div w:id="270623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238302">
      <w:bodyDiv w:val="1"/>
      <w:marLeft w:val="0"/>
      <w:marRight w:val="0"/>
      <w:marTop w:val="0"/>
      <w:marBottom w:val="0"/>
      <w:divBdr>
        <w:top w:val="none" w:sz="0" w:space="0" w:color="auto"/>
        <w:left w:val="none" w:sz="0" w:space="0" w:color="auto"/>
        <w:bottom w:val="none" w:sz="0" w:space="0" w:color="auto"/>
        <w:right w:val="none" w:sz="0" w:space="0" w:color="auto"/>
      </w:divBdr>
      <w:divsChild>
        <w:div w:id="1213540892">
          <w:marLeft w:val="0"/>
          <w:marRight w:val="0"/>
          <w:marTop w:val="0"/>
          <w:marBottom w:val="0"/>
          <w:divBdr>
            <w:top w:val="none" w:sz="0" w:space="0" w:color="auto"/>
            <w:left w:val="none" w:sz="0" w:space="0" w:color="auto"/>
            <w:bottom w:val="none" w:sz="0" w:space="0" w:color="auto"/>
            <w:right w:val="none" w:sz="0" w:space="0" w:color="auto"/>
          </w:divBdr>
          <w:divsChild>
            <w:div w:id="1602176527">
              <w:marLeft w:val="0"/>
              <w:marRight w:val="0"/>
              <w:marTop w:val="0"/>
              <w:marBottom w:val="0"/>
              <w:divBdr>
                <w:top w:val="none" w:sz="0" w:space="0" w:color="auto"/>
                <w:left w:val="none" w:sz="0" w:space="0" w:color="auto"/>
                <w:bottom w:val="none" w:sz="0" w:space="0" w:color="auto"/>
                <w:right w:val="none" w:sz="0" w:space="0" w:color="auto"/>
              </w:divBdr>
              <w:divsChild>
                <w:div w:id="1229607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2156096">
      <w:bodyDiv w:val="1"/>
      <w:marLeft w:val="0"/>
      <w:marRight w:val="0"/>
      <w:marTop w:val="0"/>
      <w:marBottom w:val="0"/>
      <w:divBdr>
        <w:top w:val="none" w:sz="0" w:space="0" w:color="auto"/>
        <w:left w:val="none" w:sz="0" w:space="0" w:color="auto"/>
        <w:bottom w:val="none" w:sz="0" w:space="0" w:color="auto"/>
        <w:right w:val="none" w:sz="0" w:space="0" w:color="auto"/>
      </w:divBdr>
      <w:divsChild>
        <w:div w:id="1553273651">
          <w:marLeft w:val="0"/>
          <w:marRight w:val="0"/>
          <w:marTop w:val="0"/>
          <w:marBottom w:val="0"/>
          <w:divBdr>
            <w:top w:val="none" w:sz="0" w:space="0" w:color="auto"/>
            <w:left w:val="none" w:sz="0" w:space="0" w:color="auto"/>
            <w:bottom w:val="none" w:sz="0" w:space="0" w:color="auto"/>
            <w:right w:val="none" w:sz="0" w:space="0" w:color="auto"/>
          </w:divBdr>
          <w:divsChild>
            <w:div w:id="1262446795">
              <w:marLeft w:val="0"/>
              <w:marRight w:val="0"/>
              <w:marTop w:val="0"/>
              <w:marBottom w:val="0"/>
              <w:divBdr>
                <w:top w:val="none" w:sz="0" w:space="0" w:color="auto"/>
                <w:left w:val="none" w:sz="0" w:space="0" w:color="auto"/>
                <w:bottom w:val="none" w:sz="0" w:space="0" w:color="auto"/>
                <w:right w:val="none" w:sz="0" w:space="0" w:color="auto"/>
              </w:divBdr>
              <w:divsChild>
                <w:div w:id="150678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5172141">
      <w:bodyDiv w:val="1"/>
      <w:marLeft w:val="0"/>
      <w:marRight w:val="0"/>
      <w:marTop w:val="0"/>
      <w:marBottom w:val="0"/>
      <w:divBdr>
        <w:top w:val="none" w:sz="0" w:space="0" w:color="auto"/>
        <w:left w:val="none" w:sz="0" w:space="0" w:color="auto"/>
        <w:bottom w:val="none" w:sz="0" w:space="0" w:color="auto"/>
        <w:right w:val="none" w:sz="0" w:space="0" w:color="auto"/>
      </w:divBdr>
      <w:divsChild>
        <w:div w:id="895697619">
          <w:marLeft w:val="0"/>
          <w:marRight w:val="0"/>
          <w:marTop w:val="0"/>
          <w:marBottom w:val="0"/>
          <w:divBdr>
            <w:top w:val="none" w:sz="0" w:space="0" w:color="auto"/>
            <w:left w:val="none" w:sz="0" w:space="0" w:color="auto"/>
            <w:bottom w:val="none" w:sz="0" w:space="0" w:color="auto"/>
            <w:right w:val="none" w:sz="0" w:space="0" w:color="auto"/>
          </w:divBdr>
          <w:divsChild>
            <w:div w:id="740449291">
              <w:marLeft w:val="0"/>
              <w:marRight w:val="0"/>
              <w:marTop w:val="0"/>
              <w:marBottom w:val="0"/>
              <w:divBdr>
                <w:top w:val="none" w:sz="0" w:space="0" w:color="auto"/>
                <w:left w:val="none" w:sz="0" w:space="0" w:color="auto"/>
                <w:bottom w:val="none" w:sz="0" w:space="0" w:color="auto"/>
                <w:right w:val="none" w:sz="0" w:space="0" w:color="auto"/>
              </w:divBdr>
              <w:divsChild>
                <w:div w:id="1130899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5746383">
      <w:bodyDiv w:val="1"/>
      <w:marLeft w:val="0"/>
      <w:marRight w:val="0"/>
      <w:marTop w:val="0"/>
      <w:marBottom w:val="0"/>
      <w:divBdr>
        <w:top w:val="none" w:sz="0" w:space="0" w:color="auto"/>
        <w:left w:val="none" w:sz="0" w:space="0" w:color="auto"/>
        <w:bottom w:val="none" w:sz="0" w:space="0" w:color="auto"/>
        <w:right w:val="none" w:sz="0" w:space="0" w:color="auto"/>
      </w:divBdr>
      <w:divsChild>
        <w:div w:id="622153552">
          <w:marLeft w:val="0"/>
          <w:marRight w:val="0"/>
          <w:marTop w:val="0"/>
          <w:marBottom w:val="0"/>
          <w:divBdr>
            <w:top w:val="none" w:sz="0" w:space="0" w:color="auto"/>
            <w:left w:val="none" w:sz="0" w:space="0" w:color="auto"/>
            <w:bottom w:val="none" w:sz="0" w:space="0" w:color="auto"/>
            <w:right w:val="none" w:sz="0" w:space="0" w:color="auto"/>
          </w:divBdr>
          <w:divsChild>
            <w:div w:id="748582064">
              <w:marLeft w:val="0"/>
              <w:marRight w:val="0"/>
              <w:marTop w:val="0"/>
              <w:marBottom w:val="0"/>
              <w:divBdr>
                <w:top w:val="none" w:sz="0" w:space="0" w:color="auto"/>
                <w:left w:val="none" w:sz="0" w:space="0" w:color="auto"/>
                <w:bottom w:val="none" w:sz="0" w:space="0" w:color="auto"/>
                <w:right w:val="none" w:sz="0" w:space="0" w:color="auto"/>
              </w:divBdr>
              <w:divsChild>
                <w:div w:id="1411276147">
                  <w:marLeft w:val="0"/>
                  <w:marRight w:val="0"/>
                  <w:marTop w:val="0"/>
                  <w:marBottom w:val="0"/>
                  <w:divBdr>
                    <w:top w:val="none" w:sz="0" w:space="0" w:color="auto"/>
                    <w:left w:val="none" w:sz="0" w:space="0" w:color="auto"/>
                    <w:bottom w:val="none" w:sz="0" w:space="0" w:color="auto"/>
                    <w:right w:val="none" w:sz="0" w:space="0" w:color="auto"/>
                  </w:divBdr>
                  <w:divsChild>
                    <w:div w:id="753433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2445308">
      <w:bodyDiv w:val="1"/>
      <w:marLeft w:val="0"/>
      <w:marRight w:val="0"/>
      <w:marTop w:val="0"/>
      <w:marBottom w:val="0"/>
      <w:divBdr>
        <w:top w:val="none" w:sz="0" w:space="0" w:color="auto"/>
        <w:left w:val="none" w:sz="0" w:space="0" w:color="auto"/>
        <w:bottom w:val="none" w:sz="0" w:space="0" w:color="auto"/>
        <w:right w:val="none" w:sz="0" w:space="0" w:color="auto"/>
      </w:divBdr>
    </w:div>
    <w:div w:id="18484054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ationalarchives.gov.uk/help-with-your-research/research-guides/domesday-book/"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en.wikipedia.org/wiki/Publication_of_Domesday_Book"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opendomesday.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275</TotalTime>
  <Pages>5</Pages>
  <Words>1165</Words>
  <Characters>6644</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Kristin Bremer</dc:creator>
  <cp:keywords/>
  <dc:description/>
  <cp:lastModifiedBy>Kristin Bremer</cp:lastModifiedBy>
  <cp:revision>67</cp:revision>
  <dcterms:created xsi:type="dcterms:W3CDTF">2021-10-22T14:41:00Z</dcterms:created>
  <dcterms:modified xsi:type="dcterms:W3CDTF">2021-11-12T16:21:00Z</dcterms:modified>
</cp:coreProperties>
</file>