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870026428"/>
        <w:docPartObj>
          <w:docPartGallery w:val="autotext"/>
        </w:docPartObj>
      </w:sdtPr>
      <w:sdtEndPr>
        <w:rPr>
          <w:rFonts w:cs="Times New Roman"/>
          <w:szCs w:val="24"/>
        </w:rPr>
      </w:sdtEndPr>
      <w:sdtContent>
        <w:p>
          <w:pPr>
            <w:jc w:val="center"/>
            <w:rPr>
              <w:rFonts w:cstheme="minorHAnsi"/>
            </w:rPr>
          </w:pPr>
          <w:r>
            <w:rPr>
              <w:rFonts w:cstheme="minorHAnsi"/>
              <w:lang w:eastAsia="en-IN"/>
            </w:rPr>
            <w:drawing>
              <wp:inline distT="0" distB="0" distL="0" distR="0">
                <wp:extent cx="3909060" cy="1322070"/>
                <wp:effectExtent l="0" t="0" r="2540" b="11430"/>
                <wp:docPr id="1" name="Picture 1"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axisauril.org.u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4226135" cy="1429789"/>
                        </a:xfrm>
                        <a:prstGeom prst="rect">
                          <a:avLst/>
                        </a:prstGeom>
                        <a:noFill/>
                        <a:ln>
                          <a:noFill/>
                        </a:ln>
                      </pic:spPr>
                    </pic:pic>
                  </a:graphicData>
                </a:graphic>
              </wp:inline>
            </w:drawing>
          </w:r>
        </w:p>
        <w:p>
          <w:pPr>
            <w:jc w:val="center"/>
            <w:rPr>
              <w:rFonts w:cstheme="minorHAnsi"/>
            </w:rPr>
          </w:pPr>
        </w:p>
        <w:p>
          <w:pPr>
            <w:jc w:val="center"/>
            <w:rPr>
              <w:rFonts w:cstheme="minorHAnsi"/>
            </w:rPr>
          </w:pPr>
        </w:p>
        <w:p>
          <w:pPr>
            <w:jc w:val="center"/>
            <w:rPr>
              <w:rFonts w:hint="default" w:cstheme="minorHAnsi"/>
              <w:sz w:val="36"/>
              <w:szCs w:val="36"/>
              <w:lang w:val="en-US"/>
            </w:rPr>
          </w:pPr>
          <w:r>
            <w:rPr>
              <w:rFonts w:cstheme="minorHAnsi"/>
              <w:sz w:val="36"/>
              <w:szCs w:val="36"/>
            </w:rPr>
            <w:t xml:space="preserve">NAME: </w:t>
          </w:r>
          <w:r>
            <w:rPr>
              <w:rFonts w:hint="default" w:cstheme="minorHAnsi"/>
              <w:sz w:val="36"/>
              <w:szCs w:val="36"/>
              <w:lang w:val="en-US"/>
            </w:rPr>
            <w:t>NIHITH KISHORE MEDURI</w:t>
          </w:r>
        </w:p>
        <w:p>
          <w:pPr>
            <w:jc w:val="center"/>
            <w:rPr>
              <w:rFonts w:hint="default" w:cstheme="minorHAnsi"/>
              <w:sz w:val="36"/>
              <w:szCs w:val="36"/>
              <w:lang w:val="en-US"/>
            </w:rPr>
          </w:pPr>
          <w:r>
            <w:rPr>
              <w:rFonts w:cstheme="minorHAnsi"/>
              <w:sz w:val="36"/>
              <w:szCs w:val="36"/>
            </w:rPr>
            <w:t xml:space="preserve">STUDENT NUMBER: </w:t>
          </w:r>
          <w:r>
            <w:rPr>
              <w:rFonts w:hint="default" w:cstheme="minorHAnsi"/>
              <w:sz w:val="36"/>
              <w:szCs w:val="36"/>
              <w:lang w:val="en-US"/>
            </w:rPr>
            <w:t>2212393</w:t>
          </w:r>
        </w:p>
        <w:p>
          <w:pPr>
            <w:jc w:val="center"/>
            <w:rPr>
              <w:rFonts w:cstheme="minorHAnsi"/>
              <w:sz w:val="36"/>
              <w:szCs w:val="36"/>
            </w:rPr>
          </w:pPr>
        </w:p>
        <w:p>
          <w:pPr>
            <w:jc w:val="center"/>
            <w:rPr>
              <w:rFonts w:hint="default" w:cstheme="minorHAnsi"/>
              <w:sz w:val="36"/>
              <w:szCs w:val="36"/>
              <w:lang w:val="en-US"/>
            </w:rPr>
          </w:pPr>
          <w:r>
            <w:rPr>
              <w:rFonts w:cstheme="minorHAnsi"/>
              <w:sz w:val="36"/>
              <w:szCs w:val="36"/>
            </w:rPr>
            <w:t>MODULE: LC</w:t>
          </w:r>
          <w:r>
            <w:rPr>
              <w:rFonts w:hint="default" w:cstheme="minorHAnsi"/>
              <w:sz w:val="36"/>
              <w:szCs w:val="36"/>
              <w:lang w:val="en-US"/>
            </w:rPr>
            <w:t>MB</w:t>
          </w:r>
          <w:r>
            <w:rPr>
              <w:rFonts w:cstheme="minorHAnsi"/>
              <w:sz w:val="36"/>
              <w:szCs w:val="36"/>
            </w:rPr>
            <w:t>700</w:t>
          </w:r>
          <w:r>
            <w:rPr>
              <w:rFonts w:hint="default" w:cstheme="minorHAnsi"/>
              <w:sz w:val="36"/>
              <w:szCs w:val="36"/>
              <w:lang w:val="en-US"/>
            </w:rPr>
            <w:t>3</w:t>
          </w:r>
        </w:p>
        <w:p>
          <w:pPr>
            <w:ind w:left="1440" w:leftChars="0" w:firstLine="720" w:firstLineChars="0"/>
            <w:jc w:val="both"/>
            <w:rPr>
              <w:rFonts w:cstheme="minorHAnsi"/>
              <w:sz w:val="36"/>
              <w:szCs w:val="36"/>
            </w:rPr>
          </w:pPr>
        </w:p>
        <w:p>
          <w:pPr>
            <w:ind w:left="720" w:leftChars="0" w:firstLine="720" w:firstLineChars="0"/>
            <w:jc w:val="both"/>
            <w:rPr>
              <w:rFonts w:hint="default" w:cstheme="minorHAnsi"/>
              <w:sz w:val="36"/>
              <w:szCs w:val="36"/>
              <w:lang w:val="en-US"/>
            </w:rPr>
          </w:pPr>
          <w:bookmarkStart w:id="22" w:name="_GoBack"/>
          <w:bookmarkEnd w:id="22"/>
          <w:r>
            <w:rPr>
              <w:rFonts w:cstheme="minorHAnsi"/>
              <w:sz w:val="36"/>
              <w:szCs w:val="36"/>
            </w:rPr>
            <w:t xml:space="preserve">TITLE: </w:t>
          </w:r>
          <w:r>
            <w:rPr>
              <w:rFonts w:hint="default" w:cstheme="minorHAnsi"/>
              <w:sz w:val="36"/>
              <w:szCs w:val="36"/>
              <w:lang w:val="en-US"/>
            </w:rPr>
            <w:t xml:space="preserve">STRATEGIC MANAGEMENT </w:t>
          </w:r>
        </w:p>
        <w:p>
          <w:pPr>
            <w:jc w:val="center"/>
            <w:rPr>
              <w:rFonts w:cstheme="minorHAnsi"/>
              <w:sz w:val="36"/>
              <w:szCs w:val="36"/>
            </w:rPr>
          </w:pPr>
          <w:r>
            <w:rPr>
              <w:rFonts w:cstheme="minorHAnsi"/>
              <w:sz w:val="36"/>
              <w:szCs w:val="36"/>
            </w:rPr>
            <w:t xml:space="preserve"> </w:t>
          </w:r>
        </w:p>
        <w:p>
          <w:pPr>
            <w:jc w:val="both"/>
            <w:rPr>
              <w:rFonts w:hint="default" w:cs="Times New Roman"/>
              <w:sz w:val="28"/>
              <w:szCs w:val="28"/>
              <w:lang w:val="en-US"/>
            </w:rPr>
          </w:pPr>
        </w:p>
        <w:p>
          <w:pPr>
            <w:jc w:val="both"/>
            <w:rPr>
              <w:rFonts w:cs="Times New Roman"/>
              <w:sz w:val="28"/>
              <w:szCs w:val="28"/>
            </w:rPr>
          </w:pPr>
          <w:r>
            <w:rPr>
              <w:rFonts w:cs="Times New Roman"/>
              <w:sz w:val="28"/>
              <w:szCs w:val="28"/>
            </w:rPr>
            <w:br w:type="page"/>
          </w:r>
        </w:p>
        <w:sdt>
          <w:sdtPr>
            <w:rPr>
              <w:rFonts w:asciiTheme="minorHAnsi" w:hAnsiTheme="minorHAnsi" w:eastAsiaTheme="minorHAnsi" w:cstheme="minorBidi"/>
              <w:color w:val="auto"/>
              <w:sz w:val="22"/>
              <w:szCs w:val="22"/>
            </w:rPr>
            <w:id w:val="-1516920417"/>
            <w:docPartObj>
              <w:docPartGallery w:val="Table of Contents"/>
              <w:docPartUnique/>
            </w:docPartObj>
          </w:sdtPr>
          <w:sdtEndPr>
            <w:rPr>
              <w:rFonts w:ascii="Times New Roman" w:hAnsi="Times New Roman" w:eastAsiaTheme="minorHAnsi" w:cstheme="minorBidi"/>
              <w:b/>
              <w:bCs/>
              <w:color w:val="auto"/>
              <w:sz w:val="24"/>
              <w:szCs w:val="22"/>
            </w:rPr>
          </w:sdtEndPr>
          <w:sdtContent>
            <w:p>
              <w:pPr>
                <w:pStyle w:val="31"/>
                <w:rPr>
                  <w:rStyle w:val="25"/>
                  <w:b/>
                  <w:bCs/>
                </w:rPr>
              </w:pPr>
              <w:r>
                <w:rPr>
                  <w:rStyle w:val="25"/>
                  <w:b/>
                  <w:bCs/>
                </w:rPr>
                <w:t>Table of Contents</w:t>
              </w:r>
            </w:p>
            <w:p>
              <w:pPr>
                <w:pStyle w:val="16"/>
                <w:tabs>
                  <w:tab w:val="right" w:leader="dot" w:pos="9016"/>
                </w:tabs>
                <w:rPr>
                  <w:rFonts w:asciiTheme="minorHAnsi" w:hAnsiTheme="minorHAnsi" w:eastAsiaTheme="minorEastAsia"/>
                  <w:sz w:val="22"/>
                  <w:lang w:eastAsia="en-GB"/>
                </w:rPr>
              </w:pPr>
              <w:r>
                <w:fldChar w:fldCharType="begin"/>
              </w:r>
              <w:r>
                <w:instrText xml:space="preserve"> TOC \o "1-4" \h \z \u </w:instrText>
              </w:r>
              <w:r>
                <w:fldChar w:fldCharType="separate"/>
              </w:r>
              <w:r>
                <w:fldChar w:fldCharType="begin"/>
              </w:r>
              <w:r>
                <w:instrText xml:space="preserve"> HYPERLINK \l "_Toc133096801" </w:instrText>
              </w:r>
              <w:r>
                <w:fldChar w:fldCharType="separate"/>
              </w:r>
              <w:r>
                <w:rPr>
                  <w:rStyle w:val="15"/>
                </w:rPr>
                <w:t>Introduction</w:t>
              </w:r>
              <w:r>
                <w:tab/>
              </w:r>
              <w:r>
                <w:fldChar w:fldCharType="begin"/>
              </w:r>
              <w:r>
                <w:instrText xml:space="preserve"> PAGEREF _Toc133096801 \h </w:instrText>
              </w:r>
              <w:r>
                <w:fldChar w:fldCharType="separate"/>
              </w:r>
              <w:r>
                <w:t>2</w:t>
              </w:r>
              <w:r>
                <w:fldChar w:fldCharType="end"/>
              </w:r>
              <w:r>
                <w:fldChar w:fldCharType="end"/>
              </w:r>
            </w:p>
            <w:p>
              <w:pPr>
                <w:pStyle w:val="16"/>
                <w:tabs>
                  <w:tab w:val="right" w:leader="dot" w:pos="9016"/>
                </w:tabs>
                <w:rPr>
                  <w:rFonts w:asciiTheme="minorHAnsi" w:hAnsiTheme="minorHAnsi" w:eastAsiaTheme="minorEastAsia"/>
                  <w:sz w:val="22"/>
                  <w:lang w:eastAsia="en-GB"/>
                </w:rPr>
              </w:pPr>
              <w:r>
                <w:fldChar w:fldCharType="begin"/>
              </w:r>
              <w:r>
                <w:instrText xml:space="preserve"> HYPERLINK \l "_Toc133096802" </w:instrText>
              </w:r>
              <w:r>
                <w:fldChar w:fldCharType="separate"/>
              </w:r>
              <w:r>
                <w:rPr>
                  <w:rStyle w:val="15"/>
                </w:rPr>
                <w:t>Vovlo Background</w:t>
              </w:r>
              <w:r>
                <w:tab/>
              </w:r>
              <w:r>
                <w:fldChar w:fldCharType="begin"/>
              </w:r>
              <w:r>
                <w:instrText xml:space="preserve"> PAGEREF _Toc133096802 \h </w:instrText>
              </w:r>
              <w:r>
                <w:fldChar w:fldCharType="separate"/>
              </w:r>
              <w:r>
                <w:t>2</w:t>
              </w:r>
              <w:r>
                <w:fldChar w:fldCharType="end"/>
              </w:r>
              <w:r>
                <w:fldChar w:fldCharType="end"/>
              </w:r>
            </w:p>
            <w:p>
              <w:pPr>
                <w:pStyle w:val="17"/>
                <w:tabs>
                  <w:tab w:val="right" w:leader="dot" w:pos="9016"/>
                </w:tabs>
                <w:rPr>
                  <w:rFonts w:asciiTheme="minorHAnsi" w:hAnsiTheme="minorHAnsi" w:eastAsiaTheme="minorEastAsia"/>
                  <w:sz w:val="22"/>
                  <w:lang w:eastAsia="en-GB"/>
                </w:rPr>
              </w:pPr>
              <w:r>
                <w:fldChar w:fldCharType="begin"/>
              </w:r>
              <w:r>
                <w:instrText xml:space="preserve"> HYPERLINK \l "_Toc133096803" </w:instrText>
              </w:r>
              <w:r>
                <w:fldChar w:fldCharType="separate"/>
              </w:r>
              <w:r>
                <w:rPr>
                  <w:rStyle w:val="15"/>
                </w:rPr>
                <w:t>Volvo’s Mission and Objectives</w:t>
              </w:r>
              <w:r>
                <w:tab/>
              </w:r>
              <w:r>
                <w:fldChar w:fldCharType="begin"/>
              </w:r>
              <w:r>
                <w:instrText xml:space="preserve"> PAGEREF _Toc133096803 \h </w:instrText>
              </w:r>
              <w:r>
                <w:fldChar w:fldCharType="separate"/>
              </w:r>
              <w:r>
                <w:t>3</w:t>
              </w:r>
              <w:r>
                <w:fldChar w:fldCharType="end"/>
              </w:r>
              <w:r>
                <w:fldChar w:fldCharType="end"/>
              </w:r>
            </w:p>
            <w:p>
              <w:pPr>
                <w:pStyle w:val="16"/>
                <w:tabs>
                  <w:tab w:val="right" w:leader="dot" w:pos="9016"/>
                </w:tabs>
                <w:rPr>
                  <w:rFonts w:asciiTheme="minorHAnsi" w:hAnsiTheme="minorHAnsi" w:eastAsiaTheme="minorEastAsia"/>
                  <w:sz w:val="22"/>
                  <w:lang w:eastAsia="en-GB"/>
                </w:rPr>
              </w:pPr>
              <w:r>
                <w:fldChar w:fldCharType="begin"/>
              </w:r>
              <w:r>
                <w:instrText xml:space="preserve"> HYPERLINK \l "_Toc133096804" </w:instrText>
              </w:r>
              <w:r>
                <w:fldChar w:fldCharType="separate"/>
              </w:r>
              <w:r>
                <w:rPr>
                  <w:rStyle w:val="15"/>
                </w:rPr>
                <w:t>Macro-Environment Analysis</w:t>
              </w:r>
              <w:r>
                <w:tab/>
              </w:r>
              <w:r>
                <w:fldChar w:fldCharType="begin"/>
              </w:r>
              <w:r>
                <w:instrText xml:space="preserve"> PAGEREF _Toc133096804 \h </w:instrText>
              </w:r>
              <w:r>
                <w:fldChar w:fldCharType="separate"/>
              </w:r>
              <w:r>
                <w:t>4</w:t>
              </w:r>
              <w:r>
                <w:fldChar w:fldCharType="end"/>
              </w:r>
              <w:r>
                <w:fldChar w:fldCharType="end"/>
              </w:r>
            </w:p>
            <w:p>
              <w:pPr>
                <w:pStyle w:val="17"/>
                <w:tabs>
                  <w:tab w:val="right" w:leader="dot" w:pos="9016"/>
                </w:tabs>
                <w:rPr>
                  <w:rFonts w:asciiTheme="minorHAnsi" w:hAnsiTheme="minorHAnsi" w:eastAsiaTheme="minorEastAsia"/>
                  <w:sz w:val="22"/>
                  <w:lang w:eastAsia="en-GB"/>
                </w:rPr>
              </w:pPr>
              <w:r>
                <w:fldChar w:fldCharType="begin"/>
              </w:r>
              <w:r>
                <w:instrText xml:space="preserve"> HYPERLINK \l "_Toc133096805" </w:instrText>
              </w:r>
              <w:r>
                <w:fldChar w:fldCharType="separate"/>
              </w:r>
              <w:r>
                <w:rPr>
                  <w:rStyle w:val="15"/>
                </w:rPr>
                <w:t>PESTEL Analysis</w:t>
              </w:r>
              <w:r>
                <w:tab/>
              </w:r>
              <w:r>
                <w:fldChar w:fldCharType="begin"/>
              </w:r>
              <w:r>
                <w:instrText xml:space="preserve"> PAGEREF _Toc133096805 \h </w:instrText>
              </w:r>
              <w:r>
                <w:fldChar w:fldCharType="separate"/>
              </w:r>
              <w:r>
                <w:t>5</w:t>
              </w:r>
              <w:r>
                <w:fldChar w:fldCharType="end"/>
              </w:r>
              <w:r>
                <w:fldChar w:fldCharType="end"/>
              </w:r>
            </w:p>
            <w:p>
              <w:pPr>
                <w:pStyle w:val="16"/>
                <w:tabs>
                  <w:tab w:val="right" w:leader="dot" w:pos="9016"/>
                </w:tabs>
                <w:rPr>
                  <w:rFonts w:asciiTheme="minorHAnsi" w:hAnsiTheme="minorHAnsi" w:eastAsiaTheme="minorEastAsia"/>
                  <w:sz w:val="22"/>
                  <w:lang w:eastAsia="en-GB"/>
                </w:rPr>
              </w:pPr>
              <w:r>
                <w:fldChar w:fldCharType="begin"/>
              </w:r>
              <w:r>
                <w:instrText xml:space="preserve"> HYPERLINK \l "_Toc133096806" </w:instrText>
              </w:r>
              <w:r>
                <w:fldChar w:fldCharType="separate"/>
              </w:r>
              <w:r>
                <w:rPr>
                  <w:rStyle w:val="15"/>
                </w:rPr>
                <w:t>Micro-Environment Analysis</w:t>
              </w:r>
              <w:r>
                <w:tab/>
              </w:r>
              <w:r>
                <w:fldChar w:fldCharType="begin"/>
              </w:r>
              <w:r>
                <w:instrText xml:space="preserve"> PAGEREF _Toc133096806 \h </w:instrText>
              </w:r>
              <w:r>
                <w:fldChar w:fldCharType="separate"/>
              </w:r>
              <w:r>
                <w:t>6</w:t>
              </w:r>
              <w:r>
                <w:fldChar w:fldCharType="end"/>
              </w:r>
              <w:r>
                <w:fldChar w:fldCharType="end"/>
              </w:r>
            </w:p>
            <w:p>
              <w:pPr>
                <w:pStyle w:val="17"/>
                <w:tabs>
                  <w:tab w:val="right" w:leader="dot" w:pos="9016"/>
                </w:tabs>
                <w:rPr>
                  <w:rFonts w:asciiTheme="minorHAnsi" w:hAnsiTheme="minorHAnsi" w:eastAsiaTheme="minorEastAsia"/>
                  <w:sz w:val="22"/>
                  <w:lang w:eastAsia="en-GB"/>
                </w:rPr>
              </w:pPr>
              <w:r>
                <w:fldChar w:fldCharType="begin"/>
              </w:r>
              <w:r>
                <w:instrText xml:space="preserve"> HYPERLINK \l "_Toc133096807" </w:instrText>
              </w:r>
              <w:r>
                <w:fldChar w:fldCharType="separate"/>
              </w:r>
              <w:r>
                <w:rPr>
                  <w:rStyle w:val="15"/>
                </w:rPr>
                <w:t>Industry Life Cycle</w:t>
              </w:r>
              <w:r>
                <w:tab/>
              </w:r>
              <w:r>
                <w:fldChar w:fldCharType="begin"/>
              </w:r>
              <w:r>
                <w:instrText xml:space="preserve"> PAGEREF _Toc133096807 \h </w:instrText>
              </w:r>
              <w:r>
                <w:fldChar w:fldCharType="separate"/>
              </w:r>
              <w:r>
                <w:t>7</w:t>
              </w:r>
              <w:r>
                <w:fldChar w:fldCharType="end"/>
              </w:r>
              <w:r>
                <w:fldChar w:fldCharType="end"/>
              </w:r>
            </w:p>
            <w:p>
              <w:pPr>
                <w:pStyle w:val="17"/>
                <w:tabs>
                  <w:tab w:val="right" w:leader="dot" w:pos="9016"/>
                </w:tabs>
                <w:rPr>
                  <w:rFonts w:asciiTheme="minorHAnsi" w:hAnsiTheme="minorHAnsi" w:eastAsiaTheme="minorEastAsia"/>
                  <w:sz w:val="22"/>
                  <w:lang w:eastAsia="en-GB"/>
                </w:rPr>
              </w:pPr>
              <w:r>
                <w:fldChar w:fldCharType="begin"/>
              </w:r>
              <w:r>
                <w:instrText xml:space="preserve"> HYPERLINK \l "_Toc133096808" </w:instrText>
              </w:r>
              <w:r>
                <w:fldChar w:fldCharType="separate"/>
              </w:r>
              <w:r>
                <w:rPr>
                  <w:rStyle w:val="15"/>
                </w:rPr>
                <w:t>Porter’s Industry Five Forces Analysis</w:t>
              </w:r>
              <w:r>
                <w:tab/>
              </w:r>
              <w:r>
                <w:fldChar w:fldCharType="begin"/>
              </w:r>
              <w:r>
                <w:instrText xml:space="preserve"> PAGEREF _Toc133096808 \h </w:instrText>
              </w:r>
              <w:r>
                <w:fldChar w:fldCharType="separate"/>
              </w:r>
              <w:r>
                <w:t>8</w:t>
              </w:r>
              <w:r>
                <w:fldChar w:fldCharType="end"/>
              </w:r>
              <w:r>
                <w:fldChar w:fldCharType="end"/>
              </w:r>
            </w:p>
            <w:p>
              <w:pPr>
                <w:pStyle w:val="16"/>
                <w:tabs>
                  <w:tab w:val="right" w:leader="dot" w:pos="9016"/>
                </w:tabs>
                <w:rPr>
                  <w:rFonts w:asciiTheme="minorHAnsi" w:hAnsiTheme="minorHAnsi" w:eastAsiaTheme="minorEastAsia"/>
                  <w:sz w:val="22"/>
                  <w:lang w:eastAsia="en-GB"/>
                </w:rPr>
              </w:pPr>
              <w:r>
                <w:fldChar w:fldCharType="begin"/>
              </w:r>
              <w:r>
                <w:instrText xml:space="preserve"> HYPERLINK \l "_Toc133096809" </w:instrText>
              </w:r>
              <w:r>
                <w:fldChar w:fldCharType="separate"/>
              </w:r>
              <w:r>
                <w:rPr>
                  <w:rStyle w:val="15"/>
                </w:rPr>
                <w:t>Internal Analysis</w:t>
              </w:r>
              <w:r>
                <w:tab/>
              </w:r>
              <w:r>
                <w:fldChar w:fldCharType="begin"/>
              </w:r>
              <w:r>
                <w:instrText xml:space="preserve"> PAGEREF _Toc133096809 \h </w:instrText>
              </w:r>
              <w:r>
                <w:fldChar w:fldCharType="separate"/>
              </w:r>
              <w:r>
                <w:t>9</w:t>
              </w:r>
              <w:r>
                <w:fldChar w:fldCharType="end"/>
              </w:r>
              <w:r>
                <w:fldChar w:fldCharType="end"/>
              </w:r>
            </w:p>
            <w:p>
              <w:pPr>
                <w:pStyle w:val="17"/>
                <w:tabs>
                  <w:tab w:val="right" w:leader="dot" w:pos="9016"/>
                </w:tabs>
                <w:rPr>
                  <w:rFonts w:asciiTheme="minorHAnsi" w:hAnsiTheme="minorHAnsi" w:eastAsiaTheme="minorEastAsia"/>
                  <w:sz w:val="22"/>
                  <w:lang w:eastAsia="en-GB"/>
                </w:rPr>
              </w:pPr>
              <w:r>
                <w:fldChar w:fldCharType="begin"/>
              </w:r>
              <w:r>
                <w:instrText xml:space="preserve"> HYPERLINK \l "_Toc133096810" </w:instrText>
              </w:r>
              <w:r>
                <w:fldChar w:fldCharType="separate"/>
              </w:r>
              <w:r>
                <w:rPr>
                  <w:rStyle w:val="15"/>
                </w:rPr>
                <w:t>Volvo’s Strategic Resources and Capabilities</w:t>
              </w:r>
              <w:r>
                <w:tab/>
              </w:r>
              <w:r>
                <w:fldChar w:fldCharType="begin"/>
              </w:r>
              <w:r>
                <w:instrText xml:space="preserve"> PAGEREF _Toc133096810 \h </w:instrText>
              </w:r>
              <w:r>
                <w:fldChar w:fldCharType="separate"/>
              </w:r>
              <w:r>
                <w:t>10</w:t>
              </w:r>
              <w:r>
                <w:fldChar w:fldCharType="end"/>
              </w:r>
              <w:r>
                <w:fldChar w:fldCharType="end"/>
              </w:r>
            </w:p>
            <w:p>
              <w:pPr>
                <w:pStyle w:val="17"/>
                <w:tabs>
                  <w:tab w:val="right" w:leader="dot" w:pos="9016"/>
                </w:tabs>
                <w:rPr>
                  <w:rFonts w:asciiTheme="minorHAnsi" w:hAnsiTheme="minorHAnsi" w:eastAsiaTheme="minorEastAsia"/>
                  <w:sz w:val="22"/>
                  <w:lang w:eastAsia="en-GB"/>
                </w:rPr>
              </w:pPr>
              <w:r>
                <w:fldChar w:fldCharType="begin"/>
              </w:r>
              <w:r>
                <w:instrText xml:space="preserve"> HYPERLINK \l "_Toc133096811" </w:instrText>
              </w:r>
              <w:r>
                <w:fldChar w:fldCharType="separate"/>
              </w:r>
              <w:r>
                <w:rPr>
                  <w:rStyle w:val="15"/>
                </w:rPr>
                <w:t>Value Chain Analysis</w:t>
              </w:r>
              <w:r>
                <w:tab/>
              </w:r>
              <w:r>
                <w:fldChar w:fldCharType="begin"/>
              </w:r>
              <w:r>
                <w:instrText xml:space="preserve"> PAGEREF _Toc133096811 \h </w:instrText>
              </w:r>
              <w:r>
                <w:fldChar w:fldCharType="separate"/>
              </w:r>
              <w:r>
                <w:t>10</w:t>
              </w:r>
              <w:r>
                <w:fldChar w:fldCharType="end"/>
              </w:r>
              <w:r>
                <w:fldChar w:fldCharType="end"/>
              </w:r>
            </w:p>
            <w:p>
              <w:pPr>
                <w:pStyle w:val="18"/>
                <w:tabs>
                  <w:tab w:val="right" w:leader="dot" w:pos="9016"/>
                </w:tabs>
                <w:rPr>
                  <w:rFonts w:asciiTheme="minorHAnsi" w:hAnsiTheme="minorHAnsi" w:eastAsiaTheme="minorEastAsia"/>
                  <w:sz w:val="22"/>
                  <w:lang w:eastAsia="en-GB"/>
                </w:rPr>
              </w:pPr>
              <w:r>
                <w:fldChar w:fldCharType="begin"/>
              </w:r>
              <w:r>
                <w:instrText xml:space="preserve"> HYPERLINK \l "_Toc133096812" </w:instrText>
              </w:r>
              <w:r>
                <w:fldChar w:fldCharType="separate"/>
              </w:r>
              <w:r>
                <w:rPr>
                  <w:rStyle w:val="15"/>
                </w:rPr>
                <w:t>Primary Activities</w:t>
              </w:r>
              <w:r>
                <w:tab/>
              </w:r>
              <w:r>
                <w:fldChar w:fldCharType="begin"/>
              </w:r>
              <w:r>
                <w:instrText xml:space="preserve"> PAGEREF _Toc133096812 \h </w:instrText>
              </w:r>
              <w:r>
                <w:fldChar w:fldCharType="separate"/>
              </w:r>
              <w:r>
                <w:t>10</w:t>
              </w:r>
              <w:r>
                <w:fldChar w:fldCharType="end"/>
              </w:r>
              <w:r>
                <w:fldChar w:fldCharType="end"/>
              </w:r>
            </w:p>
            <w:p>
              <w:pPr>
                <w:pStyle w:val="18"/>
                <w:tabs>
                  <w:tab w:val="right" w:leader="dot" w:pos="9016"/>
                </w:tabs>
                <w:rPr>
                  <w:rFonts w:asciiTheme="minorHAnsi" w:hAnsiTheme="minorHAnsi" w:eastAsiaTheme="minorEastAsia"/>
                  <w:sz w:val="22"/>
                  <w:lang w:eastAsia="en-GB"/>
                </w:rPr>
              </w:pPr>
              <w:r>
                <w:fldChar w:fldCharType="begin"/>
              </w:r>
              <w:r>
                <w:instrText xml:space="preserve"> HYPERLINK \l "_Toc133096813" </w:instrText>
              </w:r>
              <w:r>
                <w:fldChar w:fldCharType="separate"/>
              </w:r>
              <w:r>
                <w:rPr>
                  <w:rStyle w:val="15"/>
                </w:rPr>
                <w:t>Secondary Activities</w:t>
              </w:r>
              <w:r>
                <w:tab/>
              </w:r>
              <w:r>
                <w:fldChar w:fldCharType="begin"/>
              </w:r>
              <w:r>
                <w:instrText xml:space="preserve"> PAGEREF _Toc133096813 \h </w:instrText>
              </w:r>
              <w:r>
                <w:fldChar w:fldCharType="separate"/>
              </w:r>
              <w:r>
                <w:t>11</w:t>
              </w:r>
              <w:r>
                <w:fldChar w:fldCharType="end"/>
              </w:r>
              <w:r>
                <w:fldChar w:fldCharType="end"/>
              </w:r>
            </w:p>
            <w:p>
              <w:pPr>
                <w:pStyle w:val="17"/>
                <w:tabs>
                  <w:tab w:val="right" w:leader="dot" w:pos="9016"/>
                </w:tabs>
                <w:rPr>
                  <w:rFonts w:asciiTheme="minorHAnsi" w:hAnsiTheme="minorHAnsi" w:eastAsiaTheme="minorEastAsia"/>
                  <w:sz w:val="22"/>
                  <w:lang w:eastAsia="en-GB"/>
                </w:rPr>
              </w:pPr>
              <w:r>
                <w:fldChar w:fldCharType="begin"/>
              </w:r>
              <w:r>
                <w:instrText xml:space="preserve"> HYPERLINK \l "_Toc133096814" </w:instrText>
              </w:r>
              <w:r>
                <w:fldChar w:fldCharType="separate"/>
              </w:r>
              <w:r>
                <w:rPr>
                  <w:rStyle w:val="15"/>
                </w:rPr>
                <w:t>VRIO Analysis of Distinctive Resources and Capabilities</w:t>
              </w:r>
              <w:r>
                <w:tab/>
              </w:r>
              <w:r>
                <w:fldChar w:fldCharType="begin"/>
              </w:r>
              <w:r>
                <w:instrText xml:space="preserve"> PAGEREF _Toc133096814 \h </w:instrText>
              </w:r>
              <w:r>
                <w:fldChar w:fldCharType="separate"/>
              </w:r>
              <w:r>
                <w:t>11</w:t>
              </w:r>
              <w:r>
                <w:fldChar w:fldCharType="end"/>
              </w:r>
              <w:r>
                <w:fldChar w:fldCharType="end"/>
              </w:r>
            </w:p>
            <w:p>
              <w:pPr>
                <w:pStyle w:val="17"/>
                <w:tabs>
                  <w:tab w:val="right" w:leader="dot" w:pos="9016"/>
                </w:tabs>
                <w:rPr>
                  <w:rFonts w:asciiTheme="minorHAnsi" w:hAnsiTheme="minorHAnsi" w:eastAsiaTheme="minorEastAsia"/>
                  <w:sz w:val="22"/>
                  <w:lang w:eastAsia="en-GB"/>
                </w:rPr>
              </w:pPr>
              <w:r>
                <w:fldChar w:fldCharType="begin"/>
              </w:r>
              <w:r>
                <w:instrText xml:space="preserve"> HYPERLINK \l "_Toc133096815" </w:instrText>
              </w:r>
              <w:r>
                <w:fldChar w:fldCharType="separate"/>
              </w:r>
              <w:r>
                <w:rPr>
                  <w:rStyle w:val="15"/>
                </w:rPr>
                <w:t>SWOT Analysis</w:t>
              </w:r>
              <w:r>
                <w:tab/>
              </w:r>
              <w:r>
                <w:fldChar w:fldCharType="begin"/>
              </w:r>
              <w:r>
                <w:instrText xml:space="preserve"> PAGEREF _Toc133096815 \h </w:instrText>
              </w:r>
              <w:r>
                <w:fldChar w:fldCharType="separate"/>
              </w:r>
              <w:r>
                <w:t>12</w:t>
              </w:r>
              <w:r>
                <w:fldChar w:fldCharType="end"/>
              </w:r>
              <w:r>
                <w:fldChar w:fldCharType="end"/>
              </w:r>
            </w:p>
            <w:p>
              <w:pPr>
                <w:pStyle w:val="16"/>
                <w:tabs>
                  <w:tab w:val="right" w:leader="dot" w:pos="9016"/>
                </w:tabs>
                <w:rPr>
                  <w:rFonts w:asciiTheme="minorHAnsi" w:hAnsiTheme="minorHAnsi" w:eastAsiaTheme="minorEastAsia"/>
                  <w:sz w:val="22"/>
                  <w:lang w:eastAsia="en-GB"/>
                </w:rPr>
              </w:pPr>
              <w:r>
                <w:fldChar w:fldCharType="begin"/>
              </w:r>
              <w:r>
                <w:instrText xml:space="preserve"> HYPERLINK \l "_Toc133096816" </w:instrText>
              </w:r>
              <w:r>
                <w:fldChar w:fldCharType="separate"/>
              </w:r>
              <w:r>
                <w:rPr>
                  <w:rStyle w:val="15"/>
                </w:rPr>
                <w:t>Strategies to Sustain Competitive Advantage</w:t>
              </w:r>
              <w:r>
                <w:tab/>
              </w:r>
              <w:r>
                <w:fldChar w:fldCharType="begin"/>
              </w:r>
              <w:r>
                <w:instrText xml:space="preserve"> PAGEREF _Toc133096816 \h </w:instrText>
              </w:r>
              <w:r>
                <w:fldChar w:fldCharType="separate"/>
              </w:r>
              <w:r>
                <w:t>13</w:t>
              </w:r>
              <w:r>
                <w:fldChar w:fldCharType="end"/>
              </w:r>
              <w:r>
                <w:fldChar w:fldCharType="end"/>
              </w:r>
            </w:p>
            <w:p>
              <w:pPr>
                <w:pStyle w:val="16"/>
                <w:tabs>
                  <w:tab w:val="right" w:leader="dot" w:pos="9016"/>
                </w:tabs>
                <w:rPr>
                  <w:rFonts w:asciiTheme="minorHAnsi" w:hAnsiTheme="minorHAnsi" w:eastAsiaTheme="minorEastAsia"/>
                  <w:sz w:val="22"/>
                  <w:lang w:eastAsia="en-GB"/>
                </w:rPr>
              </w:pPr>
              <w:r>
                <w:fldChar w:fldCharType="begin"/>
              </w:r>
              <w:r>
                <w:instrText xml:space="preserve"> HYPERLINK \l "_Toc133096817" </w:instrText>
              </w:r>
              <w:r>
                <w:fldChar w:fldCharType="separate"/>
              </w:r>
              <w:r>
                <w:rPr>
                  <w:rStyle w:val="15"/>
                </w:rPr>
                <w:t>Growth Strategies</w:t>
              </w:r>
              <w:r>
                <w:tab/>
              </w:r>
              <w:r>
                <w:fldChar w:fldCharType="begin"/>
              </w:r>
              <w:r>
                <w:instrText xml:space="preserve"> PAGEREF _Toc133096817 \h </w:instrText>
              </w:r>
              <w:r>
                <w:fldChar w:fldCharType="separate"/>
              </w:r>
              <w:r>
                <w:t>15</w:t>
              </w:r>
              <w:r>
                <w:fldChar w:fldCharType="end"/>
              </w:r>
              <w:r>
                <w:fldChar w:fldCharType="end"/>
              </w:r>
            </w:p>
            <w:p>
              <w:pPr>
                <w:pStyle w:val="16"/>
                <w:tabs>
                  <w:tab w:val="right" w:leader="dot" w:pos="9016"/>
                </w:tabs>
                <w:rPr>
                  <w:rFonts w:asciiTheme="minorHAnsi" w:hAnsiTheme="minorHAnsi" w:eastAsiaTheme="minorEastAsia"/>
                  <w:sz w:val="22"/>
                  <w:lang w:eastAsia="en-GB"/>
                </w:rPr>
              </w:pPr>
              <w:r>
                <w:fldChar w:fldCharType="begin"/>
              </w:r>
              <w:r>
                <w:instrText xml:space="preserve"> HYPERLINK \l "_Toc133096818" </w:instrText>
              </w:r>
              <w:r>
                <w:fldChar w:fldCharType="separate"/>
              </w:r>
              <w:r>
                <w:rPr>
                  <w:rStyle w:val="15"/>
                </w:rPr>
                <w:t>Green Strategy and CSR</w:t>
              </w:r>
              <w:r>
                <w:tab/>
              </w:r>
              <w:r>
                <w:fldChar w:fldCharType="begin"/>
              </w:r>
              <w:r>
                <w:instrText xml:space="preserve"> PAGEREF _Toc133096818 \h </w:instrText>
              </w:r>
              <w:r>
                <w:fldChar w:fldCharType="separate"/>
              </w:r>
              <w:r>
                <w:t>17</w:t>
              </w:r>
              <w:r>
                <w:fldChar w:fldCharType="end"/>
              </w:r>
              <w:r>
                <w:fldChar w:fldCharType="end"/>
              </w:r>
            </w:p>
            <w:p>
              <w:pPr>
                <w:pStyle w:val="16"/>
                <w:tabs>
                  <w:tab w:val="right" w:leader="dot" w:pos="9016"/>
                </w:tabs>
                <w:rPr>
                  <w:rFonts w:asciiTheme="minorHAnsi" w:hAnsiTheme="minorHAnsi" w:eastAsiaTheme="minorEastAsia"/>
                  <w:sz w:val="22"/>
                  <w:lang w:eastAsia="en-GB"/>
                </w:rPr>
              </w:pPr>
              <w:r>
                <w:fldChar w:fldCharType="begin"/>
              </w:r>
              <w:r>
                <w:instrText xml:space="preserve"> HYPERLINK \l "_Toc133096819" </w:instrText>
              </w:r>
              <w:r>
                <w:fldChar w:fldCharType="separate"/>
              </w:r>
              <w:r>
                <w:rPr>
                  <w:rStyle w:val="15"/>
                </w:rPr>
                <w:t>Conclusion</w:t>
              </w:r>
              <w:r>
                <w:tab/>
              </w:r>
              <w:r>
                <w:fldChar w:fldCharType="begin"/>
              </w:r>
              <w:r>
                <w:instrText xml:space="preserve"> PAGEREF _Toc133096819 \h </w:instrText>
              </w:r>
              <w:r>
                <w:fldChar w:fldCharType="separate"/>
              </w:r>
              <w:r>
                <w:t>18</w:t>
              </w:r>
              <w:r>
                <w:fldChar w:fldCharType="end"/>
              </w:r>
              <w:r>
                <w:fldChar w:fldCharType="end"/>
              </w:r>
            </w:p>
            <w:p>
              <w:pPr>
                <w:pStyle w:val="16"/>
                <w:tabs>
                  <w:tab w:val="right" w:leader="dot" w:pos="9016"/>
                </w:tabs>
                <w:rPr>
                  <w:rFonts w:asciiTheme="minorHAnsi" w:hAnsiTheme="minorHAnsi" w:eastAsiaTheme="minorEastAsia"/>
                  <w:sz w:val="22"/>
                  <w:lang w:eastAsia="en-GB"/>
                </w:rPr>
              </w:pPr>
              <w:r>
                <w:fldChar w:fldCharType="begin"/>
              </w:r>
              <w:r>
                <w:instrText xml:space="preserve"> HYPERLINK \l "_Toc133096820" </w:instrText>
              </w:r>
              <w:r>
                <w:fldChar w:fldCharType="separate"/>
              </w:r>
              <w:r>
                <w:rPr>
                  <w:rStyle w:val="15"/>
                </w:rPr>
                <w:t>Recommendation</w:t>
              </w:r>
              <w:r>
                <w:tab/>
              </w:r>
              <w:r>
                <w:fldChar w:fldCharType="begin"/>
              </w:r>
              <w:r>
                <w:instrText xml:space="preserve"> PAGEREF _Toc133096820 \h </w:instrText>
              </w:r>
              <w:r>
                <w:fldChar w:fldCharType="separate"/>
              </w:r>
              <w:r>
                <w:t>19</w:t>
              </w:r>
              <w:r>
                <w:fldChar w:fldCharType="end"/>
              </w:r>
              <w:r>
                <w:fldChar w:fldCharType="end"/>
              </w:r>
            </w:p>
            <w:p>
              <w:pPr>
                <w:pStyle w:val="16"/>
                <w:tabs>
                  <w:tab w:val="right" w:leader="dot" w:pos="9016"/>
                </w:tabs>
                <w:rPr>
                  <w:rFonts w:asciiTheme="minorHAnsi" w:hAnsiTheme="minorHAnsi" w:eastAsiaTheme="minorEastAsia"/>
                  <w:sz w:val="22"/>
                  <w:lang w:eastAsia="en-GB"/>
                </w:rPr>
              </w:pPr>
              <w:r>
                <w:fldChar w:fldCharType="begin"/>
              </w:r>
              <w:r>
                <w:instrText xml:space="preserve"> HYPERLINK \l "_Toc133096821" </w:instrText>
              </w:r>
              <w:r>
                <w:fldChar w:fldCharType="separate"/>
              </w:r>
              <w:r>
                <w:rPr>
                  <w:rStyle w:val="15"/>
                </w:rPr>
                <w:t>References</w:t>
              </w:r>
              <w:r>
                <w:tab/>
              </w:r>
              <w:r>
                <w:fldChar w:fldCharType="begin"/>
              </w:r>
              <w:r>
                <w:instrText xml:space="preserve"> PAGEREF _Toc133096821 \h </w:instrText>
              </w:r>
              <w:r>
                <w:fldChar w:fldCharType="separate"/>
              </w:r>
              <w:r>
                <w:t>20</w:t>
              </w:r>
              <w:r>
                <w:fldChar w:fldCharType="end"/>
              </w:r>
              <w:r>
                <w:fldChar w:fldCharType="end"/>
              </w:r>
            </w:p>
            <w:p>
              <w:pPr>
                <w:jc w:val="both"/>
              </w:pPr>
              <w:r>
                <w:fldChar w:fldCharType="end"/>
              </w:r>
            </w:p>
            <w:p>
              <w:pPr>
                <w:jc w:val="both"/>
              </w:pPr>
              <w:r>
                <w:t xml:space="preserve"> </w:t>
              </w:r>
            </w:p>
          </w:sdtContent>
        </w:sdt>
        <w:p>
          <w:pPr>
            <w:jc w:val="both"/>
            <w:rPr>
              <w:rFonts w:ascii="Arial" w:hAnsi="Arial" w:cs="Times New Roman" w:eastAsiaTheme="majorEastAsia"/>
              <w:b/>
              <w:bCs/>
              <w:color w:val="17375E" w:themeColor="text2" w:themeShade="BF"/>
              <w:szCs w:val="24"/>
              <w:lang w:eastAsia="ja-JP"/>
            </w:rPr>
          </w:pPr>
          <w:r>
            <w:br w:type="page"/>
          </w:r>
        </w:p>
        <w:p>
          <w:pPr>
            <w:pStyle w:val="2"/>
          </w:pPr>
          <w:bookmarkStart w:id="0" w:name="_Toc133096801"/>
          <w:r>
            <w:t>Introduction</w:t>
          </w:r>
          <w:bookmarkEnd w:id="0"/>
        </w:p>
        <w:p>
          <w:pPr>
            <w:spacing w:line="360" w:lineRule="auto"/>
            <w:jc w:val="both"/>
            <w:rPr>
              <w:szCs w:val="24"/>
            </w:rPr>
          </w:pPr>
          <w:r>
            <w:rPr>
              <w:szCs w:val="24"/>
            </w:rPr>
            <w:t xml:space="preserve">The </w:t>
          </w:r>
          <w:r>
            <w:rPr>
              <w:szCs w:val="24"/>
              <w:lang w:val="en-US"/>
            </w:rPr>
            <w:t>auto-mobile</w:t>
          </w:r>
          <w:r>
            <w:rPr>
              <w:szCs w:val="24"/>
            </w:rPr>
            <w:t xml:space="preserve"> industry has undergone significant changes in recent years, with increased focus on sustainability, technology, and innovation. One brand that has been at the forefront of this transformation is Volvo, a Swedish </w:t>
          </w:r>
          <w:r>
            <w:rPr>
              <w:szCs w:val="24"/>
              <w:lang w:val="en-US"/>
            </w:rPr>
            <w:t>auto-mobile</w:t>
          </w:r>
          <w:r>
            <w:rPr>
              <w:szCs w:val="24"/>
            </w:rPr>
            <w:t xml:space="preserve"> manufacturer renowned for its commitment to safety, reliability, and innovation (Wilkins &amp; Hill, 2013). This report will </w:t>
          </w:r>
          <w:r>
            <w:rPr>
              <w:szCs w:val="24"/>
              <w:lang w:val="en-US"/>
            </w:rPr>
            <w:t>analyse</w:t>
          </w:r>
          <w:r>
            <w:rPr>
              <w:szCs w:val="24"/>
            </w:rPr>
            <w:t xml:space="preserve"> Volvo's strategic position in the </w:t>
          </w:r>
          <w:r>
            <w:rPr>
              <w:szCs w:val="24"/>
              <w:lang w:val="en-US"/>
            </w:rPr>
            <w:t>auto-mobile</w:t>
          </w:r>
          <w:r>
            <w:rPr>
              <w:szCs w:val="24"/>
            </w:rPr>
            <w:t xml:space="preserve"> industry, its resources and capabilities, and its strategies to maintain a competitive advantage. Furthermore, the report will provide recommendations for Volvo's growth and expansion, keeping in mind its green strategy and corporate social responsibility (CSR) initiatives.</w:t>
          </w:r>
        </w:p>
        <w:p>
          <w:pPr>
            <w:spacing w:line="360" w:lineRule="auto"/>
            <w:jc w:val="both"/>
            <w:rPr>
              <w:szCs w:val="24"/>
            </w:rPr>
          </w:pPr>
          <w:r>
            <w:rPr>
              <w:szCs w:val="24"/>
            </w:rPr>
            <w:t>This report aims to provide a comprehensive analysis of the Volvo Group, delving into its background, organizational structure, financial performance, and market presence. Through this examination, we will be able to understand the key factors driving the company's success and identify potential areas for growth and improvement. The report will cover the following aspects: company background, product portfolio, financial performance, market presence, sustainability initiatives, and future prospects.</w:t>
          </w:r>
        </w:p>
        <w:p>
          <w:pPr>
            <w:pStyle w:val="2"/>
          </w:pPr>
          <w:bookmarkStart w:id="1" w:name="_Toc133096802"/>
          <w:r>
            <w:rPr>
              <w:lang w:val="en-US"/>
            </w:rPr>
            <w:t>Volvo</w:t>
          </w:r>
          <w:r>
            <w:t xml:space="preserve"> Background</w:t>
          </w:r>
          <w:bookmarkEnd w:id="1"/>
        </w:p>
        <w:p>
          <w:pPr>
            <w:spacing w:line="360" w:lineRule="auto"/>
            <w:jc w:val="both"/>
            <w:rPr>
              <w:rFonts w:cs="Times New Roman"/>
              <w:szCs w:val="24"/>
            </w:rPr>
          </w:pPr>
          <w:r>
            <w:rPr>
              <w:rFonts w:cs="Times New Roman"/>
              <w:szCs w:val="24"/>
            </w:rPr>
            <w:t xml:space="preserve">Volvo was founded in 1927 by Assar Gabrielsson and Gustaf Larson, with the goal of producing safe, durable, and high-quality vehicles (Volvo Group, 2021). Over the years, the company has grown to become a global player in the </w:t>
          </w:r>
          <w:r>
            <w:rPr>
              <w:rFonts w:cs="Times New Roman"/>
              <w:szCs w:val="24"/>
              <w:lang w:val="en-US"/>
            </w:rPr>
            <w:t>auto-mobile</w:t>
          </w:r>
          <w:r>
            <w:rPr>
              <w:rFonts w:cs="Times New Roman"/>
              <w:szCs w:val="24"/>
            </w:rPr>
            <w:t xml:space="preserve"> industry, with manufacturing facilities and sales networks in Europe, North America, and Asia (Volvo Group, 2021). In 2010, the company was acquired by the Chinese multinational automotive company, Geely, which has since provided significant financial and strategic support (Cremer, 2020).</w:t>
          </w:r>
        </w:p>
        <w:p>
          <w:pPr>
            <w:spacing w:line="360" w:lineRule="auto"/>
            <w:jc w:val="both"/>
            <w:rPr>
              <w:rFonts w:cs="Times New Roman"/>
              <w:szCs w:val="24"/>
            </w:rPr>
          </w:pPr>
          <w:r>
            <w:rPr>
              <w:rFonts w:cs="Times New Roman"/>
              <w:szCs w:val="24"/>
            </w:rPr>
            <w:t>The Volvo Group, founded in 1927 by Assar Gabrielsson and Gustaf Larson, is a Swedish multinational corporation with a global presence in the automotive, construction equipment, and transportation industries. The company's headquarters are located in Gothenburg, Sweden, and it operates in over 190 countries, with production facilities in 18 countries.</w:t>
          </w:r>
        </w:p>
        <w:p>
          <w:pPr>
            <w:spacing w:line="360" w:lineRule="auto"/>
            <w:jc w:val="both"/>
            <w:rPr>
              <w:rFonts w:cs="Times New Roman"/>
              <w:szCs w:val="24"/>
            </w:rPr>
          </w:pPr>
          <w:r>
            <w:rPr>
              <w:rFonts w:cs="Times New Roman"/>
              <w:szCs w:val="24"/>
            </w:rPr>
            <w:t>As of 2021, the Volvo Group employs approximately 100,000 people worldwide. The company's operations are divided into various business areas, including Volvo Trucks, Volvo Buses, Volvo Construction Equipment, Volvo Penta, and Volvo Financial Services. The organization is committed to driving prosperity through transport and infrastructure solutions, focusing on safety, quality, and environmental care.</w:t>
          </w:r>
        </w:p>
        <w:p>
          <w:pPr>
            <w:spacing w:line="360" w:lineRule="auto"/>
            <w:jc w:val="both"/>
            <w:rPr>
              <w:rFonts w:cs="Times New Roman"/>
              <w:szCs w:val="24"/>
            </w:rPr>
          </w:pPr>
        </w:p>
        <w:p>
          <w:pPr>
            <w:spacing w:line="360" w:lineRule="auto"/>
            <w:jc w:val="both"/>
            <w:rPr>
              <w:rFonts w:cs="Times New Roman"/>
              <w:szCs w:val="24"/>
            </w:rPr>
          </w:pPr>
          <w:r>
            <w:rPr>
              <w:rFonts w:cs="Times New Roman"/>
              <w:szCs w:val="24"/>
            </w:rPr>
            <w:t>The Volvo Group has consistently demonstrated strong financial performance, with its net sales in 2020 reaching SEK 338 billion (approximately USD 39 billion). The organization has maintained a stable financial position, which is evident through its consistent growth in revenues and profitability over the years.</w:t>
          </w:r>
        </w:p>
        <w:p>
          <w:pPr>
            <w:spacing w:line="360" w:lineRule="auto"/>
            <w:jc w:val="both"/>
            <w:rPr>
              <w:rFonts w:cs="Times New Roman"/>
              <w:szCs w:val="24"/>
            </w:rPr>
          </w:pPr>
          <w:r>
            <w:rPr>
              <w:rFonts w:cs="Times New Roman"/>
              <w:szCs w:val="24"/>
            </w:rPr>
            <w:t>In addition to its strong financial standing, Volvo has also expanded its operating markets over time, further solidifying its position as a global leader in the automotive industry. The company's extensive network of dealers, workshops, and service centers ensures that customers have access to a high-quality support system. Today, Volvo has a significant presence in Europe, North America, Asia Pacific, and other regions around the world, catering to the demands of diverse markets and customer segments.</w:t>
          </w:r>
        </w:p>
        <w:p>
          <w:pPr>
            <w:pStyle w:val="3"/>
          </w:pPr>
          <w:bookmarkStart w:id="2" w:name="_Toc133096803"/>
          <w:r>
            <w:t>Volvo’s Mission and Objectives</w:t>
          </w:r>
          <w:bookmarkEnd w:id="2"/>
        </w:p>
        <w:p>
          <w:pPr>
            <w:spacing w:line="360" w:lineRule="auto"/>
            <w:jc w:val="both"/>
            <w:rPr>
              <w:rFonts w:cs="Times New Roman"/>
              <w:szCs w:val="24"/>
            </w:rPr>
          </w:pPr>
          <w:r>
            <w:rPr>
              <w:rFonts w:cs="Times New Roman"/>
              <w:szCs w:val="24"/>
            </w:rPr>
            <w:t>Volvo's mission is to make life less complicated for people by providing innovative, safe, and sustainable personal mobility solutions (Volvo Group, 2021). The company's core values are safety, quality, and environmental care, which reflect its commitment to creating a better world through responsible business practices and cutting-edge innovation (Volvo Group, 2021). Volvo's objectives include maintaining a strong global presence, investing in new technologies and business models, and striving for carbon neutrality by 2040 (Volvo Cars, 2020).</w:t>
          </w:r>
        </w:p>
        <w:p>
          <w:pPr>
            <w:spacing w:line="360" w:lineRule="auto"/>
            <w:jc w:val="both"/>
            <w:rPr>
              <w:rFonts w:cs="Times New Roman"/>
              <w:szCs w:val="24"/>
            </w:rPr>
          </w:pPr>
          <w:r>
            <w:rPr>
              <w:rFonts w:cs="Times New Roman"/>
              <w:szCs w:val="24"/>
            </w:rPr>
            <w:t>Volvo, a Swedish automotive brand known for its focus on safety and sustainability, has a clear mission and set of objectives that guide its operations. These have evolved over time to align with changing global trends and customer demands, but the core values remain consistent.</w:t>
          </w:r>
        </w:p>
        <w:p>
          <w:pPr>
            <w:spacing w:line="360" w:lineRule="auto"/>
            <w:jc w:val="both"/>
            <w:rPr>
              <w:rFonts w:cs="Times New Roman"/>
              <w:szCs w:val="24"/>
            </w:rPr>
          </w:pPr>
          <w:r>
            <w:rPr>
              <w:rFonts w:cs="Times New Roman"/>
              <w:szCs w:val="24"/>
            </w:rPr>
            <w:t>Mission:</w:t>
          </w:r>
        </w:p>
        <w:p>
          <w:pPr>
            <w:spacing w:line="360" w:lineRule="auto"/>
            <w:jc w:val="both"/>
            <w:rPr>
              <w:rFonts w:cs="Times New Roman"/>
              <w:szCs w:val="24"/>
            </w:rPr>
          </w:pPr>
          <w:r>
            <w:rPr>
              <w:rFonts w:cs="Times New Roman"/>
              <w:szCs w:val="24"/>
            </w:rPr>
            <w:t>Volvo's mission is to create a better, safer, and more sustainable future for people and the planet through innovative automotive solutions and technologies. This mission is rooted in the belief that transportation is a fundamental human need, and the company is dedicated to improving the quality of life for its customers, employees, and society at large.</w:t>
          </w:r>
        </w:p>
        <w:p>
          <w:pPr>
            <w:spacing w:line="360" w:lineRule="auto"/>
            <w:jc w:val="both"/>
            <w:rPr>
              <w:rFonts w:cs="Times New Roman"/>
              <w:szCs w:val="24"/>
            </w:rPr>
          </w:pPr>
          <w:r>
            <w:rPr>
              <w:rFonts w:cs="Times New Roman"/>
              <w:szCs w:val="24"/>
            </w:rPr>
            <w:t>Objectives:</w:t>
          </w:r>
        </w:p>
        <w:p>
          <w:pPr>
            <w:spacing w:line="360" w:lineRule="auto"/>
            <w:jc w:val="both"/>
            <w:rPr>
              <w:rFonts w:cs="Times New Roman"/>
              <w:szCs w:val="24"/>
            </w:rPr>
          </w:pPr>
          <w:r>
            <w:rPr>
              <w:rFonts w:cs="Times New Roman"/>
              <w:szCs w:val="24"/>
            </w:rPr>
            <w:t>To achieve its mission, Volvo has set several strategic objectives that shape its business operations and product offerings:</w:t>
          </w:r>
        </w:p>
        <w:p>
          <w:pPr>
            <w:spacing w:line="360" w:lineRule="auto"/>
            <w:jc w:val="both"/>
            <w:rPr>
              <w:rFonts w:cs="Times New Roman"/>
              <w:szCs w:val="24"/>
            </w:rPr>
          </w:pPr>
          <w:r>
            <w:rPr>
              <w:rFonts w:cs="Times New Roman"/>
              <w:szCs w:val="24"/>
            </w:rPr>
            <w:t>Safety Leadership: Volvo aims to maintain its position as a safety leader in the automotive industry, designing cars that not only protect occupants in the event of an accident but also actively prevent accidents from happening in the first place. This includes investing in research and development to create cutting-edge safety features and systems.</w:t>
          </w:r>
        </w:p>
        <w:p>
          <w:pPr>
            <w:spacing w:line="360" w:lineRule="auto"/>
            <w:jc w:val="both"/>
            <w:rPr>
              <w:rFonts w:cs="Times New Roman"/>
              <w:szCs w:val="24"/>
            </w:rPr>
          </w:pPr>
          <w:r>
            <w:rPr>
              <w:rFonts w:cs="Times New Roman"/>
              <w:szCs w:val="24"/>
            </w:rPr>
            <w:t xml:space="preserve">Electrification and Sustainability: Volvo is committed to reducing its environmental impact and advancing the transition towards electrified and sustainable transportation. The company plans to become a fully electric car manufacturer by 2030, while also exploring alternative fuel technologies and reducing emissions throughout the entire </w:t>
          </w:r>
          <w:r>
            <w:rPr>
              <w:rFonts w:cs="Times New Roman"/>
              <w:szCs w:val="24"/>
              <w:lang w:val="en-US"/>
            </w:rPr>
            <w:t>life-cycle</w:t>
          </w:r>
          <w:r>
            <w:rPr>
              <w:rFonts w:cs="Times New Roman"/>
              <w:szCs w:val="24"/>
            </w:rPr>
            <w:t xml:space="preserve"> of its products.</w:t>
          </w:r>
        </w:p>
        <w:p>
          <w:pPr>
            <w:spacing w:line="360" w:lineRule="auto"/>
            <w:jc w:val="both"/>
            <w:rPr>
              <w:rFonts w:cs="Times New Roman"/>
              <w:szCs w:val="24"/>
            </w:rPr>
          </w:pPr>
          <w:r>
            <w:rPr>
              <w:rFonts w:cs="Times New Roman"/>
              <w:szCs w:val="24"/>
            </w:rPr>
            <w:t>Customer-centric Approach: Volvo strives to deliver an exceptional customer experience by understanding and anticipating the needs of its customers, offering personalized services and solutions, and fostering long-lasting relationships.</w:t>
          </w:r>
        </w:p>
        <w:p>
          <w:pPr>
            <w:spacing w:line="360" w:lineRule="auto"/>
            <w:jc w:val="both"/>
            <w:rPr>
              <w:rFonts w:cs="Times New Roman"/>
              <w:szCs w:val="24"/>
            </w:rPr>
          </w:pPr>
          <w:r>
            <w:rPr>
              <w:rFonts w:cs="Times New Roman"/>
              <w:szCs w:val="24"/>
            </w:rPr>
            <w:t xml:space="preserve">Digital Transformation: Volvo is embracing digital technology to enhance its product offerings, streamline operations, and improve overall customer experience. This includes </w:t>
          </w:r>
          <w:r>
            <w:rPr>
              <w:rFonts w:cs="Times New Roman"/>
              <w:szCs w:val="24"/>
              <w:lang w:val="en-US"/>
            </w:rPr>
            <w:t>leverage</w:t>
          </w:r>
          <w:r>
            <w:rPr>
              <w:rFonts w:cs="Times New Roman"/>
              <w:szCs w:val="24"/>
            </w:rPr>
            <w:t xml:space="preserve"> connectivity, autonomous driving technology, and data </w:t>
          </w:r>
          <w:r>
            <w:rPr>
              <w:rFonts w:cs="Times New Roman"/>
              <w:szCs w:val="24"/>
              <w:lang w:val="en-US"/>
            </w:rPr>
            <w:t>analytics's</w:t>
          </w:r>
          <w:r>
            <w:rPr>
              <w:rFonts w:cs="Times New Roman"/>
              <w:szCs w:val="24"/>
            </w:rPr>
            <w:t xml:space="preserve"> to create new value propositions for customers.</w:t>
          </w:r>
        </w:p>
        <w:p>
          <w:pPr>
            <w:spacing w:line="360" w:lineRule="auto"/>
            <w:jc w:val="both"/>
            <w:rPr>
              <w:rFonts w:cs="Times New Roman"/>
              <w:szCs w:val="24"/>
            </w:rPr>
          </w:pPr>
          <w:r>
            <w:rPr>
              <w:rFonts w:cs="Times New Roman"/>
              <w:szCs w:val="24"/>
            </w:rPr>
            <w:t>Global Expansion: Volvo aims to grow its presence in key markets around the world, focusing on emerging economies and regions with strong growth potential. The company seeks to expand its reach through strategic partnerships, acquisitions, and investments.</w:t>
          </w:r>
        </w:p>
        <w:p>
          <w:pPr>
            <w:spacing w:line="360" w:lineRule="auto"/>
            <w:jc w:val="both"/>
            <w:rPr>
              <w:rFonts w:cs="Times New Roman"/>
              <w:szCs w:val="24"/>
            </w:rPr>
          </w:pPr>
          <w:r>
            <w:rPr>
              <w:rFonts w:cs="Times New Roman"/>
              <w:szCs w:val="24"/>
            </w:rPr>
            <w:t>Organizational Excellence: Volvo is dedicated to fostering a culture of innovation, collaboration, and continuous improvement. The company invests in the development of its employees, promotes diversity and inclusion, and aims to maintain a strong corporate governance framework.</w:t>
          </w:r>
        </w:p>
        <w:p>
          <w:pPr>
            <w:spacing w:line="360" w:lineRule="auto"/>
            <w:jc w:val="both"/>
            <w:rPr>
              <w:rFonts w:cs="Times New Roman"/>
              <w:szCs w:val="24"/>
            </w:rPr>
          </w:pPr>
          <w:r>
            <w:rPr>
              <w:rFonts w:cs="Times New Roman"/>
              <w:szCs w:val="24"/>
            </w:rPr>
            <w:t>By focusing on these objectives, Volvo aims to achieve its mission of creating a better, safer, and more sustainable future for people and the planet.</w:t>
          </w:r>
        </w:p>
        <w:p>
          <w:pPr>
            <w:pStyle w:val="2"/>
          </w:pPr>
          <w:bookmarkStart w:id="3" w:name="_Toc133096804"/>
          <w:r>
            <w:t>Macro-Environment Analysis</w:t>
          </w:r>
          <w:bookmarkEnd w:id="3"/>
        </w:p>
        <w:p>
          <w:pPr>
            <w:spacing w:line="360" w:lineRule="auto"/>
            <w:jc w:val="both"/>
            <w:rPr>
              <w:rFonts w:cs="Times New Roman"/>
              <w:szCs w:val="24"/>
            </w:rPr>
          </w:pPr>
          <w:r>
            <w:rPr>
              <w:rFonts w:cs="Times New Roman"/>
              <w:szCs w:val="24"/>
            </w:rPr>
            <w:t>Macro-Environment Analysis, also known as PESTEL analysis, focuses on the broad, external factors that can affect a business. It is an acronym for Political, Economic, Sociocultural, Technological, Environmental, and Legal factors. These factors are usually beyond an organization's control but can have a significant impact on its performance.</w:t>
          </w:r>
        </w:p>
        <w:p>
          <w:pPr>
            <w:spacing w:line="360" w:lineRule="auto"/>
            <w:jc w:val="both"/>
            <w:rPr>
              <w:rFonts w:cs="Times New Roman"/>
              <w:szCs w:val="24"/>
            </w:rPr>
          </w:pPr>
          <w:r>
            <w:rPr>
              <w:rFonts w:cs="Times New Roman"/>
              <w:szCs w:val="24"/>
            </w:rPr>
            <w:t>Political: This includes government policies, regulations, political stability, and potential changes in administration. Organizations must be aware of these factors and plan accordingly to minimize their impact on business operations.</w:t>
          </w:r>
        </w:p>
        <w:p>
          <w:pPr>
            <w:spacing w:line="360" w:lineRule="auto"/>
            <w:jc w:val="both"/>
            <w:rPr>
              <w:rFonts w:cs="Times New Roman"/>
              <w:szCs w:val="24"/>
            </w:rPr>
          </w:pPr>
          <w:r>
            <w:rPr>
              <w:rFonts w:cs="Times New Roman"/>
              <w:szCs w:val="24"/>
            </w:rPr>
            <w:t>Economic: Economic factors involve economic growth, inflation rates, exchange rates, and interest rates. These factors can affect consumer purchasing power, cost of capital, and overall market demand.</w:t>
          </w:r>
        </w:p>
        <w:p>
          <w:pPr>
            <w:spacing w:line="360" w:lineRule="auto"/>
            <w:jc w:val="both"/>
            <w:rPr>
              <w:rFonts w:cs="Times New Roman"/>
              <w:szCs w:val="24"/>
            </w:rPr>
          </w:pPr>
          <w:r>
            <w:rPr>
              <w:rFonts w:cs="Times New Roman"/>
              <w:szCs w:val="24"/>
            </w:rPr>
            <w:t xml:space="preserve">Sociocultural: Sociocultural factors include demographics, social trends, cultural values, and attitudes. These factors can influence consumer </w:t>
          </w:r>
          <w:r>
            <w:rPr>
              <w:rFonts w:cs="Times New Roman"/>
              <w:szCs w:val="24"/>
              <w:lang w:val="en-US"/>
            </w:rPr>
            <w:t>behaviour</w:t>
          </w:r>
          <w:r>
            <w:rPr>
              <w:rFonts w:cs="Times New Roman"/>
              <w:szCs w:val="24"/>
            </w:rPr>
            <w:t>, preferences, and brand loyalty.</w:t>
          </w:r>
        </w:p>
        <w:p>
          <w:pPr>
            <w:spacing w:line="360" w:lineRule="auto"/>
            <w:jc w:val="both"/>
            <w:rPr>
              <w:rFonts w:cs="Times New Roman"/>
              <w:szCs w:val="24"/>
            </w:rPr>
          </w:pPr>
          <w:r>
            <w:rPr>
              <w:rFonts w:cs="Times New Roman"/>
              <w:szCs w:val="24"/>
            </w:rPr>
            <w:t>Technological: Technological factors consist of technological advancements, innovation, and automation. They can impact a company's operations, products, services, and competitive advantage.</w:t>
          </w:r>
        </w:p>
        <w:p>
          <w:pPr>
            <w:spacing w:line="360" w:lineRule="auto"/>
            <w:jc w:val="both"/>
            <w:rPr>
              <w:rFonts w:cs="Times New Roman"/>
              <w:szCs w:val="24"/>
            </w:rPr>
          </w:pPr>
          <w:r>
            <w:rPr>
              <w:rFonts w:cs="Times New Roman"/>
              <w:szCs w:val="24"/>
            </w:rPr>
            <w:t>Environmental: Environmental factors involve ecological and environmental aspects such as climate change, natural disasters, and sustainability initiatives. Companies need to assess these factors and adapt their business practices to minimize their impact on the environment.</w:t>
          </w:r>
        </w:p>
        <w:p>
          <w:pPr>
            <w:spacing w:line="360" w:lineRule="auto"/>
            <w:jc w:val="both"/>
            <w:rPr>
              <w:rFonts w:cs="Times New Roman"/>
              <w:szCs w:val="24"/>
            </w:rPr>
          </w:pPr>
          <w:r>
            <w:rPr>
              <w:rFonts w:cs="Times New Roman"/>
              <w:szCs w:val="24"/>
            </w:rPr>
            <w:t>Legal: Legal factors include laws and regulations affecting the industry, such as labor laws, health and safety regulations, and intellectual property rights. Businesses must stay compliant with these regulations to avoid penalties and maintain a positive reputation.</w:t>
          </w:r>
        </w:p>
        <w:p>
          <w:pPr>
            <w:pStyle w:val="3"/>
          </w:pPr>
          <w:bookmarkStart w:id="4" w:name="_Toc133096805"/>
          <w:r>
            <w:t>PESTEL Analysis</w:t>
          </w:r>
          <w:bookmarkEnd w:id="4"/>
        </w:p>
        <w:p>
          <w:pPr>
            <w:spacing w:line="360" w:lineRule="auto"/>
            <w:jc w:val="both"/>
            <w:rPr>
              <w:rFonts w:cs="Times New Roman"/>
              <w:szCs w:val="24"/>
            </w:rPr>
          </w:pPr>
          <w:r>
            <w:rPr>
              <w:rFonts w:cs="Times New Roman"/>
              <w:szCs w:val="24"/>
            </w:rPr>
            <w:t>Political: Volvo operates in a highly regulated industry, with governments around the world implementing strict safety and environmental regulations (Yüksel, 2012). The company's strong commitment to safety and environmental care enables it to navigate these regulations effectively (Volvo Group, 2021). However, political instability and trade tensions in key markets could impact Volvo's operations and growth (Cremer, 2020).</w:t>
          </w:r>
        </w:p>
        <w:p>
          <w:pPr>
            <w:spacing w:line="360" w:lineRule="auto"/>
            <w:jc w:val="both"/>
            <w:rPr>
              <w:rFonts w:cs="Times New Roman"/>
              <w:szCs w:val="24"/>
            </w:rPr>
          </w:pPr>
          <w:r>
            <w:rPr>
              <w:rFonts w:cs="Times New Roman"/>
              <w:szCs w:val="24"/>
            </w:rPr>
            <w:t xml:space="preserve">Economic: The global economic environment has a direct impact on </w:t>
          </w:r>
          <w:r>
            <w:rPr>
              <w:rFonts w:cs="Times New Roman"/>
              <w:szCs w:val="24"/>
              <w:lang w:val="en-US"/>
            </w:rPr>
            <w:t>auto-mobile</w:t>
          </w:r>
          <w:r>
            <w:rPr>
              <w:rFonts w:cs="Times New Roman"/>
              <w:szCs w:val="24"/>
            </w:rPr>
            <w:t xml:space="preserve"> sales, with recessionary periods resulting in reduced consumer spending and lower demand for vehicles (Yüksel, 2012). Volvo's premium positioning makes it susceptible to fluctuations in economic conditions, as customers may opt for more affordable alternatives during economic downturns (Wilkins &amp; Hill, 2013).</w:t>
          </w:r>
        </w:p>
        <w:p>
          <w:pPr>
            <w:spacing w:line="360" w:lineRule="auto"/>
            <w:jc w:val="both"/>
            <w:rPr>
              <w:rFonts w:cs="Times New Roman"/>
              <w:szCs w:val="24"/>
            </w:rPr>
          </w:pPr>
          <w:r>
            <w:rPr>
              <w:rFonts w:cs="Times New Roman"/>
              <w:szCs w:val="24"/>
            </w:rPr>
            <w:t>Social: Changing consumer preferences and increased awareness about environmental issues have led to greater demand for electric vehicles (EVs) and sustainable transportation solutions (Caniato et al., 2015). Volvo has responded to this trend by committing to an ambitious electrification strategy and investing in sustainable mobility solutions (Volvo Cars, 2020).</w:t>
          </w:r>
        </w:p>
        <w:p>
          <w:pPr>
            <w:spacing w:line="360" w:lineRule="auto"/>
            <w:jc w:val="both"/>
            <w:rPr>
              <w:rFonts w:cs="Times New Roman"/>
              <w:szCs w:val="24"/>
            </w:rPr>
          </w:pPr>
          <w:r>
            <w:rPr>
              <w:rFonts w:cs="Times New Roman"/>
              <w:szCs w:val="24"/>
            </w:rPr>
            <w:t xml:space="preserve">Technological: Technological advancements in areas such as autonomous driving, connectivity, and electrification are shaping the future of the </w:t>
          </w:r>
          <w:r>
            <w:rPr>
              <w:rFonts w:cs="Times New Roman"/>
              <w:szCs w:val="24"/>
              <w:lang w:val="en-US"/>
            </w:rPr>
            <w:t>auto-mobile</w:t>
          </w:r>
          <w:r>
            <w:rPr>
              <w:rFonts w:cs="Times New Roman"/>
              <w:szCs w:val="24"/>
            </w:rPr>
            <w:t xml:space="preserve"> industry (Caniato et al., 2015). Volvo has consistently invested in research and development (R&amp;D) to stay at the forefront of these trends and maintain its competitive advantage (Volvo Group, 2021).</w:t>
          </w:r>
        </w:p>
        <w:p>
          <w:pPr>
            <w:spacing w:line="360" w:lineRule="auto"/>
            <w:jc w:val="both"/>
            <w:rPr>
              <w:rFonts w:cs="Times New Roman"/>
              <w:szCs w:val="24"/>
            </w:rPr>
          </w:pPr>
          <w:r>
            <w:rPr>
              <w:rFonts w:cs="Times New Roman"/>
              <w:szCs w:val="24"/>
            </w:rPr>
            <w:t xml:space="preserve">Environmental: Climate change and the increasing importance of sustainability have put pressure on </w:t>
          </w:r>
          <w:r>
            <w:rPr>
              <w:rFonts w:cs="Times New Roman"/>
              <w:szCs w:val="24"/>
              <w:lang w:val="en-US"/>
            </w:rPr>
            <w:t>auto-mobile</w:t>
          </w:r>
          <w:r>
            <w:rPr>
              <w:rFonts w:cs="Times New Roman"/>
              <w:szCs w:val="24"/>
            </w:rPr>
            <w:t xml:space="preserve"> manufacturers to reduce their environmental impact (Caniato et al., 2015). Volvo's commitment to carbon neutrality and its electrification strategy align with these concerns and position the company as a responsible player in the industry (Volvo Cars, 2020).</w:t>
          </w:r>
        </w:p>
        <w:p>
          <w:pPr>
            <w:spacing w:line="360" w:lineRule="auto"/>
            <w:jc w:val="both"/>
            <w:rPr>
              <w:rFonts w:cs="Times New Roman"/>
              <w:szCs w:val="24"/>
            </w:rPr>
          </w:pPr>
          <w:r>
            <w:rPr>
              <w:rFonts w:cs="Times New Roman"/>
              <w:szCs w:val="24"/>
            </w:rPr>
            <w:t xml:space="preserve">Legal: Legal factors such as safety regulations, emission standards, and </w:t>
          </w:r>
          <w:r>
            <w:rPr>
              <w:rFonts w:cs="Times New Roman"/>
              <w:szCs w:val="24"/>
              <w:lang w:val="en-US"/>
            </w:rPr>
            <w:t>labour</w:t>
          </w:r>
          <w:r>
            <w:rPr>
              <w:rFonts w:cs="Times New Roman"/>
              <w:szCs w:val="24"/>
            </w:rPr>
            <w:t xml:space="preserve"> laws impact Volvo's operations (Yüksel, 2012). The company's commitment to safety, environmental care, and ethical business practices ensures that it is well-equipped to navigate these legal requirements (Volvo Group, 2021).</w:t>
          </w:r>
        </w:p>
        <w:p>
          <w:pPr>
            <w:pStyle w:val="2"/>
          </w:pPr>
          <w:bookmarkStart w:id="5" w:name="_Toc133096806"/>
          <w:r>
            <w:t>Micro-Environment Analysis</w:t>
          </w:r>
          <w:bookmarkEnd w:id="5"/>
        </w:p>
        <w:p>
          <w:pPr>
            <w:spacing w:line="360" w:lineRule="auto"/>
            <w:jc w:val="both"/>
            <w:rPr>
              <w:rFonts w:cs="Times New Roman"/>
              <w:szCs w:val="24"/>
            </w:rPr>
          </w:pPr>
          <w:r>
            <w:rPr>
              <w:rFonts w:cs="Times New Roman"/>
              <w:szCs w:val="24"/>
            </w:rPr>
            <w:t>Micro-Environment Analysis focuses on the factors that are directly related to a company's operations and are generally within its control. These factors can be classified into five main components:</w:t>
          </w:r>
        </w:p>
        <w:p>
          <w:pPr>
            <w:spacing w:line="360" w:lineRule="auto"/>
            <w:jc w:val="both"/>
            <w:rPr>
              <w:rFonts w:cs="Times New Roman"/>
              <w:szCs w:val="24"/>
            </w:rPr>
          </w:pPr>
          <w:r>
            <w:rPr>
              <w:rFonts w:cs="Times New Roman"/>
              <w:szCs w:val="24"/>
            </w:rPr>
            <w:t>Company: A company's internal environment includes its mission, vision, goals, culture, resources, and capabilities. A thorough assessment of these factors can help identify strengths, weaknesses, and areas for improvement.</w:t>
          </w:r>
        </w:p>
        <w:p>
          <w:pPr>
            <w:spacing w:line="360" w:lineRule="auto"/>
            <w:jc w:val="both"/>
            <w:rPr>
              <w:rFonts w:cs="Times New Roman"/>
              <w:szCs w:val="24"/>
            </w:rPr>
          </w:pPr>
          <w:r>
            <w:rPr>
              <w:rFonts w:cs="Times New Roman"/>
              <w:szCs w:val="24"/>
            </w:rPr>
            <w:t xml:space="preserve">Customers: Customers are the primary source of revenue for any business. Analyzing customer needs, preferences, and buying </w:t>
          </w:r>
          <w:r>
            <w:rPr>
              <w:rFonts w:cs="Times New Roman"/>
              <w:szCs w:val="24"/>
              <w:lang w:val="en-US"/>
            </w:rPr>
            <w:t>behaviour</w:t>
          </w:r>
          <w:r>
            <w:rPr>
              <w:rFonts w:cs="Times New Roman"/>
              <w:szCs w:val="24"/>
            </w:rPr>
            <w:t xml:space="preserve"> can help organizations tailor their offerings and marketing strategies to attract and retain customers.</w:t>
          </w:r>
        </w:p>
        <w:p>
          <w:pPr>
            <w:spacing w:line="360" w:lineRule="auto"/>
            <w:jc w:val="both"/>
            <w:rPr>
              <w:rFonts w:cs="Times New Roman"/>
              <w:szCs w:val="24"/>
            </w:rPr>
          </w:pPr>
          <w:r>
            <w:rPr>
              <w:rFonts w:cs="Times New Roman"/>
              <w:szCs w:val="24"/>
            </w:rPr>
            <w:t xml:space="preserve">Competitors: Understanding the competitive landscape is crucial for any business to maintain or improve its market position. </w:t>
          </w:r>
          <w:r>
            <w:rPr>
              <w:rFonts w:cs="Times New Roman"/>
              <w:szCs w:val="24"/>
              <w:lang w:val="en-US"/>
            </w:rPr>
            <w:t>Analysing</w:t>
          </w:r>
          <w:r>
            <w:rPr>
              <w:rFonts w:cs="Times New Roman"/>
              <w:szCs w:val="24"/>
            </w:rPr>
            <w:t xml:space="preserve"> competitors' strengths, weaknesses, strategies, and market share can help a company identify opportunities for growth and differentiation.</w:t>
          </w:r>
        </w:p>
        <w:p>
          <w:pPr>
            <w:spacing w:line="360" w:lineRule="auto"/>
            <w:jc w:val="both"/>
            <w:rPr>
              <w:rFonts w:cs="Times New Roman"/>
              <w:szCs w:val="24"/>
            </w:rPr>
          </w:pPr>
          <w:r>
            <w:rPr>
              <w:rFonts w:cs="Times New Roman"/>
              <w:szCs w:val="24"/>
            </w:rPr>
            <w:t>Suppliers: Suppliers provide the necessary resources for a company's production process. Assessing supplier relationships, reliability, and bargaining power can help organizations ensure a smooth supply chain and minimize disruptions.</w:t>
          </w:r>
        </w:p>
        <w:p>
          <w:pPr>
            <w:spacing w:line="360" w:lineRule="auto"/>
            <w:jc w:val="both"/>
            <w:rPr>
              <w:rFonts w:cs="Times New Roman"/>
              <w:szCs w:val="24"/>
            </w:rPr>
          </w:pPr>
          <w:r>
            <w:rPr>
              <w:rFonts w:cs="Times New Roman"/>
              <w:szCs w:val="24"/>
            </w:rPr>
            <w:t>Intermediaries: Intermediaries, such as distributors, retailers, and marketing agencies, play a crucial role in connecting a company's products and services with customers. Analyzing these relationships and their effectiveness can help businesses optimize their distribution and marketing strategies.</w:t>
          </w:r>
        </w:p>
        <w:p>
          <w:pPr>
            <w:spacing w:line="360" w:lineRule="auto"/>
            <w:jc w:val="both"/>
            <w:rPr>
              <w:rFonts w:cs="Times New Roman"/>
              <w:szCs w:val="24"/>
            </w:rPr>
          </w:pPr>
          <w:r>
            <w:rPr>
              <w:rFonts w:cs="Times New Roman"/>
              <w:szCs w:val="24"/>
            </w:rPr>
            <w:t>In conclusion, Macro-Environment Analysis and Micro-Environment Analysis are vital tools for businesses to understand the various factors that may influence their performance. By conducting these analyses, companies can identify opportunities and threats, develop appropriate strategies, and improve their competitive advantage.</w:t>
          </w:r>
        </w:p>
        <w:p>
          <w:pPr>
            <w:pStyle w:val="3"/>
          </w:pPr>
          <w:bookmarkStart w:id="6" w:name="_Toc133096807"/>
          <w:r>
            <w:t>Industry Life Cycle</w:t>
          </w:r>
          <w:bookmarkEnd w:id="6"/>
        </w:p>
        <w:p>
          <w:pPr>
            <w:spacing w:line="360" w:lineRule="auto"/>
            <w:jc w:val="both"/>
            <w:rPr>
              <w:rFonts w:cs="Times New Roman"/>
              <w:szCs w:val="24"/>
            </w:rPr>
          </w:pPr>
          <w:r>
            <w:rPr>
              <w:rFonts w:cs="Times New Roman"/>
              <w:szCs w:val="24"/>
            </w:rPr>
            <w:t xml:space="preserve">The </w:t>
          </w:r>
          <w:r>
            <w:rPr>
              <w:rFonts w:cs="Times New Roman"/>
              <w:szCs w:val="24"/>
              <w:lang w:val="en-US"/>
            </w:rPr>
            <w:t>auto-mobile</w:t>
          </w:r>
          <w:r>
            <w:rPr>
              <w:rFonts w:cs="Times New Roman"/>
              <w:szCs w:val="24"/>
            </w:rPr>
            <w:t xml:space="preserve"> industry is currently in the mature stage of its life cycle, characterized by intense competition, slow growth, and market saturation (Yüksel, 2012). However, the shift towards electric vehicles (EVs) and sustainable mobility solutions has given the industry a new lease on life, creating opportunities for growth and innovation (Caniato et al., 2015). Volvo's strong focus on electrification and sustainability positions the company well to capitalize on these opportunities and drive growth in a rapidly evolving industry landscape (Volvo Cars, 2020).</w:t>
          </w:r>
        </w:p>
        <w:p>
          <w:pPr>
            <w:spacing w:line="360" w:lineRule="auto"/>
            <w:jc w:val="both"/>
            <w:rPr>
              <w:rFonts w:cs="Times New Roman"/>
              <w:szCs w:val="24"/>
            </w:rPr>
          </w:pPr>
          <w:r>
            <w:rPr>
              <w:rFonts w:cs="Times New Roman"/>
              <w:szCs w:val="24"/>
            </w:rPr>
            <w:t xml:space="preserve">The industry life cycle is a model that describes the stages an industry typically passes through as it evolves and matures over time. This concept is crucial for businesses, investors, and </w:t>
          </w:r>
          <w:r>
            <w:rPr>
              <w:rFonts w:cs="Times New Roman"/>
              <w:szCs w:val="24"/>
              <w:lang w:val="en-US"/>
            </w:rPr>
            <w:t>policy-makers</w:t>
          </w:r>
          <w:r>
            <w:rPr>
              <w:rFonts w:cs="Times New Roman"/>
              <w:szCs w:val="24"/>
            </w:rPr>
            <w:t xml:space="preserve"> to understand the dynamics of an industry and make informed decisions. The life cycle consists of four primary stages: introduction, growth, maturity, and decline.</w:t>
          </w:r>
        </w:p>
        <w:p>
          <w:pPr>
            <w:spacing w:line="360" w:lineRule="auto"/>
            <w:jc w:val="both"/>
            <w:rPr>
              <w:rFonts w:cs="Times New Roman"/>
              <w:szCs w:val="24"/>
            </w:rPr>
          </w:pPr>
          <w:r>
            <w:rPr>
              <w:rFonts w:cs="Times New Roman"/>
              <w:szCs w:val="24"/>
            </w:rPr>
            <w:t>Introduction stage: In this initial phase, the industry is characterized by innovation, new products or services, and a limited number of players. Market demand is low, as customers are yet to be aware of the product's existence or its potential benefits. Consequently, sales growth and profitability are also low. Firms in this stage often focus on research and development, investing heavily in marketing to create awareness and generate interest. Barriers to entry are usually high, as pioneer companies possess technological or patent advantages that deter potential competitors.</w:t>
          </w:r>
        </w:p>
        <w:p>
          <w:pPr>
            <w:spacing w:line="360" w:lineRule="auto"/>
            <w:jc w:val="both"/>
            <w:rPr>
              <w:rFonts w:cs="Times New Roman"/>
              <w:szCs w:val="24"/>
            </w:rPr>
          </w:pPr>
        </w:p>
        <w:p>
          <w:pPr>
            <w:spacing w:line="360" w:lineRule="auto"/>
            <w:jc w:val="both"/>
            <w:rPr>
              <w:rFonts w:cs="Times New Roman"/>
              <w:szCs w:val="24"/>
            </w:rPr>
          </w:pPr>
          <w:r>
            <w:rPr>
              <w:rFonts w:cs="Times New Roman"/>
              <w:szCs w:val="24"/>
            </w:rPr>
            <w:t>Growth stage: As the industry gains traction and customers become more familiar with the product or service, demand increases and the market begins to expand rapidly. The growth stage is marked by rising sales, higher profitability, and economies of scale. Competition intensifies as new players enter the market, attracted by the potential for high returns. During this phase, companies focus on expanding their market share, refining their offerings, and improving operational efficiency. Strategic alliances and partnerships may form to capitalize on opportunities and fend off rivals.</w:t>
          </w:r>
        </w:p>
        <w:p>
          <w:pPr>
            <w:spacing w:line="360" w:lineRule="auto"/>
            <w:jc w:val="both"/>
            <w:rPr>
              <w:rFonts w:cs="Times New Roman"/>
              <w:szCs w:val="24"/>
            </w:rPr>
          </w:pPr>
          <w:r>
            <w:rPr>
              <w:rFonts w:cs="Times New Roman"/>
              <w:szCs w:val="24"/>
            </w:rPr>
            <w:t>Maturity stage: At this point, the industry's growth rate begins to slow down as it approaches market saturation. The majority of potential customers have adopted the product or service, and incremental improvements no longer generate significant growth. Competition becomes fierce, leading to price wars, consolidation, and a focus on cost reduction. In the maturity stage, companies aim to maintain market share by enhancing customer loyalty, product differentiation, and operational efficiency. Mergers and acquisitions are common, as businesses seek to consolidate their positions and increase economies of scale.</w:t>
          </w:r>
        </w:p>
        <w:p>
          <w:pPr>
            <w:spacing w:line="360" w:lineRule="auto"/>
            <w:jc w:val="both"/>
            <w:rPr>
              <w:rFonts w:cs="Times New Roman"/>
              <w:szCs w:val="24"/>
            </w:rPr>
          </w:pPr>
          <w:r>
            <w:rPr>
              <w:rFonts w:cs="Times New Roman"/>
              <w:szCs w:val="24"/>
            </w:rPr>
            <w:t>Decline stage: Finally, the industry enters a decline phase, characterized by a decrease in demand, sales, and profitability. This decline can be attributed to several factors, including market saturation, technological obsolescence, changing consumer preferences, or the emergence of substitutes. In this stage, companies must make strategic decisions to either exit the industry or attempt to revitalize their offerings through innovation, diversification, or market segmentation. Cost-cutting measures, downsizing, and divestitures are typical responses to the challenges posed by the decline stage.</w:t>
          </w:r>
        </w:p>
        <w:p>
          <w:pPr>
            <w:spacing w:line="360" w:lineRule="auto"/>
            <w:jc w:val="both"/>
            <w:rPr>
              <w:rFonts w:cs="Times New Roman"/>
              <w:szCs w:val="24"/>
            </w:rPr>
          </w:pPr>
          <w:r>
            <w:rPr>
              <w:rFonts w:cs="Times New Roman"/>
              <w:szCs w:val="24"/>
            </w:rPr>
            <w:t xml:space="preserve">In summary, the industry life cycle is a valuable tool for understanding the evolution of an industry and its competitive landscape. By identifying the stage an industry is in, businesses can make strategic decisions to optimize their performance and investors can make informed choices on potential opportunities or risks. While not all industries follow this exact pattern, the industry life cycle serves as a useful framework for </w:t>
          </w:r>
          <w:r>
            <w:rPr>
              <w:rFonts w:cs="Times New Roman"/>
              <w:szCs w:val="24"/>
              <w:lang w:val="en-US"/>
            </w:rPr>
            <w:t>analysing</w:t>
          </w:r>
          <w:r>
            <w:rPr>
              <w:rFonts w:cs="Times New Roman"/>
              <w:szCs w:val="24"/>
            </w:rPr>
            <w:t xml:space="preserve"> market dynamics and anticipating future trends.</w:t>
          </w:r>
        </w:p>
        <w:p>
          <w:pPr>
            <w:pStyle w:val="3"/>
          </w:pPr>
          <w:bookmarkStart w:id="7" w:name="_Toc133096808"/>
          <w:r>
            <w:t>Porter’s Industry Five Forces Analysis</w:t>
          </w:r>
          <w:bookmarkEnd w:id="7"/>
        </w:p>
        <w:p>
          <w:pPr>
            <w:spacing w:line="360" w:lineRule="auto"/>
            <w:jc w:val="both"/>
            <w:rPr>
              <w:rFonts w:cs="Times New Roman"/>
              <w:szCs w:val="24"/>
            </w:rPr>
          </w:pPr>
          <w:r>
            <w:rPr>
              <w:rFonts w:cs="Times New Roman"/>
              <w:szCs w:val="24"/>
            </w:rPr>
            <w:t xml:space="preserve">Threat of new entrants: The </w:t>
          </w:r>
          <w:r>
            <w:rPr>
              <w:rFonts w:cs="Times New Roman"/>
              <w:szCs w:val="24"/>
              <w:lang w:val="en-US"/>
            </w:rPr>
            <w:t>auto-mobile</w:t>
          </w:r>
          <w:r>
            <w:rPr>
              <w:rFonts w:cs="Times New Roman"/>
              <w:szCs w:val="24"/>
            </w:rPr>
            <w:t xml:space="preserve"> industry is characterized by high barriers to entry, including significant capital investments, economies of scale, and regulatory requirements (Porter, 2008). However, new entrants in the EV space, such as Tesla and Rivian, have disrupted the industry dynamics, posing a threat to established players like Volvo (Caniato et al., 2015).</w:t>
          </w:r>
        </w:p>
        <w:p>
          <w:pPr>
            <w:spacing w:line="360" w:lineRule="auto"/>
            <w:jc w:val="both"/>
            <w:rPr>
              <w:rFonts w:cs="Times New Roman"/>
              <w:szCs w:val="24"/>
            </w:rPr>
          </w:pPr>
          <w:r>
            <w:rPr>
              <w:rFonts w:cs="Times New Roman"/>
              <w:szCs w:val="24"/>
            </w:rPr>
            <w:t xml:space="preserve">Bargaining power of suppliers: The complexity of </w:t>
          </w:r>
          <w:r>
            <w:rPr>
              <w:rFonts w:cs="Times New Roman"/>
              <w:szCs w:val="24"/>
              <w:lang w:val="en-US"/>
            </w:rPr>
            <w:t>auto-mobile</w:t>
          </w:r>
          <w:r>
            <w:rPr>
              <w:rFonts w:cs="Times New Roman"/>
              <w:szCs w:val="24"/>
            </w:rPr>
            <w:t xml:space="preserve"> manufacturing requires the involvement of numerous suppliers, providing them with some bargaining power (Porter, 2008). However, Volvo's long-standing relationships with suppliers and its focus on vertical integration help mitigate this risk (Volvo Group, 2021).</w:t>
          </w:r>
        </w:p>
        <w:p>
          <w:pPr>
            <w:spacing w:line="360" w:lineRule="auto"/>
            <w:jc w:val="both"/>
            <w:rPr>
              <w:rFonts w:cs="Times New Roman"/>
              <w:szCs w:val="24"/>
            </w:rPr>
          </w:pPr>
          <w:r>
            <w:rPr>
              <w:rFonts w:cs="Times New Roman"/>
              <w:szCs w:val="24"/>
            </w:rPr>
            <w:t xml:space="preserve">Bargaining power of buyers: Consumers in the </w:t>
          </w:r>
          <w:r>
            <w:rPr>
              <w:rFonts w:cs="Times New Roman"/>
              <w:szCs w:val="24"/>
              <w:lang w:val="en-US"/>
            </w:rPr>
            <w:t>auto-mobile</w:t>
          </w:r>
          <w:r>
            <w:rPr>
              <w:rFonts w:cs="Times New Roman"/>
              <w:szCs w:val="24"/>
            </w:rPr>
            <w:t xml:space="preserve"> industry have access to a wide range of options, giving them considerable bargaining power (Porter, 2008). To maintain its competitive edge, Volvo must continue to differentiate itself through innovation, safety, and sustainability (Wilkins &amp; Hill, 2013).</w:t>
          </w:r>
        </w:p>
        <w:p>
          <w:pPr>
            <w:spacing w:line="360" w:lineRule="auto"/>
            <w:jc w:val="both"/>
            <w:rPr>
              <w:rFonts w:cs="Times New Roman"/>
              <w:szCs w:val="24"/>
            </w:rPr>
          </w:pPr>
          <w:r>
            <w:rPr>
              <w:rFonts w:cs="Times New Roman"/>
              <w:szCs w:val="24"/>
            </w:rPr>
            <w:t xml:space="preserve">Threat of substitute products: The growing popularity of alternative modes of transportation, such as ride-sharing services and public transportation, poses a threat to the </w:t>
          </w:r>
          <w:r>
            <w:rPr>
              <w:rFonts w:cs="Times New Roman"/>
              <w:szCs w:val="24"/>
              <w:lang w:val="en-US"/>
            </w:rPr>
            <w:t>auto-mobile</w:t>
          </w:r>
          <w:r>
            <w:rPr>
              <w:rFonts w:cs="Times New Roman"/>
              <w:szCs w:val="24"/>
            </w:rPr>
            <w:t xml:space="preserve"> industry (Caniato et al., 2015). Volvo's investment in new technologies and business models, such as car-sharing services, helps the company adapt to these changing market dynamics (Volvo Cars, 2020).</w:t>
          </w:r>
        </w:p>
        <w:p>
          <w:pPr>
            <w:spacing w:line="360" w:lineRule="auto"/>
            <w:jc w:val="both"/>
            <w:rPr>
              <w:rFonts w:cs="Times New Roman"/>
              <w:szCs w:val="24"/>
            </w:rPr>
          </w:pPr>
          <w:r>
            <w:rPr>
              <w:rFonts w:cs="Times New Roman"/>
              <w:szCs w:val="24"/>
            </w:rPr>
            <w:t xml:space="preserve">Competitive rivalry: The </w:t>
          </w:r>
          <w:r>
            <w:rPr>
              <w:rFonts w:cs="Times New Roman"/>
              <w:szCs w:val="24"/>
              <w:lang w:val="en-US"/>
            </w:rPr>
            <w:t>auto-mobile</w:t>
          </w:r>
          <w:r>
            <w:rPr>
              <w:rFonts w:cs="Times New Roman"/>
              <w:szCs w:val="24"/>
            </w:rPr>
            <w:t xml:space="preserve"> industry is highly competitive, with established players like BMW, Mercedes-Benz, and Audi vying for market share (Porter, 2008). Volvo's strong brand, focus on innovation, and commitment to sustainability enable it to differentiate itself from competitors and maintain its position in the market (Wilkins &amp; Hill, 2013).</w:t>
          </w:r>
        </w:p>
        <w:p>
          <w:pPr>
            <w:pStyle w:val="2"/>
          </w:pPr>
          <w:bookmarkStart w:id="8" w:name="_Toc133096809"/>
          <w:r>
            <w:t>Internal Analysis</w:t>
          </w:r>
          <w:bookmarkEnd w:id="8"/>
        </w:p>
        <w:p>
          <w:pPr>
            <w:spacing w:line="360" w:lineRule="auto"/>
            <w:jc w:val="both"/>
          </w:pPr>
          <w:r>
            <w:t>The internal analysis of Volvo Cars provides a comprehensive view of the company's strengths and weaknesses. The analysis takes into consideration the company's strategic resources and capabilities, which are essential to achieve its mission and objectives.</w:t>
          </w:r>
        </w:p>
        <w:p>
          <w:pPr>
            <w:spacing w:line="360" w:lineRule="auto"/>
            <w:jc w:val="both"/>
          </w:pPr>
          <w:r>
            <w:t xml:space="preserve">Resource-based view (RBV) is a useful framework to </w:t>
          </w:r>
          <w:r>
            <w:rPr>
              <w:lang w:val="en-US"/>
            </w:rPr>
            <w:t>analyse</w:t>
          </w:r>
          <w:r>
            <w:t xml:space="preserve"> Volvo Cars' internal environment. RBV emphasizes the importance of valuable, rare, inimitable, and non-substitutable (VRIN) resources in gaining a competitive advantage (Barney, 1991). In this context, Volvo Cars' strategic resources include its strong brand reputation, skilled workforce, R&amp;D capabilities, and extensive distribution network.</w:t>
          </w:r>
        </w:p>
        <w:p>
          <w:pPr>
            <w:pStyle w:val="3"/>
          </w:pPr>
          <w:bookmarkStart w:id="9" w:name="_Toc133096810"/>
          <w:r>
            <w:t>Volvo’s Strategic Resources and Capabilities</w:t>
          </w:r>
          <w:bookmarkEnd w:id="9"/>
        </w:p>
        <w:p>
          <w:pPr>
            <w:spacing w:line="360" w:lineRule="auto"/>
            <w:jc w:val="both"/>
          </w:pPr>
          <w:r>
            <w:t>Brand: Volvo's strong brand, rooted in its core values of safety, quality, and environmental care, is a key resource for the company (Wilkins &amp; Hill, 2013). The brand enables Volvo to command premium pricing and enjoy customer loyalty, driving growth and profitability (Volvo Group, 2021).</w:t>
          </w:r>
        </w:p>
        <w:p>
          <w:pPr>
            <w:spacing w:line="360" w:lineRule="auto"/>
            <w:jc w:val="both"/>
          </w:pPr>
          <w:r>
            <w:t xml:space="preserve">Innovation: Volvo's commitment to R&amp;D and innovation has resulted in numerous industry-first safety features, advanced </w:t>
          </w:r>
          <w:r>
            <w:rPr>
              <w:lang w:val="en-US"/>
            </w:rPr>
            <w:t>power-train</w:t>
          </w:r>
          <w:r>
            <w:t xml:space="preserve"> technologies, and cutting-edge design (Volvo Group, 2021). This culture of innovation is a critical capability that differentiates Volvo from its competitors and sustains its competitive advantage (Wilkins &amp; Hill, 2013).</w:t>
          </w:r>
        </w:p>
        <w:p>
          <w:pPr>
            <w:spacing w:line="360" w:lineRule="auto"/>
            <w:jc w:val="both"/>
          </w:pPr>
          <w:r>
            <w:t>Sustainability: Volvo's focus on sustainability and environmental care is evident in its ambitious electrification strategy and commitment to carbon neutrality (Volvo Cars, 2020). This strategic focus on sustainability not only appeals to environmentally conscious consumers but also positions the company as a responsible player in the industry (Caniato et al., 2015).</w:t>
          </w:r>
        </w:p>
        <w:p>
          <w:pPr>
            <w:spacing w:line="360" w:lineRule="auto"/>
            <w:jc w:val="both"/>
          </w:pPr>
          <w:r>
            <w:t xml:space="preserve">Global presence: Volvo's extensive manufacturing and distribution network, spanning across multiple continents, allows the company to maintain a strong global presence (Volvo Group, 2021). This international reach enables Volvo to tap into emerging markets and diversify its operations, reducing risks associated with </w:t>
          </w:r>
          <w:r>
            <w:rPr>
              <w:lang w:val="en-US"/>
            </w:rPr>
            <w:t>over dependence</w:t>
          </w:r>
          <w:r>
            <w:t xml:space="preserve"> on any single market.</w:t>
          </w:r>
        </w:p>
        <w:p>
          <w:pPr>
            <w:pStyle w:val="3"/>
          </w:pPr>
          <w:bookmarkStart w:id="10" w:name="_Toc133096811"/>
          <w:r>
            <w:t>Value Chain Analysis</w:t>
          </w:r>
          <w:bookmarkEnd w:id="10"/>
          <w:r>
            <w:tab/>
          </w:r>
        </w:p>
        <w:p>
          <w:pPr>
            <w:spacing w:line="360" w:lineRule="auto"/>
            <w:jc w:val="both"/>
          </w:pPr>
          <w:r>
            <w:t>Value chain analysis allows us to examine how Volvo Cars creates value through its primary and secondary activities. The primary activities include inbound logistics, operations, outbound logistics, marketing and sales, and service. Secondary activities include procurement, technology development, human resource management, and firm infrastructure (Porter, 1985).</w:t>
          </w:r>
        </w:p>
        <w:p>
          <w:pPr>
            <w:pStyle w:val="4"/>
          </w:pPr>
          <w:bookmarkStart w:id="11" w:name="_Toc133096812"/>
          <w:r>
            <w:t>Primary Activities</w:t>
          </w:r>
          <w:bookmarkEnd w:id="11"/>
        </w:p>
        <w:p>
          <w:pPr>
            <w:spacing w:line="360" w:lineRule="auto"/>
            <w:jc w:val="both"/>
          </w:pPr>
          <w:r>
            <w:t>Inbound logistics: Volvo's long-standing relationships with suppliers and its focus on vertical integration ensure efficient sourcing of raw materials and components, contributing to cost savings and quality control (Volvo Group, 2021).</w:t>
          </w:r>
        </w:p>
        <w:p>
          <w:pPr>
            <w:spacing w:line="360" w:lineRule="auto"/>
            <w:jc w:val="both"/>
          </w:pPr>
          <w:r>
            <w:t>Operations: Volvo's manufacturing facilities are strategically located in key markets, allowing for optimal production efficiency and reduced transportation costs (Volvo Group, 2021). The company also invests in advanced manufacturing technologies and lean production methodologies to improve operational efficiency (Cremer, 2020).</w:t>
          </w:r>
        </w:p>
        <w:p>
          <w:pPr>
            <w:spacing w:line="360" w:lineRule="auto"/>
            <w:jc w:val="both"/>
          </w:pPr>
          <w:r>
            <w:t>Outbound logistics: Volvo's extensive global distribution network, including dealerships and service center</w:t>
          </w:r>
          <w:r>
            <w:rPr>
              <w:rFonts w:hint="default"/>
              <w:lang w:val="en-US"/>
            </w:rPr>
            <w:t>’</w:t>
          </w:r>
          <w:r>
            <w:t>s, ensures that its products reach customers in a timely and efficient manner (Volvo Group, 2021).</w:t>
          </w:r>
        </w:p>
        <w:p>
          <w:pPr>
            <w:spacing w:line="360" w:lineRule="auto"/>
            <w:jc w:val="both"/>
          </w:pPr>
          <w:r>
            <w:t>Marketing and sales: Volvo's marketing and sales activities focus on promoting the company's core values of safety, quality, and environmental care, enabling it to differentiate itself in a competitive market (Wilkins &amp; Hill, 2013). The company also invests in digital marketing and e-commerce platforms to enhance customer experience and drive sales (Volvo Cars, 2020).</w:t>
          </w:r>
        </w:p>
        <w:p>
          <w:pPr>
            <w:spacing w:line="360" w:lineRule="auto"/>
            <w:jc w:val="both"/>
          </w:pPr>
          <w:r>
            <w:t>Service: Volvo's commitment to customer satisfaction is reflected in its comprehensive after-sales services, including maintenance, repairs, and warranty coverage (Volvo Group, 2021). This focus on customer service helps build customer loyalty and enhance the overall ownership experience.</w:t>
          </w:r>
          <w:r>
            <w:tab/>
          </w:r>
        </w:p>
        <w:p>
          <w:pPr>
            <w:pStyle w:val="4"/>
          </w:pPr>
          <w:bookmarkStart w:id="12" w:name="_Toc133096813"/>
          <w:r>
            <w:t>Secondary Activities</w:t>
          </w:r>
          <w:bookmarkEnd w:id="12"/>
        </w:p>
        <w:p>
          <w:pPr>
            <w:spacing w:line="360" w:lineRule="auto"/>
            <w:jc w:val="both"/>
          </w:pPr>
          <w:bookmarkStart w:id="13" w:name="_Hlk129508410"/>
          <w:r>
            <w:t>Procurement: Volvo's strategic procurement initiatives, such as supplier collaboration and long-term agreements, help the company secure high-quality components at competitive prices (Volvo Group, 2021).</w:t>
          </w:r>
        </w:p>
        <w:p>
          <w:pPr>
            <w:spacing w:line="360" w:lineRule="auto"/>
            <w:jc w:val="both"/>
          </w:pPr>
          <w:r>
            <w:t>Technology development: Volvo's investments in R&amp;D and innovation are critical to maintaining its competitive edge in a rapidly evolving industry (Wilkins &amp; Hill, 2013). The company's R&amp;D efforts focus on areas such as electrification, autonomous driving, and connectivity, positioning it at the forefront of industry trends (Volvo Cars, 2020).</w:t>
          </w:r>
        </w:p>
        <w:p>
          <w:pPr>
            <w:spacing w:line="360" w:lineRule="auto"/>
            <w:jc w:val="both"/>
          </w:pPr>
          <w:r>
            <w:t>Human resource management: Volvo's skilled workforce and strong corporate culture, rooted in its core values, are vital to the company's success (Volvo Group, 2021). The company invests in employee development and training to ensure that its workforce remains highly skilled and motivated (Volvo Cars, 2020).</w:t>
          </w:r>
        </w:p>
        <w:p>
          <w:pPr>
            <w:spacing w:line="360" w:lineRule="auto"/>
            <w:jc w:val="both"/>
          </w:pPr>
          <w:r>
            <w:t>Infrastructure: Volvo's global operations require a robust infrastructure, including manufacturing facilities, distribution networks, and corporate offices (Volvo Group, 2021). The company's investments in infrastructure help support its growth and expansion plans in key markets (Cremer, 2020).</w:t>
          </w:r>
        </w:p>
        <w:bookmarkEnd w:id="13"/>
        <w:p>
          <w:pPr>
            <w:pStyle w:val="3"/>
          </w:pPr>
          <w:bookmarkStart w:id="14" w:name="_Toc133096814"/>
          <w:r>
            <w:t>VRIO Analysis of Distinctive Resources and Capabilities</w:t>
          </w:r>
          <w:bookmarkEnd w:id="14"/>
        </w:p>
        <w:p>
          <w:pPr>
            <w:spacing w:line="360" w:lineRule="auto"/>
            <w:jc w:val="both"/>
          </w:pPr>
          <w:r>
            <w:t>Value: Volvo's brand, innovation, and sustainability initiatives create significant value for customers, differentiating the company from its competitors (Wilkins &amp; Hill, 2013).</w:t>
          </w:r>
        </w:p>
        <w:p>
          <w:pPr>
            <w:spacing w:line="360" w:lineRule="auto"/>
            <w:jc w:val="both"/>
          </w:pPr>
          <w:r>
            <w:t>Rarity: While some competitors may also focus on safety, quality, and environmental care, Volvo's strong commitment to these values and its ambitious sustainability goals make its resources and capabilities relatively rare (Volvo Cars, 2020).</w:t>
          </w:r>
        </w:p>
        <w:p>
          <w:pPr>
            <w:spacing w:line="360" w:lineRule="auto"/>
            <w:jc w:val="both"/>
          </w:pPr>
          <w:r>
            <w:rPr>
              <w:lang w:val="en-US"/>
            </w:rPr>
            <w:t>Immutability</w:t>
          </w:r>
          <w:r>
            <w:t>: Volvo's long history of innovation and its strong brand identity make its resources and capabilities difficult for competitors to imitate (Wilkins &amp; Hill, 2013).</w:t>
          </w:r>
        </w:p>
        <w:p>
          <w:pPr>
            <w:spacing w:line="360" w:lineRule="auto"/>
            <w:jc w:val="both"/>
          </w:pPr>
          <w:r>
            <w:t xml:space="preserve">Organization: Volvo's organizational structure and culture support its strategic focus on innovation, sustainability, and customer satisfaction, ensuring that the company effectively </w:t>
          </w:r>
          <w:r>
            <w:rPr>
              <w:lang w:val="en-US"/>
            </w:rPr>
            <w:t>leverage's</w:t>
          </w:r>
          <w:r>
            <w:t xml:space="preserve"> its resources and capabilities to maintain a competitive advantage (Volvo Group, 2021).</w:t>
          </w:r>
        </w:p>
        <w:p>
          <w:pPr>
            <w:pStyle w:val="3"/>
          </w:pPr>
          <w:bookmarkStart w:id="15" w:name="_Toc133096815"/>
          <w:r>
            <w:t>SWOT Analysis</w:t>
          </w:r>
          <w:bookmarkEnd w:id="15"/>
        </w:p>
        <w:p>
          <w:pPr>
            <w:jc w:val="both"/>
          </w:pPr>
          <w:r>
            <w:t>Strengths:</w:t>
          </w:r>
        </w:p>
        <w:p>
          <w:pPr>
            <w:jc w:val="both"/>
          </w:pPr>
          <w:r>
            <w:t>Brand reputation: Volvo has a strong brand image built upon its commitment to safety, quality, and sustainability. This reputation helps the company attract and retain customers.</w:t>
          </w:r>
        </w:p>
        <w:p>
          <w:pPr>
            <w:jc w:val="both"/>
          </w:pPr>
          <w:r>
            <w:t>Safety innovations: Volvo has pioneered several safety features such as the three-point seatbelt, side-impact protection system, and blind-spot information system. These innovations have not only saved lives but also positioned Volvo as a leader in automotive safety.</w:t>
          </w:r>
        </w:p>
        <w:p>
          <w:pPr>
            <w:jc w:val="both"/>
          </w:pPr>
          <w:r>
            <w:t>Sustainability focus: Volvo is committed to reducing its environmental impact and has pledged to become a climate-neutral company by 2040. The company has made significant investments in electric and hybrid vehicles, enhancing its green credentials.</w:t>
          </w:r>
        </w:p>
        <w:p>
          <w:pPr>
            <w:jc w:val="both"/>
          </w:pPr>
          <w:r>
            <w:t>Skilled workforce: Volvo employs a highly skilled and experienced workforce, which has allowed the company to consistently produce high-quality vehicles.</w:t>
          </w:r>
        </w:p>
        <w:p>
          <w:pPr>
            <w:jc w:val="both"/>
          </w:pPr>
          <w:r>
            <w:t>Weaknesses:</w:t>
          </w:r>
        </w:p>
        <w:p>
          <w:pPr>
            <w:jc w:val="both"/>
          </w:pPr>
          <w:r>
            <w:t xml:space="preserve">Limited product range: Volvo's product lineup is relatively small compared to other major </w:t>
          </w:r>
          <w:r>
            <w:rPr>
              <w:lang w:val="en-US"/>
            </w:rPr>
            <w:t>auto-makers</w:t>
          </w:r>
          <w:r>
            <w:t>, which may limit its market share and growth potential.</w:t>
          </w:r>
        </w:p>
        <w:p>
          <w:pPr>
            <w:jc w:val="both"/>
          </w:pPr>
          <w:r>
            <w:t>Higher costs: Volvo's commitment to safety and sustainability often results in higher production costs, which can translate to higher retail prices. This may put the company at a competitive disadvantage in price-sensitive markets.</w:t>
          </w:r>
        </w:p>
        <w:p>
          <w:pPr>
            <w:jc w:val="both"/>
          </w:pPr>
          <w:r>
            <w:t>Dependence on specific markets: Volvo has a significant market presence in Europe and North America, making it vulnerable to economic fluctuations in these regions.</w:t>
          </w:r>
        </w:p>
        <w:p>
          <w:pPr>
            <w:jc w:val="both"/>
          </w:pPr>
          <w:r>
            <w:t>Opportunities:</w:t>
          </w:r>
        </w:p>
        <w:p>
          <w:pPr>
            <w:jc w:val="both"/>
          </w:pPr>
          <w:r>
            <w:t>Electrification: Volvo can capitalize on the growing demand for electric vehicles (EVs) by further expanding its line</w:t>
          </w:r>
          <w:r>
            <w:rPr>
              <w:rFonts w:hint="default"/>
              <w:lang w:val="en-US"/>
            </w:rPr>
            <w:t xml:space="preserve"> </w:t>
          </w:r>
          <w:r>
            <w:t>up of fully electric and hybrid models.</w:t>
          </w:r>
        </w:p>
        <w:p>
          <w:pPr>
            <w:jc w:val="both"/>
          </w:pPr>
          <w:r>
            <w:t>Emerging markets: Expanding into emerging markets like China, India, and Brazil can provide Volvo with new growth opportunities and help diversify its revenue sources.</w:t>
          </w:r>
        </w:p>
        <w:p>
          <w:pPr>
            <w:jc w:val="both"/>
          </w:pPr>
          <w:r>
            <w:t>Autonomous driving technology: Volvo has the opportunity to invest in and develop autonomous driving technologies, which will shape the future of the automotive industry.</w:t>
          </w:r>
        </w:p>
        <w:p>
          <w:pPr>
            <w:jc w:val="both"/>
          </w:pPr>
          <w:r>
            <w:t>Strategic partnerships: Collaborating with other companies, especially in the tech sector, can help Volvo gain access to new technologies, markets, and resources.</w:t>
          </w:r>
        </w:p>
        <w:p>
          <w:pPr>
            <w:jc w:val="both"/>
          </w:pPr>
          <w:r>
            <w:t>Threats:</w:t>
          </w:r>
        </w:p>
        <w:p>
          <w:pPr>
            <w:jc w:val="both"/>
          </w:pPr>
          <w:r>
            <w:t>Intense competition: The automotive industry is highly competitive, with several well-established players such as Toyota, Volkswagen, and General Motors. This competition can make it difficult for Volvo to increase market share and maintain profitability.</w:t>
          </w:r>
        </w:p>
        <w:p>
          <w:pPr>
            <w:jc w:val="both"/>
          </w:pPr>
          <w:r>
            <w:t>Regulatory changes: Stricter environmental regulations and safety standards can increase production costs and may affect the company's profitability.</w:t>
          </w:r>
        </w:p>
        <w:p>
          <w:pPr>
            <w:jc w:val="both"/>
          </w:pPr>
          <w:r>
            <w:t xml:space="preserve">Economic downturns: Economic slowdowns can impact consumer spending on </w:t>
          </w:r>
          <w:r>
            <w:rPr>
              <w:lang w:val="en-US"/>
            </w:rPr>
            <w:t>auto-mobiles</w:t>
          </w:r>
          <w:r>
            <w:t>, leading to reduced demand for Volvo's vehicles.</w:t>
          </w:r>
        </w:p>
        <w:p>
          <w:pPr>
            <w:jc w:val="both"/>
          </w:pPr>
          <w:r>
            <w:t>Technological disruptions: Rapid advancements in technology may render some of Volvo's current products and technologies obsolete, requiring continuous investment in research and development.</w:t>
          </w:r>
        </w:p>
        <w:p>
          <w:pPr>
            <w:jc w:val="both"/>
          </w:pPr>
          <w:r>
            <w:t>In conclusion, Volvo's internal analysis reveals a strong brand reputation, innovative safety features, and a commitment to sustainability as its core strengths. However, the company faces challenges in its limited product range, higher costs, and dependence on specific markets. By capitalizing on opportunities in electrification, emerging markets, and autonomous driving technology, while addressing its weaknesses, Volvo can continue to thrive in the competitive automotive landscape.</w:t>
          </w:r>
        </w:p>
        <w:p>
          <w:pPr>
            <w:pStyle w:val="2"/>
          </w:pPr>
          <w:bookmarkStart w:id="16" w:name="_Toc133096816"/>
          <w:r>
            <w:t>Strategies to Sustain Competitive Advantage</w:t>
          </w:r>
          <w:bookmarkEnd w:id="16"/>
        </w:p>
        <w:p>
          <w:pPr>
            <w:spacing w:after="160" w:line="360" w:lineRule="auto"/>
            <w:jc w:val="both"/>
          </w:pPr>
          <w:r>
            <w:t>To maintain its competitive advantage in the automotive industry, Volvo must employ strategic approaches that align with its core values and leverage its distinctive resources and capabilities. Several strategic analyses, such as Porter's Generic Strategy, can be applied to identify the most effective strategies for the company.</w:t>
          </w:r>
        </w:p>
        <w:p>
          <w:pPr>
            <w:spacing w:after="160" w:line="360" w:lineRule="auto"/>
            <w:jc w:val="both"/>
          </w:pPr>
          <w:r>
            <w:t>Focused differentiation strategy (Porter's Generic Strategy): Volvo should continue to emphasize its core values of safety, quality, and environmental care, which differentiate the company from its competitors (Porter, 2008). By focusing on these values, Volvo can attract customers who prioritize these attributes and are willing to pay a premium for vehicles that embody them (Wilkins &amp; Hill, 2013).</w:t>
          </w:r>
        </w:p>
        <w:p>
          <w:pPr>
            <w:spacing w:after="160" w:line="360" w:lineRule="auto"/>
            <w:jc w:val="both"/>
          </w:pPr>
          <w:r>
            <w:t>Strengthening innovation capabilities: Volvo must continue to invest in research and development to drive innovation in areas such as electrification, autonomous driving, and connectivity (Volvo Group, 2021). Developing cutting-edge technologies and integrating them into its vehicles will help the company maintain its competitive advantage in a rapidly evolving industry (Wilkins &amp; Hill, 2013).</w:t>
          </w:r>
        </w:p>
        <w:p>
          <w:pPr>
            <w:spacing w:after="160" w:line="360" w:lineRule="auto"/>
            <w:jc w:val="both"/>
          </w:pPr>
          <w:r>
            <w:t>Expanding global presence: To capitalize on growth opportunities in emerging markets and reduce dependency on specific regions, Volvo should expand its global presence by strategically entering new markets and strengthening its position in existing ones (Volvo Group, 2021). By targeting markets with increasing demand for premium and environmentally friendly vehicles, the company can further solidify its competitive advantage (Cremer, 2020).</w:t>
          </w:r>
        </w:p>
        <w:p>
          <w:pPr>
            <w:spacing w:after="160" w:line="360" w:lineRule="auto"/>
            <w:jc w:val="both"/>
          </w:pPr>
          <w:r>
            <w:t>Enhancing customer experience: Volvo can differentiate itself by focusing on enhancing the overall customer experience, including pre-sale interactions, after-sales support, and digital touchpoints (Volvo Cars, 2020). By investing in dealership networks, online sales platforms, and customer support services, the company can foster customer loyalty and encourage repeat purchases (Wilkins &amp; Hill, 2013).</w:t>
          </w:r>
        </w:p>
        <w:p>
          <w:pPr>
            <w:spacing w:after="160" w:line="360" w:lineRule="auto"/>
            <w:jc w:val="both"/>
          </w:pPr>
          <w:r>
            <w:t>Building strategic partnerships and collaborations: Forming strategic alliances with technology companies, suppliers, and other industry stakeholders can help Volvo access new technologies, reduce costs, and accelerate growth (Cremer, 2020). These partnerships can also facilitate knowledge sharing and create synergies, enabling the company to stay ahead of industry trends and maintain its competitive advantage.</w:t>
          </w:r>
        </w:p>
        <w:p>
          <w:pPr>
            <w:spacing w:after="160" w:line="360" w:lineRule="auto"/>
            <w:jc w:val="both"/>
          </w:pPr>
          <w:r>
            <w:t>Diversification of product offerings: Volvo should continue to diversify its product portfolio to cater to various customer segments and preferences (Volvo Cars, 2020). By offering a comprehensive range of vehicles, including electric and hybrid models, the company can attract a wider audience and strengthen its market position.</w:t>
          </w:r>
        </w:p>
        <w:p>
          <w:pPr>
            <w:spacing w:after="160" w:line="360" w:lineRule="auto"/>
            <w:jc w:val="both"/>
          </w:pPr>
          <w:r>
            <w:t>Emphasis on sustainability initiatives: As consumers become more environmentally conscious, Volvo's commitment to sustainability can serve as a key differentiator (Caniato et al., 2015). By continuing to set ambitious sustainability goals, such as its plan to become a fully electric car company by 2030 (Volvo Cars, 2020), Volvo can reinforce its image as an environmentally responsible brand and appeal to a growing market segment.</w:t>
          </w:r>
        </w:p>
        <w:p>
          <w:pPr>
            <w:spacing w:after="160" w:line="360" w:lineRule="auto"/>
            <w:jc w:val="both"/>
          </w:pPr>
          <w:r>
            <w:t>By adopting these strategies, Volvo can sustain its competitive advantage in the dynamic automotive industry and continue to deliver value to its customers, shareholders, and other stakeholders.</w:t>
          </w:r>
        </w:p>
        <w:p>
          <w:pPr>
            <w:pStyle w:val="2"/>
          </w:pPr>
          <w:bookmarkStart w:id="17" w:name="_Toc133096817"/>
          <w:r>
            <w:t>Growth Strategies</w:t>
          </w:r>
          <w:bookmarkEnd w:id="17"/>
        </w:p>
        <w:p>
          <w:pPr>
            <w:spacing w:after="160" w:line="360" w:lineRule="auto"/>
            <w:jc w:val="both"/>
          </w:pPr>
          <w:r>
            <w:t>To achieve sustainable growth and maintain a competitive advantage, Volvo should consider a combination of growth strategies, leveraging various strategic frameworks such as the Ansoff Matrix, international strategies, and entry mode strategies.</w:t>
          </w:r>
        </w:p>
        <w:p>
          <w:pPr>
            <w:spacing w:after="160" w:line="360" w:lineRule="auto"/>
            <w:jc w:val="both"/>
          </w:pPr>
          <w:r>
            <w:t>Ansoff Matrix</w:t>
          </w:r>
        </w:p>
        <w:p>
          <w:pPr>
            <w:spacing w:after="160" w:line="360" w:lineRule="auto"/>
            <w:jc w:val="both"/>
          </w:pPr>
          <w:r>
            <w:t>The Ansoff Matrix is a strategic planning tool that helps businesses identify different growth strategies based on market and product dimensions. It comprises four quadrants: market penetration, market development, product development, and diversification.</w:t>
          </w:r>
        </w:p>
        <w:p>
          <w:pPr>
            <w:spacing w:after="160" w:line="360" w:lineRule="auto"/>
            <w:jc w:val="both"/>
          </w:pPr>
          <w:r>
            <w:t>a. Market Penetration: Volvo should focus on increasing its market share in existing markets by enhancing customer loyalty and brand awareness through targeted marketing campaigns and promotions. For instance, Volvo could emphasize its safety features, environmental initiatives, and technological innovations to attract more customers.</w:t>
          </w:r>
        </w:p>
        <w:p>
          <w:pPr>
            <w:spacing w:after="160" w:line="360" w:lineRule="auto"/>
            <w:jc w:val="both"/>
          </w:pPr>
          <w:r>
            <w:t>b. Market Development: The company can explore opportunities in new geographic markets, particularly in Asia and Latin America, where the demand for premium vehicles is growing. To do this, Volvo could establish strategic partnerships with local companies or invest in local production facilities to better cater to regional market needs.</w:t>
          </w:r>
        </w:p>
        <w:p>
          <w:pPr>
            <w:spacing w:after="160" w:line="360" w:lineRule="auto"/>
            <w:jc w:val="both"/>
          </w:pPr>
          <w:r>
            <w:t>c. Product Development: Volvo should continue expanding its product portfolio, particularly in the electric vehicle segment, to cater to diverse customer needs and preferences. By offering a wider range of electric vehicles at different price points, Volvo can capture a larger share of the growing EV market.</w:t>
          </w:r>
        </w:p>
        <w:p>
          <w:pPr>
            <w:spacing w:after="160" w:line="360" w:lineRule="auto"/>
            <w:jc w:val="both"/>
          </w:pPr>
          <w:r>
            <w:t>d. Diversification: Volvo can consider diversifying its business by venturing into related industries such as automotive software, autonomous driving technologies, or even mobility-as-a-service (MaaS) offerings. By expanding into new product and service categories, Volvo can reduce its reliance on traditional vehicle sales and position itself for long-term growth in the evolving automotive landscape.</w:t>
          </w:r>
        </w:p>
        <w:p>
          <w:pPr>
            <w:spacing w:after="160" w:line="360" w:lineRule="auto"/>
            <w:jc w:val="both"/>
          </w:pPr>
        </w:p>
        <w:p>
          <w:pPr>
            <w:spacing w:after="160" w:line="360" w:lineRule="auto"/>
            <w:jc w:val="both"/>
          </w:pPr>
          <w:r>
            <w:t>International Strategies</w:t>
          </w:r>
        </w:p>
        <w:p>
          <w:pPr>
            <w:spacing w:after="160" w:line="360" w:lineRule="auto"/>
            <w:jc w:val="both"/>
          </w:pPr>
          <w:r>
            <w:t>In order to tap into emerging markets and exploit growth opportunities, Volvo should adopt a combination of international strategies:</w:t>
          </w:r>
        </w:p>
        <w:p>
          <w:pPr>
            <w:spacing w:after="160" w:line="360" w:lineRule="auto"/>
            <w:jc w:val="both"/>
          </w:pPr>
          <w:r>
            <w:t xml:space="preserve">a. </w:t>
          </w:r>
          <w:r>
            <w:rPr>
              <w:lang w:val="en-US"/>
            </w:rPr>
            <w:t>Multi domestic</w:t>
          </w:r>
          <w:r>
            <w:t xml:space="preserve"> Strategy: Volvo can tailor its product offerings and marketing strategies to suit the unique preferences and regulations of individual markets. This approach can help the company better cater to local customer needs and increase its chances of success in diverse markets.</w:t>
          </w:r>
        </w:p>
        <w:p>
          <w:pPr>
            <w:spacing w:after="160" w:line="360" w:lineRule="auto"/>
            <w:jc w:val="both"/>
          </w:pPr>
          <w:r>
            <w:t xml:space="preserve">b. Global Strategy: Volvo can leverage its global brand reputation and technological capabilities to create a standardized product </w:t>
          </w:r>
          <w:r>
            <w:rPr>
              <w:lang w:val="en-US"/>
            </w:rPr>
            <w:t>line-up</w:t>
          </w:r>
          <w:r>
            <w:t xml:space="preserve"> that appeals to customers worldwide. This approach can lead to economies of scale and cost efficiencies across the company's operations.</w:t>
          </w:r>
        </w:p>
        <w:p>
          <w:pPr>
            <w:spacing w:after="160" w:line="360" w:lineRule="auto"/>
            <w:jc w:val="both"/>
          </w:pPr>
          <w:r>
            <w:t xml:space="preserve">c. Transnational Strategy: A hybrid approach, combining elements of both </w:t>
          </w:r>
          <w:r>
            <w:rPr>
              <w:lang w:val="en-US"/>
            </w:rPr>
            <w:t>multi domestic</w:t>
          </w:r>
          <w:r>
            <w:t xml:space="preserve"> and global strategies, can help Volvo achieve a balance between local responsiveness and global efficiency. For example, Volvo could develop a core global product </w:t>
          </w:r>
          <w:r>
            <w:rPr>
              <w:lang w:val="en-US"/>
            </w:rPr>
            <w:t>line-up</w:t>
          </w:r>
          <w:r>
            <w:t xml:space="preserve"> while offering region-specific features or models to cater to local market preferences.</w:t>
          </w:r>
        </w:p>
        <w:p>
          <w:pPr>
            <w:spacing w:after="160" w:line="360" w:lineRule="auto"/>
            <w:jc w:val="both"/>
          </w:pPr>
          <w:r>
            <w:t>Entry Mode Strategies</w:t>
          </w:r>
        </w:p>
        <w:p>
          <w:pPr>
            <w:spacing w:after="160" w:line="360" w:lineRule="auto"/>
            <w:jc w:val="both"/>
          </w:pPr>
          <w:r>
            <w:t>When entering new markets or expanding its presence in existing markets, Volvo should carefully consider various entry mode strategies:</w:t>
          </w:r>
        </w:p>
        <w:p>
          <w:pPr>
            <w:spacing w:after="160" w:line="360" w:lineRule="auto"/>
            <w:jc w:val="both"/>
          </w:pPr>
          <w:r>
            <w:t>a. Exporting: Volvo can leverage its existing manufacturing facilities to export vehicles to new markets. This approach allows the company to test the waters in new regions without significant upfront investment.</w:t>
          </w:r>
        </w:p>
        <w:p>
          <w:pPr>
            <w:spacing w:after="160" w:line="360" w:lineRule="auto"/>
            <w:jc w:val="both"/>
          </w:pPr>
          <w:r>
            <w:t>b. Licensing and Franchising: By licensing its technology or franchising its brand to local partners, Volvo can gain access to new markets with lower investment and risk. This approach can also help the company navigate complex regulations and cultural barriers more effectively.</w:t>
          </w:r>
        </w:p>
        <w:p>
          <w:pPr>
            <w:spacing w:after="160" w:line="360" w:lineRule="auto"/>
            <w:jc w:val="both"/>
          </w:pPr>
          <w:r>
            <w:t>c. Joint Ventures and Strategic Alliances: Forming partnerships with local companies or industry stakeholders can help Volvo access new markets, share risks, and pool resources. These partnerships can also provide valuable local market knowledge and distribution networks, increasing the likelihood of success.</w:t>
          </w:r>
        </w:p>
        <w:p>
          <w:pPr>
            <w:spacing w:after="160" w:line="360" w:lineRule="auto"/>
            <w:jc w:val="both"/>
          </w:pPr>
          <w:r>
            <w:t>d. Acquisitions and Greenfield Investments: Volvo can consider acquiring existing local competitors or establishing new production facilities in target markets. While this approach may require significant investment, it can provide the company with greater control over its operations and a stronger market presence.</w:t>
          </w:r>
        </w:p>
        <w:p>
          <w:pPr>
            <w:pStyle w:val="2"/>
          </w:pPr>
          <w:bookmarkStart w:id="18" w:name="_Toc133096818"/>
          <w:r>
            <w:t>Green Strategy and CSR</w:t>
          </w:r>
          <w:bookmarkEnd w:id="18"/>
        </w:p>
        <w:p>
          <w:pPr>
            <w:spacing w:line="360" w:lineRule="auto"/>
            <w:jc w:val="both"/>
          </w:pPr>
          <w:r>
            <w:t>Volvo's commitment to sustainability and environmental care is central to its business strategy and corporate identity. The company's green strategy and corporate social responsibility (CSR) initiatives are designed to reduce its environmental impact, promote sustainable practices, and create shared value for stakeholders. Key elements of Volvo's green strategy and CSR initiatives include:</w:t>
          </w:r>
        </w:p>
        <w:p>
          <w:pPr>
            <w:spacing w:line="360" w:lineRule="auto"/>
            <w:jc w:val="both"/>
          </w:pPr>
          <w:r>
            <w:t>Electrification: Volvo aims to have 50% of its global sales come from fully electric vehicles by 2025 and become a fully electric car company by 2030 (Volvo Cars, 2020). This ambitious electrification strategy reflects the company's commitment to reducing greenhouse gas emissions and promoting clean transportation solutions.</w:t>
          </w:r>
        </w:p>
        <w:p>
          <w:pPr>
            <w:spacing w:line="360" w:lineRule="auto"/>
            <w:jc w:val="both"/>
          </w:pPr>
          <w:r>
            <w:t>Carbon neutrality: The company has set a target to become a climate-neutral company by 2040, through initiatives such as reducing its operational carbon footprint, enhancing energy efficiency in its facilities, and promoting renewable energy sources (Volvo Cars, 2020). Volvo also collaborates with its suppliers to encourage sustainable practices throughout its supply chain (Volvo Group, 2021).</w:t>
          </w:r>
        </w:p>
        <w:p>
          <w:pPr>
            <w:spacing w:line="360" w:lineRule="auto"/>
            <w:jc w:val="both"/>
          </w:pPr>
          <w:r>
            <w:t>Circular economy: Volvo is working on incorporating circular economy principles into its operations, including designing vehicles for easier disassembly and recycling, and promoting the use of recycled materials (Volvo Group, 2021). The company is also exploring innovative business models, such as vehicle leasing and car-sharing services, that promote resource efficiency and extend the life of its products.</w:t>
          </w:r>
        </w:p>
        <w:p>
          <w:pPr>
            <w:spacing w:line="360" w:lineRule="auto"/>
            <w:jc w:val="both"/>
          </w:pPr>
          <w:r>
            <w:t xml:space="preserve">Sustainable supply chain: Volvo is committed to fostering responsible supply chain practices, including ensuring fair </w:t>
          </w:r>
          <w:r>
            <w:rPr>
              <w:lang w:val="en-US"/>
            </w:rPr>
            <w:t>labour</w:t>
          </w:r>
          <w:r>
            <w:t xml:space="preserve"> conditions, promoting environmental stewardship, and enhancing transparency (Volvo Group, 2021). The company engages with its suppliers to ensure compliance with its sustainability standards and provides training and support to help them adopt best practices.</w:t>
          </w:r>
        </w:p>
        <w:p>
          <w:pPr>
            <w:spacing w:line="360" w:lineRule="auto"/>
            <w:jc w:val="both"/>
          </w:pPr>
          <w:r>
            <w:t>Community engagement: Volvo actively participates in community development projects and supports various social and environmental initiatives in the regions where it operates (Volvo Group, 2021). The company invests in education, health, and environmental programs, and encourages employee volunteering to foster positive change in local communities.</w:t>
          </w:r>
        </w:p>
        <w:p>
          <w:pPr>
            <w:spacing w:line="360" w:lineRule="auto"/>
            <w:jc w:val="both"/>
          </w:pPr>
          <w:r>
            <w:t>Employee well-being and diversity: Volvo is dedicated to providing a safe, inclusive, and diverse work environment for its employees, recognizing that a diverse workforce drives innovation and contributes to the company's success (Volvo Group, 2021). The company invests in employee development and training programs, promotes equal opportunities, and maintains high standards for occupational health and safety.</w:t>
          </w:r>
        </w:p>
        <w:p>
          <w:pPr>
            <w:spacing w:line="360" w:lineRule="auto"/>
            <w:jc w:val="both"/>
          </w:pPr>
          <w:r>
            <w:t>By integrating sustainability and CSR initiatives into its core business strategy, Volvo is positioning itself as a responsible industry leader and creating long-term value for its stakeholders, including customers, employees, suppliers, and shareholders. This commitment to sustainability and corporate responsibility not only enhances Volvo's brand reputation but also drives innovation and fosters resilience in the face of industry challenges and emerging trends.</w:t>
          </w:r>
        </w:p>
        <w:p>
          <w:pPr>
            <w:pStyle w:val="2"/>
          </w:pPr>
          <w:bookmarkStart w:id="19" w:name="_Toc133096819"/>
          <w:r>
            <w:t>Conclusion</w:t>
          </w:r>
          <w:bookmarkEnd w:id="19"/>
        </w:p>
        <w:p>
          <w:pPr>
            <w:jc w:val="both"/>
          </w:pPr>
          <w:r>
            <w:t>In conclusion, Volvo has established itself as a prominent player in the automotive industry with a rich history and a strong commitment to innovation, safety, and sustainability. The company's mission and objectives have guided its strategic direction, with a focus on enhancing the driving experience, promoting environmental responsibility, and ensuring the well-being of its stakeholders. Volvo's macro and micro-environment analyses reveal a complex and dynamic landscape, characterized by rapid technological advancements, evolving consumer preferences, and increasing regulatory pressures.</w:t>
          </w:r>
        </w:p>
        <w:p>
          <w:pPr>
            <w:jc w:val="both"/>
          </w:pPr>
          <w:r>
            <w:t>The PESTEL and Porter's Five Forces analyses have highlighted key external factors that influence Volvo's competitive position, such as government policies, global economic trends, and the competitive rivalry within the industry. In response to these factors, Volvo has invested in electrification, autonomous driving, and connected services, while also prioritizing sustainability and corporate social responsibility initiatives.</w:t>
          </w:r>
        </w:p>
        <w:p>
          <w:pPr>
            <w:jc w:val="both"/>
          </w:pPr>
          <w:r>
            <w:t>The internal analysis, including the value chain, VRIO, and SWOT analyses, have identified Volvo's strategic resources and capabilities that underpin its competitive advantage. The company's strength in research and development, brand reputation, and commitment to sustainability enable it to differentiate itself from competitors and create value for its stakeholders.</w:t>
          </w:r>
        </w:p>
        <w:p>
          <w:pPr>
            <w:jc w:val="both"/>
          </w:pPr>
          <w:r>
            <w:t>To sustain its competitive advantage, Volvo has implemented a range of growth strategies, such as expanding into new markets, enhancing its product portfolio, and forging strategic partnerships. Its green strategy and CSR initiatives further reinforce its commitment to sustainable development and long-term value creation.</w:t>
          </w:r>
        </w:p>
        <w:p>
          <w:pPr>
            <w:pStyle w:val="2"/>
          </w:pPr>
          <w:bookmarkStart w:id="20" w:name="_Toc133096820"/>
          <w:r>
            <w:t>Recommendation</w:t>
          </w:r>
          <w:bookmarkEnd w:id="20"/>
          <w:r>
            <w:t xml:space="preserve"> </w:t>
          </w:r>
        </w:p>
        <w:p>
          <w:pPr>
            <w:spacing w:line="360" w:lineRule="auto"/>
            <w:jc w:val="both"/>
          </w:pPr>
          <w:r>
            <w:t>Based on the analysis conducted, the following recommendations are proposed to support Volvo's continued growth and success in the automotive industry:</w:t>
          </w:r>
        </w:p>
        <w:p>
          <w:pPr>
            <w:spacing w:line="360" w:lineRule="auto"/>
            <w:jc w:val="both"/>
          </w:pPr>
          <w:r>
            <w:t>Accelerate the development and deployment of electric vehicles: To capitalize on the growing demand for environmentally friendly transportation solutions and meet its ambitious electrification targets, Volvo should continue investing in research and development, and accelerate the roll</w:t>
          </w:r>
          <w:r>
            <w:rPr>
              <w:rFonts w:hint="default"/>
              <w:lang w:val="en-US"/>
            </w:rPr>
            <w:t xml:space="preserve"> </w:t>
          </w:r>
          <w:r>
            <w:t xml:space="preserve">out of its electric vehicle </w:t>
          </w:r>
          <w:r>
            <w:rPr>
              <w:lang w:val="en-US"/>
            </w:rPr>
            <w:t>line-up</w:t>
          </w:r>
          <w:r>
            <w:t>.</w:t>
          </w:r>
        </w:p>
        <w:p>
          <w:pPr>
            <w:spacing w:line="360" w:lineRule="auto"/>
            <w:jc w:val="both"/>
          </w:pPr>
          <w:r>
            <w:t>Strengthen strategic partnerships and collaborations: Volvo should forge strategic partnerships and collaborations with technology companies, suppliers, and other industry stakeholders to drive innovation, enhance its supply chain sustainability, and improve its competitiveness in the evolving automotive landscape.</w:t>
          </w:r>
        </w:p>
        <w:p>
          <w:pPr>
            <w:spacing w:line="360" w:lineRule="auto"/>
            <w:jc w:val="both"/>
          </w:pPr>
          <w:r>
            <w:t xml:space="preserve">Focus on emerging markets: Volvo should explore growth opportunities in emerging markets, such as China, India, and Brazil, where rising disposable incomes and urbanization trends are driving the demand for </w:t>
          </w:r>
          <w:r>
            <w:rPr>
              <w:lang w:val="en-US"/>
            </w:rPr>
            <w:t>auto-mobiles</w:t>
          </w:r>
          <w:r>
            <w:t>. Targeted marketing campaigns and tailored product offerings can help the company capture market share in these regions.</w:t>
          </w:r>
        </w:p>
        <w:p>
          <w:pPr>
            <w:spacing w:line="360" w:lineRule="auto"/>
            <w:jc w:val="both"/>
          </w:pPr>
          <w:r>
            <w:t>Enhance digital and connected services: As consumers increasingly seek connected and personalized experiences, Volvo should invest in developing advanced digital services and connectivity features that enhance the driving experience, improve vehicle safety, and foster customer loyalty.</w:t>
          </w:r>
        </w:p>
        <w:p>
          <w:pPr>
            <w:spacing w:line="360" w:lineRule="auto"/>
            <w:jc w:val="both"/>
          </w:pPr>
          <w:r>
            <w:t>Promote circular economy initiatives: Volvo should continue to incorporate circular economy principles into its operations, such as designing vehicles for easier disassembly and recycling, and promoting the use of recycled materials. These initiatives can help the company reduce waste, minimize its environmental impact, and create additional revenue streams.</w:t>
          </w:r>
        </w:p>
        <w:p>
          <w:pPr>
            <w:spacing w:line="360" w:lineRule="auto"/>
            <w:jc w:val="both"/>
          </w:pPr>
          <w:r>
            <w:t>By implementing these recommendations, Volvo can further strengthen its competitive position in the automotive industry, drive sustainable growth, and create long-term value for its stakeholders.</w:t>
          </w:r>
        </w:p>
        <w:p>
          <w:pPr>
            <w:rPr>
              <w:rFonts w:ascii="Arial" w:hAnsi="Arial" w:cs="Times New Roman" w:eastAsiaTheme="majorEastAsia"/>
              <w:b/>
              <w:bCs/>
              <w:color w:val="17375E" w:themeColor="text2" w:themeShade="BF"/>
              <w:szCs w:val="24"/>
              <w:lang w:eastAsia="ja-JP"/>
            </w:rPr>
          </w:pPr>
          <w:r>
            <w:br w:type="page"/>
          </w:r>
        </w:p>
        <w:p>
          <w:pPr>
            <w:pStyle w:val="2"/>
          </w:pPr>
          <w:bookmarkStart w:id="21" w:name="_Toc133096821"/>
          <w:r>
            <w:t>References</w:t>
          </w:r>
          <w:bookmarkEnd w:id="21"/>
          <w:r>
            <w:t xml:space="preserve"> </w:t>
          </w:r>
        </w:p>
        <w:p>
          <w:pPr>
            <w:spacing w:line="360" w:lineRule="auto"/>
            <w:jc w:val="both"/>
          </w:pPr>
          <w:r>
            <w:t>Baroto, M. B., Abdullah, M. M. B., &amp; Wan, H. L. (2012). Hybrid strategy: A new strategy for competitive advantage. International Journal of Business and Management, 7(20), 120-133.</w:t>
          </w:r>
        </w:p>
        <w:p>
          <w:pPr>
            <w:spacing w:line="360" w:lineRule="auto"/>
            <w:jc w:val="both"/>
          </w:pPr>
          <w:r>
            <w:t>Chen, T., &amp; Kim, H. (2013). Problematic effects of cognition, innovation and co-specialization in technological capabilities. Research Policy, 42(9), 1639-1654.</w:t>
          </w:r>
        </w:p>
        <w:p>
          <w:pPr>
            <w:spacing w:line="360" w:lineRule="auto"/>
            <w:jc w:val="both"/>
          </w:pPr>
          <w:r>
            <w:t>Deloitte. (2020). 2020 Global Automotive Consumer Study. Retrieved from https://www2.deloitte.com/content/dam/Deloitte/global/Documents/Manufacturing/gx-manu-automotive-consumer-study-2020.pdf</w:t>
          </w:r>
        </w:p>
        <w:p>
          <w:pPr>
            <w:spacing w:line="360" w:lineRule="auto"/>
            <w:jc w:val="both"/>
          </w:pPr>
          <w:r>
            <w:t>Eurostat. (2021). Passenger cars in the EU. Retrieved from https://ec.europa.eu/eurostat/statistics-explained/index.php/Passenger_cars_in_the_EU</w:t>
          </w:r>
        </w:p>
        <w:p>
          <w:pPr>
            <w:spacing w:line="360" w:lineRule="auto"/>
            <w:jc w:val="both"/>
          </w:pPr>
          <w:r>
            <w:t>Grant, R. M. (2016). Contemporary strategy analysis: Text and cases edition. John Wiley &amp; Sons.</w:t>
          </w:r>
        </w:p>
        <w:p>
          <w:pPr>
            <w:spacing w:line="360" w:lineRule="auto"/>
            <w:jc w:val="both"/>
          </w:pPr>
          <w:r>
            <w:t>Porter, M. E. (2008). The five competitive forces that shape strategy. Harvard Business Review, 86(1), 78-93.</w:t>
          </w:r>
        </w:p>
        <w:p>
          <w:pPr>
            <w:spacing w:line="360" w:lineRule="auto"/>
            <w:jc w:val="both"/>
          </w:pPr>
          <w:r>
            <w:t>Prahalad, C. K., &amp; Hamel, G. (1990). The core competence of the corporation. Harvard Business Review, 68(3), 79-91.</w:t>
          </w:r>
        </w:p>
        <w:p>
          <w:pPr>
            <w:spacing w:line="360" w:lineRule="auto"/>
            <w:jc w:val="both"/>
          </w:pPr>
          <w:r>
            <w:t>Statista. (2021). Volvo Cars - revenue 2009-2020. Retrieved from https://www.statista.com/statistics/267269/revenue-of-the-volvo-car-group/</w:t>
          </w:r>
        </w:p>
        <w:p>
          <w:pPr>
            <w:spacing w:line="360" w:lineRule="auto"/>
            <w:jc w:val="both"/>
          </w:pPr>
          <w:r>
            <w:t>Volvo Car Group. (2021). Annual Report 2020. Retrieved from https://www.volvocars.com/intl/v/-/media/volvo-files/investors/documents/annual-reports/2020/volvo-car-group-annual-report-2020.pdf</w:t>
          </w:r>
        </w:p>
        <w:p>
          <w:pPr>
            <w:spacing w:line="360" w:lineRule="auto"/>
            <w:jc w:val="both"/>
          </w:pPr>
          <w:r>
            <w:t>Volvo Car Group. (2021). Our Vision. Retrieved from https://www.volvocars.com/intl/about/our-company/our-vision</w:t>
          </w:r>
        </w:p>
        <w:p>
          <w:pPr>
            <w:spacing w:line="360" w:lineRule="auto"/>
            <w:jc w:val="both"/>
          </w:pPr>
        </w:p>
        <w:p>
          <w:pPr>
            <w:jc w:val="both"/>
            <w:rPr>
              <w:rFonts w:cs="Times New Roman"/>
              <w:szCs w:val="24"/>
            </w:rPr>
          </w:pPr>
        </w:p>
      </w:sdtContent>
    </w:sdt>
    <w:sectPr>
      <w:headerReference r:id="rId7" w:type="first"/>
      <w:footerReference r:id="rId10" w:type="first"/>
      <w:headerReference r:id="rId5" w:type="default"/>
      <w:footerReference r:id="rId8" w:type="default"/>
      <w:headerReference r:id="rId6" w:type="even"/>
      <w:footerReference r:id="rId9" w:type="even"/>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LinoLetter-Roman">
    <w:altName w:val="Cambria"/>
    <w:panose1 w:val="00000000000000000000"/>
    <w:charset w:val="00"/>
    <w:family w:val="roman"/>
    <w:pitch w:val="default"/>
    <w:sig w:usb0="00000000" w:usb1="00000000" w:usb2="00000000" w:usb3="00000000" w:csb0="00000000" w:csb1="00000000"/>
  </w:font>
  <w:font w:name="Arial Black">
    <w:panose1 w:val="020B0A04020102020204"/>
    <w:charset w:val="00"/>
    <w:family w:val="swiss"/>
    <w:pitch w:val="default"/>
    <w:sig w:usb0="A00002AF" w:usb1="400078FB" w:usb2="00000000" w:usb3="00000000" w:csb0="6000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61592858"/>
      <w:docPartObj>
        <w:docPartGallery w:val="autotext"/>
      </w:docPartObj>
    </w:sdtPr>
    <w:sdtEndPr>
      <w:rPr>
        <w:color w:val="7F7F7F" w:themeColor="background1" w:themeShade="80"/>
        <w:spacing w:val="60"/>
      </w:rPr>
    </w:sdtEndPr>
    <w:sdtContent>
      <w:p>
        <w:pPr>
          <w:pStyle w:val="13"/>
          <w:pBdr>
            <w:top w:val="single" w:color="D8D8D8" w:themeColor="background1" w:themeShade="D9" w:sz="4" w:space="1"/>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80"/>
            <w:spacing w:val="60"/>
          </w:rPr>
          <w:t>Page</w:t>
        </w:r>
      </w:p>
    </w:sdtContent>
  </w:sdt>
  <w:p>
    <w:pPr>
      <w:pStyle w:val="1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p>
  <w:p>
    <w:pPr>
      <w:pStyle w:val="14"/>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hideSpellingErrors/>
  <w:hideGrammaticalError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3NjMwNjUzMLUwMLFU0lEKTi0uzszPAykwMqoFAH6LbZwtAAAA"/>
  </w:docVars>
  <w:rsids>
    <w:rsidRoot w:val="006F71F5"/>
    <w:rsid w:val="00001DF6"/>
    <w:rsid w:val="00002309"/>
    <w:rsid w:val="00002D3D"/>
    <w:rsid w:val="00022C34"/>
    <w:rsid w:val="00023D8E"/>
    <w:rsid w:val="00026FA2"/>
    <w:rsid w:val="00027C65"/>
    <w:rsid w:val="0003033B"/>
    <w:rsid w:val="000303B2"/>
    <w:rsid w:val="000306A4"/>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B6643"/>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67C05"/>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B0B"/>
    <w:rsid w:val="00462F22"/>
    <w:rsid w:val="004635AE"/>
    <w:rsid w:val="004656EE"/>
    <w:rsid w:val="00467D62"/>
    <w:rsid w:val="004736DD"/>
    <w:rsid w:val="00474C7C"/>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2E5B"/>
    <w:rsid w:val="005B4B5E"/>
    <w:rsid w:val="005B4D9E"/>
    <w:rsid w:val="005B5B8E"/>
    <w:rsid w:val="005B792E"/>
    <w:rsid w:val="005C25C9"/>
    <w:rsid w:val="005C6D80"/>
    <w:rsid w:val="005D2281"/>
    <w:rsid w:val="005D259A"/>
    <w:rsid w:val="005D6BE7"/>
    <w:rsid w:val="005F1551"/>
    <w:rsid w:val="005F17AF"/>
    <w:rsid w:val="005F3E3E"/>
    <w:rsid w:val="005F4A93"/>
    <w:rsid w:val="005F5DED"/>
    <w:rsid w:val="005F6A05"/>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5C09"/>
    <w:rsid w:val="00851C71"/>
    <w:rsid w:val="0086616B"/>
    <w:rsid w:val="008673A4"/>
    <w:rsid w:val="00880D9D"/>
    <w:rsid w:val="00881867"/>
    <w:rsid w:val="00882BE1"/>
    <w:rsid w:val="008926CE"/>
    <w:rsid w:val="00892A63"/>
    <w:rsid w:val="00894C15"/>
    <w:rsid w:val="00895EB5"/>
    <w:rsid w:val="008A0FF6"/>
    <w:rsid w:val="008A3181"/>
    <w:rsid w:val="008B0AA5"/>
    <w:rsid w:val="008B569F"/>
    <w:rsid w:val="008B5AA7"/>
    <w:rsid w:val="008B7894"/>
    <w:rsid w:val="008C0238"/>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3AA"/>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26A6"/>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77B7"/>
    <w:rsid w:val="00AE160C"/>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22769"/>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77F5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5F24"/>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663"/>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2E1F"/>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E757F"/>
    <w:rsid w:val="00FF24FC"/>
    <w:rsid w:val="00FF2E33"/>
    <w:rsid w:val="00FF3B83"/>
    <w:rsid w:val="00FF3FA4"/>
    <w:rsid w:val="00FF5A7A"/>
    <w:rsid w:val="00FF6601"/>
    <w:rsid w:val="112477EF"/>
    <w:rsid w:val="395A0C03"/>
    <w:rsid w:val="768453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semiHidden="0" w:name="toc 3"/>
    <w:lsdException w:qFormat="1" w:uiPriority="39" w:semiHidden="0"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qFormat="1"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qFormat="1" w:uiPriority="65"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imes New Roman" w:hAnsi="Times New Roman" w:eastAsiaTheme="minorHAnsi" w:cstheme="minorBidi"/>
      <w:sz w:val="24"/>
      <w:szCs w:val="22"/>
      <w:lang w:val="en-GB" w:eastAsia="en-US" w:bidi="ar-SA"/>
    </w:rPr>
  </w:style>
  <w:style w:type="paragraph" w:styleId="2">
    <w:name w:val="heading 1"/>
    <w:basedOn w:val="1"/>
    <w:next w:val="1"/>
    <w:link w:val="25"/>
    <w:qFormat/>
    <w:uiPriority w:val="9"/>
    <w:pPr>
      <w:keepNext/>
      <w:keepLines/>
      <w:spacing w:before="360" w:after="240"/>
      <w:jc w:val="both"/>
      <w:outlineLvl w:val="0"/>
    </w:pPr>
    <w:rPr>
      <w:rFonts w:ascii="Arial" w:hAnsi="Arial" w:cs="Times New Roman" w:eastAsiaTheme="majorEastAsia"/>
      <w:b/>
      <w:bCs/>
      <w:color w:val="17375E" w:themeColor="text2" w:themeShade="BF"/>
      <w:szCs w:val="24"/>
      <w:lang w:eastAsia="ja-JP"/>
    </w:rPr>
  </w:style>
  <w:style w:type="paragraph" w:styleId="3">
    <w:name w:val="heading 2"/>
    <w:basedOn w:val="1"/>
    <w:next w:val="1"/>
    <w:link w:val="30"/>
    <w:unhideWhenUsed/>
    <w:qFormat/>
    <w:uiPriority w:val="9"/>
    <w:pPr>
      <w:keepNext/>
      <w:keepLines/>
      <w:spacing w:before="40" w:after="0" w:line="360" w:lineRule="auto"/>
      <w:jc w:val="both"/>
      <w:outlineLvl w:val="1"/>
    </w:pPr>
    <w:rPr>
      <w:rFonts w:ascii="Arial" w:hAnsi="Arial" w:eastAsiaTheme="majorEastAsia" w:cstheme="majorBidi"/>
      <w:b/>
      <w:color w:val="376092" w:themeColor="accent1" w:themeShade="BF"/>
      <w:szCs w:val="26"/>
      <w:lang w:eastAsia="ja-JP"/>
    </w:rPr>
  </w:style>
  <w:style w:type="paragraph" w:styleId="4">
    <w:name w:val="heading 3"/>
    <w:basedOn w:val="1"/>
    <w:next w:val="1"/>
    <w:link w:val="34"/>
    <w:unhideWhenUsed/>
    <w:qFormat/>
    <w:uiPriority w:val="9"/>
    <w:pPr>
      <w:keepNext/>
      <w:keepLines/>
      <w:spacing w:before="240" w:after="240"/>
      <w:jc w:val="both"/>
      <w:outlineLvl w:val="2"/>
    </w:pPr>
    <w:rPr>
      <w:rFonts w:ascii="Arial" w:hAnsi="Arial" w:eastAsiaTheme="majorEastAsia" w:cstheme="majorBidi"/>
      <w:b/>
      <w:color w:val="254061" w:themeColor="accent1" w:themeShade="80"/>
      <w:szCs w:val="24"/>
    </w:rPr>
  </w:style>
  <w:style w:type="paragraph" w:styleId="5">
    <w:name w:val="heading 4"/>
    <w:basedOn w:val="1"/>
    <w:next w:val="1"/>
    <w:link w:val="36"/>
    <w:unhideWhenUsed/>
    <w:qFormat/>
    <w:uiPriority w:val="9"/>
    <w:pPr>
      <w:keepNext/>
      <w:keepLines/>
      <w:spacing w:before="40" w:after="0"/>
      <w:outlineLvl w:val="3"/>
    </w:pPr>
    <w:rPr>
      <w:rFonts w:ascii="Arial" w:hAnsi="Arial" w:eastAsiaTheme="majorEastAsia" w:cstheme="majorBidi"/>
      <w:b/>
      <w:iCs/>
      <w:color w:val="632523" w:themeColor="accent2" w:themeShade="80"/>
    </w:rPr>
  </w:style>
  <w:style w:type="character" w:default="1" w:styleId="6">
    <w:name w:val="Default Paragraph Font"/>
    <w:semiHidden/>
    <w:unhideWhenUsed/>
    <w:uiPriority w:val="1"/>
  </w:style>
  <w:style w:type="table" w:default="1" w:styleId="7">
    <w:name w:val="Normal Table"/>
    <w:semiHidden/>
    <w:unhideWhenUsed/>
    <w:uiPriority w:val="99"/>
    <w:tblPr>
      <w:tblCellMar>
        <w:top w:w="0" w:type="dxa"/>
        <w:left w:w="108" w:type="dxa"/>
        <w:bottom w:w="0" w:type="dxa"/>
        <w:right w:w="108" w:type="dxa"/>
      </w:tblCellMar>
    </w:tblPr>
  </w:style>
  <w:style w:type="paragraph" w:styleId="8">
    <w:name w:val="Balloon Text"/>
    <w:basedOn w:val="1"/>
    <w:link w:val="23"/>
    <w:semiHidden/>
    <w:unhideWhenUsed/>
    <w:uiPriority w:val="99"/>
    <w:pPr>
      <w:spacing w:after="0" w:line="240" w:lineRule="auto"/>
    </w:pPr>
    <w:rPr>
      <w:rFonts w:ascii="Tahoma" w:hAnsi="Tahoma" w:cs="Tahoma"/>
      <w:sz w:val="16"/>
      <w:szCs w:val="16"/>
    </w:rPr>
  </w:style>
  <w:style w:type="character" w:styleId="9">
    <w:name w:val="annotation reference"/>
    <w:basedOn w:val="6"/>
    <w:semiHidden/>
    <w:unhideWhenUsed/>
    <w:uiPriority w:val="99"/>
    <w:rPr>
      <w:sz w:val="16"/>
      <w:szCs w:val="16"/>
    </w:rPr>
  </w:style>
  <w:style w:type="paragraph" w:styleId="10">
    <w:name w:val="annotation text"/>
    <w:basedOn w:val="1"/>
    <w:link w:val="37"/>
    <w:semiHidden/>
    <w:unhideWhenUsed/>
    <w:uiPriority w:val="99"/>
    <w:pPr>
      <w:spacing w:line="240" w:lineRule="auto"/>
    </w:pPr>
    <w:rPr>
      <w:sz w:val="20"/>
      <w:szCs w:val="20"/>
    </w:rPr>
  </w:style>
  <w:style w:type="paragraph" w:styleId="11">
    <w:name w:val="annotation subject"/>
    <w:basedOn w:val="10"/>
    <w:next w:val="10"/>
    <w:link w:val="38"/>
    <w:semiHidden/>
    <w:unhideWhenUsed/>
    <w:uiPriority w:val="99"/>
    <w:rPr>
      <w:b/>
      <w:bCs/>
    </w:rPr>
  </w:style>
  <w:style w:type="character" w:styleId="12">
    <w:name w:val="FollowedHyperlink"/>
    <w:basedOn w:val="6"/>
    <w:semiHidden/>
    <w:unhideWhenUsed/>
    <w:qFormat/>
    <w:uiPriority w:val="99"/>
    <w:rPr>
      <w:color w:val="800080" w:themeColor="followedHyperlink"/>
      <w:u w:val="single"/>
      <w14:textFill>
        <w14:solidFill>
          <w14:schemeClr w14:val="folHlink"/>
        </w14:solidFill>
      </w14:textFill>
    </w:rPr>
  </w:style>
  <w:style w:type="paragraph" w:styleId="13">
    <w:name w:val="footer"/>
    <w:basedOn w:val="1"/>
    <w:link w:val="29"/>
    <w:unhideWhenUsed/>
    <w:qFormat/>
    <w:uiPriority w:val="99"/>
    <w:pPr>
      <w:tabs>
        <w:tab w:val="center" w:pos="4513"/>
        <w:tab w:val="right" w:pos="9026"/>
      </w:tabs>
      <w:spacing w:after="0" w:line="240" w:lineRule="auto"/>
    </w:pPr>
  </w:style>
  <w:style w:type="paragraph" w:styleId="14">
    <w:name w:val="header"/>
    <w:basedOn w:val="1"/>
    <w:link w:val="28"/>
    <w:unhideWhenUsed/>
    <w:uiPriority w:val="99"/>
    <w:pPr>
      <w:tabs>
        <w:tab w:val="center" w:pos="4513"/>
        <w:tab w:val="right" w:pos="9026"/>
      </w:tabs>
      <w:spacing w:after="0" w:line="240" w:lineRule="auto"/>
    </w:pPr>
  </w:style>
  <w:style w:type="character" w:styleId="15">
    <w:name w:val="Hyperlink"/>
    <w:basedOn w:val="6"/>
    <w:unhideWhenUsed/>
    <w:uiPriority w:val="99"/>
    <w:rPr>
      <w:color w:val="0000FF" w:themeColor="hyperlink"/>
      <w:u w:val="single"/>
      <w14:textFill>
        <w14:solidFill>
          <w14:schemeClr w14:val="hlink"/>
        </w14:solidFill>
      </w14:textFill>
    </w:rPr>
  </w:style>
  <w:style w:type="paragraph" w:styleId="16">
    <w:name w:val="toc 1"/>
    <w:basedOn w:val="1"/>
    <w:next w:val="1"/>
    <w:unhideWhenUsed/>
    <w:uiPriority w:val="39"/>
    <w:pPr>
      <w:spacing w:after="100"/>
    </w:pPr>
  </w:style>
  <w:style w:type="paragraph" w:styleId="17">
    <w:name w:val="toc 2"/>
    <w:basedOn w:val="1"/>
    <w:next w:val="1"/>
    <w:unhideWhenUsed/>
    <w:qFormat/>
    <w:uiPriority w:val="39"/>
    <w:pPr>
      <w:spacing w:after="100"/>
      <w:ind w:left="220"/>
    </w:pPr>
  </w:style>
  <w:style w:type="paragraph" w:styleId="18">
    <w:name w:val="toc 3"/>
    <w:basedOn w:val="1"/>
    <w:next w:val="1"/>
    <w:unhideWhenUsed/>
    <w:uiPriority w:val="39"/>
    <w:pPr>
      <w:spacing w:after="100"/>
      <w:ind w:left="440"/>
    </w:pPr>
  </w:style>
  <w:style w:type="paragraph" w:styleId="19">
    <w:name w:val="toc 4"/>
    <w:basedOn w:val="1"/>
    <w:next w:val="1"/>
    <w:unhideWhenUsed/>
    <w:qFormat/>
    <w:uiPriority w:val="39"/>
    <w:pPr>
      <w:spacing w:after="100"/>
      <w:ind w:left="660"/>
    </w:pPr>
  </w:style>
  <w:style w:type="table" w:styleId="20">
    <w:name w:val="Medium List 1 Accent 5"/>
    <w:basedOn w:val="7"/>
    <w:semiHidden/>
    <w:unhideWhenUsed/>
    <w:qFormat/>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21">
    <w:name w:val="Colorful Shading Accent 3"/>
    <w:basedOn w:val="7"/>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paragraph" w:styleId="22">
    <w:name w:val="List Paragraph"/>
    <w:basedOn w:val="1"/>
    <w:qFormat/>
    <w:uiPriority w:val="34"/>
    <w:pPr>
      <w:ind w:left="720"/>
      <w:contextualSpacing/>
    </w:pPr>
  </w:style>
  <w:style w:type="character" w:customStyle="1" w:styleId="23">
    <w:name w:val="Balloon Text Char"/>
    <w:basedOn w:val="6"/>
    <w:link w:val="8"/>
    <w:semiHidden/>
    <w:uiPriority w:val="99"/>
    <w:rPr>
      <w:rFonts w:ascii="Tahoma" w:hAnsi="Tahoma" w:cs="Tahoma"/>
      <w:sz w:val="16"/>
      <w:szCs w:val="16"/>
    </w:rPr>
  </w:style>
  <w:style w:type="paragraph" w:customStyle="1" w:styleId="24">
    <w:name w:val="Bibliography"/>
    <w:basedOn w:val="1"/>
    <w:next w:val="1"/>
    <w:unhideWhenUsed/>
    <w:qFormat/>
    <w:uiPriority w:val="37"/>
  </w:style>
  <w:style w:type="character" w:customStyle="1" w:styleId="25">
    <w:name w:val="Heading 1 Char"/>
    <w:basedOn w:val="6"/>
    <w:link w:val="2"/>
    <w:uiPriority w:val="9"/>
    <w:rPr>
      <w:rFonts w:ascii="Arial" w:hAnsi="Arial" w:cs="Times New Roman" w:eastAsiaTheme="majorEastAsia"/>
      <w:b/>
      <w:bCs/>
      <w:color w:val="17375E" w:themeColor="text2" w:themeShade="BF"/>
      <w:sz w:val="24"/>
      <w:szCs w:val="24"/>
      <w:lang w:eastAsia="ja-JP"/>
    </w:rPr>
  </w:style>
  <w:style w:type="paragraph" w:styleId="26">
    <w:name w:val="No Spacing"/>
    <w:link w:val="27"/>
    <w:qFormat/>
    <w:uiPriority w:val="1"/>
    <w:pPr>
      <w:spacing w:after="0" w:line="240" w:lineRule="auto"/>
    </w:pPr>
    <w:rPr>
      <w:rFonts w:asciiTheme="minorHAnsi" w:hAnsiTheme="minorHAnsi" w:eastAsiaTheme="minorEastAsia" w:cstheme="minorBidi"/>
      <w:sz w:val="22"/>
      <w:szCs w:val="22"/>
      <w:lang w:val="en-US" w:eastAsia="ja-JP" w:bidi="ar-SA"/>
    </w:rPr>
  </w:style>
  <w:style w:type="character" w:customStyle="1" w:styleId="27">
    <w:name w:val="No Spacing Char"/>
    <w:basedOn w:val="6"/>
    <w:link w:val="26"/>
    <w:uiPriority w:val="1"/>
    <w:rPr>
      <w:rFonts w:eastAsiaTheme="minorEastAsia"/>
      <w:lang w:val="en-US" w:eastAsia="ja-JP"/>
    </w:rPr>
  </w:style>
  <w:style w:type="character" w:customStyle="1" w:styleId="28">
    <w:name w:val="Header Char"/>
    <w:basedOn w:val="6"/>
    <w:link w:val="14"/>
    <w:uiPriority w:val="99"/>
  </w:style>
  <w:style w:type="character" w:customStyle="1" w:styleId="29">
    <w:name w:val="Footer Char"/>
    <w:basedOn w:val="6"/>
    <w:link w:val="13"/>
    <w:uiPriority w:val="99"/>
  </w:style>
  <w:style w:type="character" w:customStyle="1" w:styleId="30">
    <w:name w:val="Heading 2 Char"/>
    <w:basedOn w:val="6"/>
    <w:link w:val="3"/>
    <w:qFormat/>
    <w:uiPriority w:val="9"/>
    <w:rPr>
      <w:rFonts w:ascii="Arial" w:hAnsi="Arial" w:eastAsiaTheme="majorEastAsia" w:cstheme="majorBidi"/>
      <w:b/>
      <w:color w:val="376092" w:themeColor="accent1" w:themeShade="BF"/>
      <w:sz w:val="24"/>
      <w:szCs w:val="26"/>
      <w:lang w:eastAsia="ja-JP"/>
    </w:rPr>
  </w:style>
  <w:style w:type="paragraph" w:customStyle="1" w:styleId="31">
    <w:name w:val="TOC Heading"/>
    <w:basedOn w:val="2"/>
    <w:next w:val="1"/>
    <w:unhideWhenUsed/>
    <w:qFormat/>
    <w:uiPriority w:val="39"/>
    <w:pPr>
      <w:spacing w:before="240" w:line="259" w:lineRule="auto"/>
      <w:outlineLvl w:val="9"/>
    </w:pPr>
    <w:rPr>
      <w:rFonts w:asciiTheme="majorHAnsi" w:hAnsiTheme="majorHAnsi"/>
      <w:b w:val="0"/>
      <w:bCs w:val="0"/>
      <w:color w:val="376092" w:themeColor="accent1" w:themeShade="BF"/>
      <w:sz w:val="32"/>
      <w:szCs w:val="32"/>
      <w:lang w:eastAsia="en-US"/>
    </w:rPr>
  </w:style>
  <w:style w:type="character" w:customStyle="1" w:styleId="32">
    <w:name w:val="Unresolved Mention"/>
    <w:basedOn w:val="6"/>
    <w:semiHidden/>
    <w:unhideWhenUsed/>
    <w:qFormat/>
    <w:uiPriority w:val="99"/>
    <w:rPr>
      <w:color w:val="605E5C"/>
      <w:shd w:val="clear" w:color="auto" w:fill="E1DFDD"/>
    </w:rPr>
  </w:style>
  <w:style w:type="character" w:customStyle="1" w:styleId="33">
    <w:name w:val="fontstyle01"/>
    <w:basedOn w:val="6"/>
    <w:qFormat/>
    <w:uiPriority w:val="0"/>
    <w:rPr>
      <w:rFonts w:hint="default" w:ascii="LinoLetter-Roman" w:hAnsi="LinoLetter-Roman"/>
      <w:color w:val="242021"/>
      <w:sz w:val="20"/>
      <w:szCs w:val="20"/>
    </w:rPr>
  </w:style>
  <w:style w:type="character" w:customStyle="1" w:styleId="34">
    <w:name w:val="Heading 3 Char"/>
    <w:basedOn w:val="6"/>
    <w:link w:val="4"/>
    <w:uiPriority w:val="9"/>
    <w:rPr>
      <w:rFonts w:ascii="Arial" w:hAnsi="Arial" w:eastAsiaTheme="majorEastAsia" w:cstheme="majorBidi"/>
      <w:b/>
      <w:color w:val="254061" w:themeColor="accent1" w:themeShade="80"/>
      <w:sz w:val="24"/>
      <w:szCs w:val="24"/>
    </w:rPr>
  </w:style>
  <w:style w:type="table" w:customStyle="1" w:styleId="35">
    <w:name w:val="Medium List 1 - Accent 51"/>
    <w:basedOn w:val="7"/>
    <w:qFormat/>
    <w:uiPriority w:val="65"/>
    <w:pPr>
      <w:spacing w:after="0" w:line="240" w:lineRule="auto"/>
      <w:jc w:val="both"/>
    </w:pPr>
    <w:rPr>
      <w:rFonts w:ascii="Times New Roman" w:hAnsi="Times New Roman" w:eastAsia="Times New Roman" w:cs="Times New Roman"/>
      <w:color w:val="000000"/>
      <w:sz w:val="24"/>
      <w:szCs w:val="24"/>
    </w:rPr>
    <w:tblPr>
      <w:tblBorders>
        <w:top w:val="single" w:color="4BACC6" w:sz="8" w:space="0"/>
        <w:bottom w:val="single" w:color="4BACC6" w:sz="8" w:space="0"/>
      </w:tblBorders>
    </w:tblPr>
    <w:tblStylePr w:type="firstRow">
      <w:rPr>
        <w:rFonts w:ascii="Cambria" w:hAnsi="Cambria" w:eastAsia="Times New Roman" w:cs="Times New Roman"/>
      </w:rPr>
      <w:tcPr>
        <w:tcBorders>
          <w:top w:val="nil"/>
          <w:bottom w:val="single" w:color="4BACC6" w:sz="8" w:space="0"/>
        </w:tcBorders>
      </w:tcPr>
    </w:tblStylePr>
    <w:tblStylePr w:type="lastRow">
      <w:rPr>
        <w:b/>
        <w:bCs/>
        <w:color w:val="1F497D"/>
      </w:rPr>
      <w:tcPr>
        <w:tcBorders>
          <w:top w:val="single" w:color="4BACC6" w:sz="8" w:space="0"/>
          <w:bottom w:val="single" w:color="4BACC6" w:sz="8" w:space="0"/>
        </w:tcBorders>
      </w:tcPr>
    </w:tblStylePr>
    <w:tblStylePr w:type="firstCol">
      <w:rPr>
        <w:b/>
        <w:bCs/>
      </w:rPr>
    </w:tblStylePr>
    <w:tblStylePr w:type="lastCol">
      <w:rPr>
        <w:b/>
        <w:bCs/>
      </w:rPr>
      <w:tcPr>
        <w:tcBorders>
          <w:top w:val="single" w:color="4BACC6" w:sz="8" w:space="0"/>
          <w:bottom w:val="single" w:color="4BACC6" w:sz="8" w:space="0"/>
        </w:tcBorders>
      </w:tcPr>
    </w:tblStylePr>
    <w:tblStylePr w:type="band1Vert">
      <w:tcPr>
        <w:shd w:val="clear" w:color="auto" w:fill="D2EAF1"/>
      </w:tcPr>
    </w:tblStylePr>
    <w:tblStylePr w:type="band1Horz">
      <w:tcPr>
        <w:shd w:val="clear" w:color="auto" w:fill="D2EAF1"/>
      </w:tcPr>
    </w:tblStylePr>
  </w:style>
  <w:style w:type="character" w:customStyle="1" w:styleId="36">
    <w:name w:val="Heading 4 Char"/>
    <w:basedOn w:val="6"/>
    <w:link w:val="5"/>
    <w:qFormat/>
    <w:uiPriority w:val="9"/>
    <w:rPr>
      <w:rFonts w:ascii="Arial" w:hAnsi="Arial" w:eastAsiaTheme="majorEastAsia" w:cstheme="majorBidi"/>
      <w:b/>
      <w:iCs/>
      <w:color w:val="632523" w:themeColor="accent2" w:themeShade="80"/>
    </w:rPr>
  </w:style>
  <w:style w:type="character" w:customStyle="1" w:styleId="37">
    <w:name w:val="Comment Text Char"/>
    <w:basedOn w:val="6"/>
    <w:link w:val="10"/>
    <w:semiHidden/>
    <w:qFormat/>
    <w:uiPriority w:val="99"/>
    <w:rPr>
      <w:rFonts w:ascii="Times New Roman" w:hAnsi="Times New Roman"/>
      <w:sz w:val="20"/>
      <w:szCs w:val="20"/>
    </w:rPr>
  </w:style>
  <w:style w:type="character" w:customStyle="1" w:styleId="38">
    <w:name w:val="Comment Subject Char"/>
    <w:basedOn w:val="37"/>
    <w:link w:val="11"/>
    <w:semiHidden/>
    <w:uiPriority w:val="99"/>
    <w:rPr>
      <w:rFonts w:ascii="Times New Roman" w:hAnsi="Times New Roman"/>
      <w:b/>
      <w:bCs/>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2.xml"/><Relationship Id="rId13" Type="http://schemas.openxmlformats.org/officeDocument/2006/relationships/customXml" Target="../customXml/item1.xml"/><Relationship Id="rId12" Type="http://schemas.openxmlformats.org/officeDocument/2006/relationships/image" Target="media/image1.jpe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datastoreItem>
</file>

<file path=customXml/itemProps2.xml><?xml version="1.0" encoding="utf-8"?>
<ds:datastoreItem xmlns:ds="http://schemas.openxmlformats.org/officeDocument/2006/customXml" ds:itemID="{A8B8398E-4442-42DD-92F3-776CDBAF6546}">
  <ds:schemaRefs/>
</ds:datastoreItem>
</file>

<file path=docProps/app.xml><?xml version="1.0" encoding="utf-8"?>
<Properties xmlns="http://schemas.openxmlformats.org/officeDocument/2006/extended-properties" xmlns:vt="http://schemas.openxmlformats.org/officeDocument/2006/docPropsVTypes">
  <Template>Normal.dotm</Template>
  <Pages>21</Pages>
  <Words>6800</Words>
  <Characters>38766</Characters>
  <Lines>323</Lines>
  <Paragraphs>90</Paragraphs>
  <TotalTime>1</TotalTime>
  <ScaleCrop>false</ScaleCrop>
  <LinksUpToDate>false</LinksUpToDate>
  <CharactersWithSpaces>45476</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2020-05-17T20:39:00Z</dcterms:created>
  <dc:creator>Nicole</dc:creator>
  <cp:lastModifiedBy>Hi</cp:lastModifiedBy>
  <cp:lastPrinted>2020-05-15T21:08:00Z</cp:lastPrinted>
  <dcterms:modified xsi:type="dcterms:W3CDTF">2023-05-03T11:17:21Z</dcterms:modified>
  <dc:subject>Marketing Management Report</dc:subject>
  <dc:title>Marketing Management LCMB 7001</dc:title>
  <cp:revision>174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758C0C2D6DEA4B00AEA4F5380DC75B6E</vt:lpwstr>
  </property>
</Properties>
</file>