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body>
    <w:p>
      <w:pPr>
        <w:rPr>
          <w:b/>
          <w:sz w:val="32"/>
          <w:szCs w:val="32"/>
          <w:lang w:val="en-US"/>
        </w:rPr>
      </w:pPr>
    </w:p>
    <w:p>
      <w:pPr>
        <w:rPr>
          <w:b/>
          <w:sz w:val="32"/>
          <w:szCs w:val="32"/>
          <w:lang w:val="en-US"/>
        </w:rPr>
      </w:pPr>
    </w:p>
    <w:p>
      <w:pPr>
        <w:jc w:val="both"/>
        <w:rPr>
          <w:b/>
          <w:sz w:val="40"/>
          <w:szCs w:val="40"/>
        </w:rPr>
      </w:pPr>
      <w:r>
        <w:rPr>
          <w:b/>
          <w:sz w:val="40"/>
          <w:szCs w:val="40"/>
          <w:lang w:val="pl-PL"/>
        </w:rPr>
        <w:t>University of Wales Trinity Saint David</w:t>
      </w:r>
    </w:p>
    <w:p>
      <w:pPr>
        <w:rPr>
          <w:rFonts w:asciiTheme="majorHAnsi" w:hAnsiTheme="majorHAnsi"/>
          <w:b/>
          <w:i/>
          <w:sz w:val="44"/>
          <w:szCs w:val="44"/>
        </w:rPr>
      </w:pPr>
    </w:p>
    <w:p>
      <w:pPr>
        <w:rPr>
          <w:rFonts w:asciiTheme="majorHAnsi" w:hAnsiTheme="majorHAnsi"/>
          <w:b/>
          <w:i/>
          <w:sz w:val="44"/>
          <w:szCs w:val="44"/>
        </w:rPr>
      </w:pPr>
      <w:r>
        <w:rPr>
          <w:rFonts w:asciiTheme="majorHAnsi" w:hAnsiTheme="majorHAnsi"/>
          <w:b/>
          <w:i/>
          <w:sz w:val="44"/>
          <w:szCs w:val="44"/>
        </w:rPr>
        <w:t>Assignment Title: Assessment 2</w:t>
      </w:r>
    </w:p>
    <w:p>
      <w:pPr>
        <w:rPr>
          <w:rFonts w:asciiTheme="majorHAnsi" w:hAnsiTheme="majorHAnsi"/>
          <w:b/>
          <w:i/>
          <w:sz w:val="44"/>
          <w:szCs w:val="44"/>
          <w:lang w:val="en-US"/>
        </w:rPr>
      </w:pPr>
      <w:r>
        <w:rPr>
          <w:rFonts w:asciiTheme="majorHAnsi" w:hAnsiTheme="majorHAnsi"/>
          <w:b/>
          <w:i/>
          <w:sz w:val="44"/>
          <w:szCs w:val="44"/>
        </w:rPr>
        <w:t>Environmental Analysis of</w:t>
      </w:r>
      <w:r>
        <w:rPr>
          <w:rFonts w:asciiTheme="majorHAnsi" w:hAnsiTheme="majorHAnsi"/>
          <w:b/>
          <w:i/>
          <w:sz w:val="44"/>
          <w:szCs w:val="44"/>
          <w:lang w:val="en-US"/>
        </w:rPr>
        <w:t xml:space="preserve"> </w:t>
      </w:r>
      <w:r>
        <w:rPr>
          <w:rFonts w:asciiTheme="majorHAnsi" w:hAnsiTheme="majorHAnsi"/>
          <w:b/>
          <w:i/>
          <w:sz w:val="44"/>
          <w:szCs w:val="44"/>
        </w:rPr>
        <w:t xml:space="preserve">an </w:t>
      </w:r>
      <w:r>
        <w:rPr>
          <w:rFonts w:asciiTheme="majorHAnsi" w:hAnsiTheme="majorHAnsi"/>
          <w:b/>
          <w:i/>
          <w:sz w:val="44"/>
          <w:szCs w:val="44"/>
          <w:lang w:val="pl-PL"/>
        </w:rPr>
        <w:t>I</w:t>
      </w:r>
      <w:r>
        <w:rPr>
          <w:rFonts w:asciiTheme="majorHAnsi" w:hAnsiTheme="majorHAnsi"/>
          <w:b/>
          <w:i/>
          <w:sz w:val="44"/>
          <w:szCs w:val="44"/>
        </w:rPr>
        <w:t>ndustry</w:t>
      </w:r>
    </w:p>
    <w:p>
      <w:pPr>
        <w:rPr>
          <w:rFonts w:asciiTheme="majorHAnsi" w:hAnsiTheme="majorHAnsi"/>
          <w:b/>
          <w:i/>
          <w:sz w:val="44"/>
          <w:szCs w:val="44"/>
          <w:lang w:val="en-US"/>
        </w:rPr>
      </w:pPr>
    </w:p>
    <w:p>
      <w:pPr>
        <w:rPr>
          <w:rFonts w:asciiTheme="majorHAnsi" w:hAnsiTheme="majorHAnsi"/>
          <w:b/>
          <w:i/>
          <w:sz w:val="44"/>
          <w:szCs w:val="44"/>
          <w:lang w:val="en-US"/>
        </w:rPr>
      </w:pPr>
      <w:r>
        <w:rPr>
          <w:rFonts w:asciiTheme="majorHAnsi" w:hAnsiTheme="majorHAnsi"/>
          <w:b/>
          <w:i/>
          <w:sz w:val="44"/>
          <w:szCs w:val="44"/>
          <w:lang w:val="en-US"/>
        </w:rPr>
        <w:t>Programme: BA Business Management</w:t>
      </w:r>
    </w:p>
    <w:p>
      <w:pPr>
        <w:rPr>
          <w:rFonts w:asciiTheme="majorHAnsi" w:hAnsiTheme="majorHAnsi"/>
          <w:b/>
          <w:i/>
          <w:sz w:val="44"/>
          <w:szCs w:val="44"/>
          <w:lang w:val="en-US"/>
        </w:rPr>
      </w:pPr>
      <w:r>
        <w:rPr>
          <w:rFonts w:asciiTheme="majorHAnsi" w:hAnsiTheme="majorHAnsi"/>
          <w:b/>
          <w:i/>
          <w:sz w:val="44"/>
          <w:szCs w:val="44"/>
          <w:lang w:val="en-US"/>
        </w:rPr>
        <w:t>Module: The Global Business Environment</w:t>
      </w:r>
    </w:p>
    <w:p>
      <w:pPr>
        <w:rPr>
          <w:rFonts w:asciiTheme="majorHAnsi" w:hAnsiTheme="majorHAnsi"/>
          <w:b/>
          <w:i/>
          <w:sz w:val="44"/>
          <w:szCs w:val="44"/>
          <w:lang w:val="en-US"/>
        </w:rPr>
      </w:pPr>
    </w:p>
    <w:p>
      <w:pPr>
        <w:rPr>
          <w:rFonts w:asciiTheme="majorHAnsi" w:hAnsiTheme="majorHAnsi"/>
          <w:b/>
          <w:i/>
          <w:sz w:val="44"/>
          <w:szCs w:val="44"/>
          <w:lang w:val="en-US"/>
        </w:rPr>
      </w:pPr>
    </w:p>
    <w:p>
      <w:pPr>
        <w:rPr>
          <w:rFonts w:asciiTheme="majorHAnsi" w:hAnsiTheme="majorHAnsi"/>
          <w:b/>
          <w:i/>
          <w:sz w:val="44"/>
          <w:szCs w:val="44"/>
          <w:lang w:val="en-US"/>
        </w:rPr>
      </w:pPr>
      <w:r>
        <w:rPr>
          <w:rFonts w:asciiTheme="majorHAnsi" w:hAnsiTheme="majorHAnsi"/>
          <w:b/>
          <w:i/>
          <w:sz w:val="44"/>
          <w:szCs w:val="44"/>
          <w:lang w:val="en-US"/>
        </w:rPr>
        <w:t>Student ID: 2115611</w:t>
      </w:r>
    </w:p>
    <w:p>
      <w:pPr>
        <w:rPr>
          <w:rFonts w:asciiTheme="majorHAnsi" w:hAnsiTheme="majorHAnsi"/>
          <w:b/>
          <w:i/>
          <w:sz w:val="44"/>
          <w:szCs w:val="44"/>
          <w:lang w:val="en-US"/>
        </w:rPr>
      </w:pPr>
      <w:r>
        <w:rPr>
          <w:rFonts w:asciiTheme="majorHAnsi" w:hAnsiTheme="majorHAnsi"/>
          <w:b/>
          <w:i/>
          <w:sz w:val="44"/>
          <w:szCs w:val="44"/>
          <w:lang w:val="en-US"/>
        </w:rPr>
        <w:t>Student name: Milena Andonova Andonova</w:t>
      </w:r>
    </w:p>
    <w:p>
      <w:pPr>
        <w:rPr>
          <w:b/>
          <w:sz w:val="32"/>
          <w:szCs w:val="32"/>
          <w:lang w:val="en-US"/>
        </w:rPr>
      </w:pPr>
    </w:p>
    <w:p>
      <w:pPr>
        <w:jc w:val="both"/>
        <w:rPr>
          <w:rFonts w:ascii="Times New Roman" w:cs="Times New Roman" w:hAnsi="Times New Roman"/>
          <w:bCs/>
          <w:sz w:val="24"/>
          <w:szCs w:val="24"/>
        </w:rPr>
      </w:pPr>
      <w:r>
        <w:rPr>
          <w:rFonts w:ascii="Times New Roman" w:cs="Times New Roman" w:hAnsi="Times New Roman"/>
          <w:bCs/>
          <w:sz w:val="24"/>
          <w:szCs w:val="24"/>
        </w:rPr>
        <w:t>I declare that this assignment is all my own work and that I have acknowledged all materials used from the published or unpublished works of other people. All references have been duly cited</w:t>
      </w:r>
      <w:r>
        <w:rPr>
          <w:rFonts w:ascii="Times New Roman" w:cs="Times New Roman" w:hAnsi="Times New Roman"/>
          <w:bCs/>
          <w:sz w:val="24"/>
          <w:szCs w:val="24"/>
        </w:rPr>
        <w:t>.</w:t>
      </w:r>
    </w:p>
    <w:p>
      <w:pPr>
        <w:rPr>
          <w:b/>
          <w:sz w:val="32"/>
          <w:szCs w:val="32"/>
          <w:lang w:val="en-US"/>
        </w:rPr>
      </w:pPr>
    </w:p>
    <w:p>
      <w:pPr>
        <w:rPr>
          <w:b/>
          <w:sz w:val="32"/>
          <w:szCs w:val="32"/>
          <w:lang w:val="en-US"/>
        </w:rPr>
      </w:pPr>
    </w:p>
    <w:p>
      <w:pPr>
        <w:rPr>
          <w:b/>
          <w:sz w:val="32"/>
          <w:szCs w:val="32"/>
          <w:lang w:val="en-US"/>
        </w:rPr>
      </w:pPr>
    </w:p>
    <w:p>
      <w:pPr>
        <w:rPr>
          <w:b/>
          <w:sz w:val="32"/>
          <w:szCs w:val="32"/>
          <w:lang w:val="en-US"/>
        </w:rPr>
      </w:pPr>
    </w:p>
    <w:p>
      <w:pPr>
        <w:rPr>
          <w:b/>
          <w:sz w:val="32"/>
          <w:szCs w:val="32"/>
          <w:lang w:val="en-US"/>
        </w:rPr>
      </w:pPr>
    </w:p>
    <w:p>
      <w:pPr>
        <w:rPr>
          <w:b/>
          <w:sz w:val="32"/>
          <w:szCs w:val="32"/>
          <w:lang w:val="en-US"/>
        </w:rPr>
      </w:pPr>
    </w:p>
    <w:p>
      <w:pPr>
        <w:rPr>
          <w:b/>
          <w:sz w:val="32"/>
          <w:szCs w:val="32"/>
          <w:lang w:val="en-US"/>
        </w:rPr>
      </w:pPr>
    </w:p>
    <w:p>
      <w:pPr>
        <w:pStyle w:val="TOCHeading"/>
        <w:rPr/>
      </w:pPr>
      <w:r>
        <w:t>Contents</w:t>
      </w:r>
      <w:bookmarkStart w:id="0" w:name="_GoBack"/>
      <w:bookmarkEnd w:id="0"/>
    </w:p>
    <w:p>
      <w:pPr>
        <w:pStyle w:val="Toc1"/>
        <w:tabs>
          <w:tab w:val="right" w:leader="dot" w:pos="9016"/>
        </w:tabs>
        <w:rPr>
          <w:rFonts w:asciiTheme="majorHAnsi" w:hAnsiTheme="majorHAnsi"/>
          <w:i/>
        </w:rPr>
      </w:pPr>
      <w:r>
        <w:fldChar w:fldCharType="begin"/>
      </w:r>
      <w:r>
        <w:instrText xml:space="preserve"> TOC \o "1-3" \h \z \u </w:instrText>
      </w:r>
      <w:r>
        <w:fldChar w:fldCharType="separate"/>
      </w:r>
      <w:r>
        <w:fldChar w:fldCharType="begin"/>
      </w:r>
      <w:r>
        <w:instrText xml:space="preserve">HYPERLINK \l "_Toc90734167" </w:instrText>
      </w:r>
      <w:r>
        <w:fldChar w:fldCharType="separate"/>
      </w:r>
      <w:r>
        <w:rPr>
          <w:rStyle w:val="Hyperlink"/>
          <w:rFonts w:asciiTheme="majorHAnsi" w:cs="Arial" w:hAnsiTheme="majorHAnsi"/>
          <w:i/>
          <w:lang w:val="en-US"/>
        </w:rPr>
        <w:t>Introduction</w:t>
      </w:r>
      <w:r>
        <w:rPr>
          <w:rFonts w:asciiTheme="majorHAnsi" w:hAnsiTheme="majorHAnsi"/>
          <w:i/>
        </w:rPr>
        <w:tab/>
      </w:r>
      <w:r>
        <w:fldChar w:fldCharType="begin"/>
      </w:r>
      <w:r>
        <w:instrText xml:space="preserve"> PAGEREF _Toc90734167 \h </w:instrText>
      </w:r>
      <w:r>
        <w:fldChar w:fldCharType="separate"/>
      </w:r>
      <w:r>
        <w:rPr>
          <w:rFonts w:asciiTheme="majorHAnsi" w:hAnsiTheme="majorHAnsi"/>
          <w:i/>
        </w:rPr>
        <w:t>3</w:t>
      </w:r>
      <w:r>
        <w:fldChar w:fldCharType="end"/>
      </w:r>
      <w:r>
        <w:fldChar w:fldCharType="end"/>
      </w:r>
    </w:p>
    <w:p>
      <w:pPr>
        <w:pStyle w:val="Toc1"/>
        <w:tabs>
          <w:tab w:val="right" w:leader="dot" w:pos="9016"/>
        </w:tabs>
        <w:rPr>
          <w:rFonts w:asciiTheme="majorHAnsi" w:hAnsiTheme="majorHAnsi"/>
          <w:i/>
        </w:rPr>
      </w:pPr>
      <w:r>
        <w:fldChar w:fldCharType="begin"/>
      </w:r>
      <w:r>
        <w:instrText xml:space="preserve">HYPERLINK \l "_Toc90734169" </w:instrText>
      </w:r>
      <w:r>
        <w:fldChar w:fldCharType="separate"/>
      </w:r>
      <w:r>
        <w:rPr>
          <w:rStyle w:val="Hyperlink"/>
          <w:rFonts w:asciiTheme="majorHAnsi" w:cs="Arial" w:hAnsiTheme="majorHAnsi"/>
          <w:i/>
          <w:lang w:val="en-US"/>
        </w:rPr>
        <w:t>Impact of the pandemic</w:t>
      </w:r>
      <w:r>
        <w:rPr>
          <w:rFonts w:asciiTheme="majorHAnsi" w:hAnsiTheme="majorHAnsi"/>
          <w:i/>
        </w:rPr>
        <w:tab/>
      </w:r>
      <w:r>
        <w:fldChar w:fldCharType="begin"/>
      </w:r>
      <w:r>
        <w:instrText xml:space="preserve"> PAGEREF _Toc90734169 \h </w:instrText>
      </w:r>
      <w:r>
        <w:fldChar w:fldCharType="separate"/>
      </w:r>
      <w:r>
        <w:rPr>
          <w:rFonts w:asciiTheme="majorHAnsi" w:hAnsiTheme="majorHAnsi"/>
          <w:i/>
        </w:rPr>
        <w:t>4</w:t>
      </w:r>
      <w:r>
        <w:fldChar w:fldCharType="end"/>
      </w:r>
      <w:r>
        <w:fldChar w:fldCharType="end"/>
      </w:r>
    </w:p>
    <w:p>
      <w:pPr>
        <w:pStyle w:val="Toc1"/>
        <w:tabs>
          <w:tab w:val="left" w:pos="440"/>
          <w:tab w:val="right" w:leader="dot" w:pos="9016"/>
        </w:tabs>
        <w:rPr>
          <w:rFonts w:asciiTheme="majorHAnsi" w:hAnsiTheme="majorHAnsi"/>
          <w:i/>
        </w:rPr>
      </w:pPr>
      <w:r>
        <w:fldChar w:fldCharType="begin"/>
      </w:r>
      <w:r>
        <w:instrText xml:space="preserve">HYPERLINK \l "_Toc90734170" </w:instrText>
      </w:r>
      <w:r>
        <w:fldChar w:fldCharType="separate"/>
      </w:r>
      <w:r>
        <w:rPr>
          <w:rStyle w:val="Hyperlink"/>
          <w:rFonts w:asciiTheme="majorHAnsi" w:cs="Arial" w:hAnsiTheme="majorHAnsi"/>
          <w:i/>
          <w:lang w:val="en-US"/>
        </w:rPr>
        <w:t>Decreasing vehicle sales</w:t>
      </w:r>
      <w:r>
        <w:rPr>
          <w:rFonts w:asciiTheme="majorHAnsi" w:hAnsiTheme="majorHAnsi"/>
          <w:i/>
        </w:rPr>
        <w:tab/>
      </w:r>
      <w:r>
        <w:fldChar w:fldCharType="begin"/>
      </w:r>
      <w:r>
        <w:instrText xml:space="preserve"> PAGEREF _Toc90734170 \h </w:instrText>
      </w:r>
      <w:r>
        <w:fldChar w:fldCharType="separate"/>
      </w:r>
      <w:r>
        <w:rPr>
          <w:rFonts w:asciiTheme="majorHAnsi" w:hAnsiTheme="majorHAnsi"/>
          <w:i/>
        </w:rPr>
        <w:t>4</w:t>
      </w:r>
      <w:r>
        <w:fldChar w:fldCharType="end"/>
      </w:r>
      <w:r>
        <w:fldChar w:fldCharType="end"/>
      </w:r>
    </w:p>
    <w:p>
      <w:pPr>
        <w:pStyle w:val="Toc1"/>
        <w:tabs>
          <w:tab w:val="left" w:pos="440"/>
          <w:tab w:val="right" w:leader="dot" w:pos="9016"/>
        </w:tabs>
        <w:rPr>
          <w:rFonts w:asciiTheme="majorHAnsi" w:hAnsiTheme="majorHAnsi"/>
          <w:i/>
        </w:rPr>
      </w:pPr>
      <w:r>
        <w:fldChar w:fldCharType="begin"/>
      </w:r>
      <w:r>
        <w:instrText xml:space="preserve">HYPERLINK \l "_Toc90734171" </w:instrText>
      </w:r>
      <w:r>
        <w:fldChar w:fldCharType="separate"/>
      </w:r>
      <w:r>
        <w:rPr>
          <w:rStyle w:val="Hyperlink"/>
          <w:rFonts w:asciiTheme="majorHAnsi" w:cs="Arial" w:hAnsiTheme="majorHAnsi"/>
          <w:i/>
          <w:lang w:val="en-US"/>
        </w:rPr>
        <w:t>China parts issues</w:t>
      </w:r>
      <w:r>
        <w:rPr>
          <w:rFonts w:asciiTheme="majorHAnsi" w:hAnsiTheme="majorHAnsi"/>
          <w:i/>
        </w:rPr>
        <w:tab/>
      </w:r>
      <w:r>
        <w:fldChar w:fldCharType="begin"/>
      </w:r>
      <w:r>
        <w:instrText xml:space="preserve"> PAGEREF _Toc90734171 \h </w:instrText>
      </w:r>
      <w:r>
        <w:fldChar w:fldCharType="separate"/>
      </w:r>
      <w:r>
        <w:rPr>
          <w:rFonts w:asciiTheme="majorHAnsi" w:hAnsiTheme="majorHAnsi"/>
          <w:i/>
        </w:rPr>
        <w:t>4</w:t>
      </w:r>
      <w:r>
        <w:fldChar w:fldCharType="end"/>
      </w:r>
      <w:r>
        <w:fldChar w:fldCharType="end"/>
      </w:r>
    </w:p>
    <w:p>
      <w:pPr>
        <w:pStyle w:val="Toc1"/>
        <w:tabs>
          <w:tab w:val="left" w:pos="440"/>
          <w:tab w:val="right" w:leader="dot" w:pos="9016"/>
        </w:tabs>
        <w:rPr>
          <w:rFonts w:asciiTheme="majorHAnsi" w:hAnsiTheme="majorHAnsi"/>
          <w:i/>
        </w:rPr>
      </w:pPr>
      <w:r>
        <w:fldChar w:fldCharType="begin"/>
      </w:r>
      <w:r>
        <w:instrText xml:space="preserve">HYPERLINK \l "_Toc90734172" </w:instrText>
      </w:r>
      <w:r>
        <w:fldChar w:fldCharType="separate"/>
      </w:r>
      <w:r>
        <w:rPr>
          <w:rStyle w:val="Hyperlink"/>
          <w:rFonts w:asciiTheme="majorHAnsi" w:cs="Arial" w:hAnsiTheme="majorHAnsi"/>
          <w:i/>
          <w:lang w:val="en-US"/>
        </w:rPr>
        <w:t>Production of new cars</w:t>
      </w:r>
      <w:r>
        <w:rPr>
          <w:rFonts w:asciiTheme="majorHAnsi" w:hAnsiTheme="majorHAnsi"/>
          <w:i/>
        </w:rPr>
        <w:tab/>
      </w:r>
      <w:r>
        <w:fldChar w:fldCharType="begin"/>
      </w:r>
      <w:r>
        <w:instrText xml:space="preserve"> PAGEREF _Toc90734172 \h </w:instrText>
      </w:r>
      <w:r>
        <w:fldChar w:fldCharType="separate"/>
      </w:r>
      <w:r>
        <w:rPr>
          <w:rFonts w:asciiTheme="majorHAnsi" w:hAnsiTheme="majorHAnsi"/>
          <w:i/>
        </w:rPr>
        <w:t>4</w:t>
      </w:r>
      <w:r>
        <w:fldChar w:fldCharType="end"/>
      </w:r>
      <w:r>
        <w:fldChar w:fldCharType="end"/>
      </w:r>
    </w:p>
    <w:p>
      <w:pPr>
        <w:pStyle w:val="Toc1"/>
        <w:tabs>
          <w:tab w:val="left" w:pos="440"/>
          <w:tab w:val="right" w:leader="dot" w:pos="9016"/>
        </w:tabs>
        <w:rPr>
          <w:rFonts w:asciiTheme="majorHAnsi" w:hAnsiTheme="majorHAnsi"/>
          <w:i/>
        </w:rPr>
      </w:pPr>
      <w:r>
        <w:fldChar w:fldCharType="begin"/>
      </w:r>
      <w:r>
        <w:instrText xml:space="preserve">HYPERLINK \l "_Toc90734173" </w:instrText>
      </w:r>
      <w:r>
        <w:fldChar w:fldCharType="separate"/>
      </w:r>
      <w:r>
        <w:rPr>
          <w:rStyle w:val="Hyperlink"/>
          <w:rFonts w:asciiTheme="majorHAnsi" w:cs="Arial" w:hAnsiTheme="majorHAnsi"/>
          <w:i/>
          <w:lang w:val="en-US"/>
        </w:rPr>
        <w:t>Cyclical impact from higher unemployment</w:t>
      </w:r>
      <w:r>
        <w:rPr>
          <w:rFonts w:asciiTheme="majorHAnsi" w:hAnsiTheme="majorHAnsi"/>
          <w:i/>
        </w:rPr>
        <w:tab/>
      </w:r>
      <w:r>
        <w:fldChar w:fldCharType="begin"/>
      </w:r>
      <w:r>
        <w:instrText xml:space="preserve"> PAGEREF _Toc90734173 \h </w:instrText>
      </w:r>
      <w:r>
        <w:fldChar w:fldCharType="separate"/>
      </w:r>
      <w:r>
        <w:rPr>
          <w:rFonts w:asciiTheme="majorHAnsi" w:hAnsiTheme="majorHAnsi"/>
          <w:i/>
        </w:rPr>
        <w:t>5</w:t>
      </w:r>
      <w:r>
        <w:fldChar w:fldCharType="end"/>
      </w:r>
      <w:r>
        <w:fldChar w:fldCharType="end"/>
      </w:r>
    </w:p>
    <w:p>
      <w:pPr>
        <w:pStyle w:val="Toc1"/>
        <w:tabs>
          <w:tab w:val="left" w:pos="440"/>
          <w:tab w:val="right" w:leader="dot" w:pos="9016"/>
        </w:tabs>
        <w:rPr>
          <w:rFonts w:asciiTheme="majorHAnsi" w:hAnsiTheme="majorHAnsi"/>
          <w:i/>
        </w:rPr>
      </w:pPr>
      <w:r>
        <w:fldChar w:fldCharType="begin"/>
      </w:r>
      <w:r>
        <w:instrText xml:space="preserve">HYPERLINK \l "_Toc90734174" </w:instrText>
      </w:r>
      <w:r>
        <w:fldChar w:fldCharType="separate"/>
      </w:r>
      <w:r>
        <w:rPr>
          <w:rStyle w:val="Hyperlink"/>
          <w:rFonts w:asciiTheme="majorHAnsi" w:cs="Arial" w:hAnsiTheme="majorHAnsi"/>
          <w:i/>
          <w:lang w:val="en-US"/>
        </w:rPr>
        <w:t>Demand for electric vehicles</w:t>
      </w:r>
      <w:r>
        <w:rPr>
          <w:rFonts w:asciiTheme="majorHAnsi" w:hAnsiTheme="majorHAnsi"/>
          <w:i/>
        </w:rPr>
        <w:tab/>
      </w:r>
      <w:r>
        <w:fldChar w:fldCharType="begin"/>
      </w:r>
      <w:r>
        <w:instrText xml:space="preserve"> PAGEREF _Toc90734174 \h </w:instrText>
      </w:r>
      <w:r>
        <w:fldChar w:fldCharType="separate"/>
      </w:r>
      <w:r>
        <w:rPr>
          <w:rFonts w:asciiTheme="majorHAnsi" w:hAnsiTheme="majorHAnsi"/>
          <w:i/>
        </w:rPr>
        <w:t>5</w:t>
      </w:r>
      <w:r>
        <w:fldChar w:fldCharType="end"/>
      </w:r>
      <w:r>
        <w:fldChar w:fldCharType="end"/>
      </w:r>
    </w:p>
    <w:p>
      <w:pPr>
        <w:pStyle w:val="Toc1"/>
        <w:tabs>
          <w:tab w:val="left" w:pos="440"/>
          <w:tab w:val="right" w:leader="dot" w:pos="9016"/>
        </w:tabs>
        <w:rPr>
          <w:rFonts w:asciiTheme="majorHAnsi" w:hAnsiTheme="majorHAnsi"/>
          <w:i/>
        </w:rPr>
      </w:pPr>
      <w:r>
        <w:fldChar w:fldCharType="begin"/>
      </w:r>
      <w:r>
        <w:instrText xml:space="preserve">HYPERLINK \l "_Toc90734175" </w:instrText>
      </w:r>
      <w:r>
        <w:fldChar w:fldCharType="separate"/>
      </w:r>
      <w:r>
        <w:rPr>
          <w:rStyle w:val="Hyperlink"/>
          <w:rFonts w:asciiTheme="majorHAnsi" w:cs="Arial" w:hAnsiTheme="majorHAnsi"/>
          <w:i/>
          <w:lang w:val="en-US"/>
        </w:rPr>
        <w:t>Supply chains be adjusted due to Covid-19</w:t>
      </w:r>
      <w:r>
        <w:rPr>
          <w:rFonts w:asciiTheme="majorHAnsi" w:hAnsiTheme="majorHAnsi"/>
          <w:i/>
        </w:rPr>
        <w:tab/>
      </w:r>
      <w:r>
        <w:fldChar w:fldCharType="begin"/>
      </w:r>
      <w:r>
        <w:instrText xml:space="preserve"> PAGEREF _Toc90734175 \h </w:instrText>
      </w:r>
      <w:r>
        <w:fldChar w:fldCharType="separate"/>
      </w:r>
      <w:r>
        <w:rPr>
          <w:rFonts w:asciiTheme="majorHAnsi" w:hAnsiTheme="majorHAnsi"/>
          <w:i/>
        </w:rPr>
        <w:t>5</w:t>
      </w:r>
      <w:r>
        <w:fldChar w:fldCharType="end"/>
      </w:r>
      <w:r>
        <w:fldChar w:fldCharType="end"/>
      </w:r>
    </w:p>
    <w:p>
      <w:pPr>
        <w:pStyle w:val="Toc1"/>
        <w:tabs>
          <w:tab w:val="right" w:leader="dot" w:pos="9016"/>
        </w:tabs>
        <w:rPr>
          <w:rFonts w:asciiTheme="majorHAnsi" w:hAnsiTheme="majorHAnsi"/>
          <w:i/>
        </w:rPr>
      </w:pPr>
      <w:r>
        <w:fldChar w:fldCharType="begin"/>
      </w:r>
      <w:r>
        <w:instrText xml:space="preserve">HYPERLINK \l "_Toc90734176" </w:instrText>
      </w:r>
      <w:r>
        <w:fldChar w:fldCharType="separate"/>
      </w:r>
      <w:r>
        <w:rPr>
          <w:rStyle w:val="Hyperlink"/>
          <w:rFonts w:asciiTheme="majorHAnsi" w:hAnsiTheme="majorHAnsi"/>
          <w:i/>
          <w:lang w:val="en-US"/>
        </w:rPr>
        <w:t>Survival and success factors</w:t>
      </w:r>
      <w:r>
        <w:rPr>
          <w:rFonts w:asciiTheme="majorHAnsi" w:hAnsiTheme="majorHAnsi"/>
          <w:i/>
        </w:rPr>
        <w:tab/>
      </w:r>
      <w:r>
        <w:fldChar w:fldCharType="begin"/>
      </w:r>
      <w:r>
        <w:instrText xml:space="preserve"> PAGEREF _Toc90734176 \h </w:instrText>
      </w:r>
      <w:r>
        <w:fldChar w:fldCharType="separate"/>
      </w:r>
      <w:r>
        <w:rPr>
          <w:rFonts w:asciiTheme="majorHAnsi" w:hAnsiTheme="majorHAnsi"/>
          <w:i/>
        </w:rPr>
        <w:t>6</w:t>
      </w:r>
      <w:r>
        <w:fldChar w:fldCharType="end"/>
      </w:r>
      <w:r>
        <w:fldChar w:fldCharType="end"/>
      </w:r>
    </w:p>
    <w:p>
      <w:pPr>
        <w:pStyle w:val="Toc1"/>
        <w:tabs>
          <w:tab w:val="right" w:leader="dot" w:pos="9016"/>
        </w:tabs>
        <w:rPr>
          <w:rFonts w:asciiTheme="majorHAnsi" w:hAnsiTheme="majorHAnsi"/>
          <w:i/>
        </w:rPr>
      </w:pPr>
      <w:r>
        <w:fldChar w:fldCharType="begin"/>
      </w:r>
      <w:r>
        <w:instrText xml:space="preserve">HYPERLINK \l "_Toc90734177" </w:instrText>
      </w:r>
      <w:r>
        <w:fldChar w:fldCharType="separate"/>
      </w:r>
      <w:r>
        <w:rPr>
          <w:rStyle w:val="Hyperlink"/>
          <w:rFonts w:asciiTheme="majorHAnsi" w:hAnsiTheme="majorHAnsi"/>
          <w:i/>
          <w:lang w:val="en-US"/>
        </w:rPr>
        <w:t>Megatrends</w:t>
      </w:r>
      <w:r>
        <w:rPr>
          <w:rFonts w:asciiTheme="majorHAnsi" w:hAnsiTheme="majorHAnsi"/>
          <w:i/>
        </w:rPr>
        <w:tab/>
      </w:r>
      <w:r>
        <w:fldChar w:fldCharType="begin"/>
      </w:r>
      <w:r>
        <w:instrText xml:space="preserve"> PAGEREF _Toc90734177 \h </w:instrText>
      </w:r>
      <w:r>
        <w:fldChar w:fldCharType="separate"/>
      </w:r>
      <w:r>
        <w:rPr>
          <w:rFonts w:asciiTheme="majorHAnsi" w:hAnsiTheme="majorHAnsi"/>
          <w:i/>
        </w:rPr>
        <w:t>6</w:t>
      </w:r>
      <w:r>
        <w:fldChar w:fldCharType="end"/>
      </w:r>
      <w:r>
        <w:fldChar w:fldCharType="end"/>
      </w:r>
    </w:p>
    <w:p>
      <w:pPr>
        <w:pStyle w:val="Toc1"/>
        <w:tabs>
          <w:tab w:val="right" w:leader="dot" w:pos="9016"/>
        </w:tabs>
        <w:rPr>
          <w:rFonts w:asciiTheme="majorHAnsi" w:hAnsiTheme="majorHAnsi"/>
          <w:i/>
        </w:rPr>
      </w:pPr>
      <w:r>
        <w:fldChar w:fldCharType="begin"/>
      </w:r>
      <w:r>
        <w:instrText xml:space="preserve">HYPERLINK \l "_Toc90734178" </w:instrText>
      </w:r>
      <w:r>
        <w:fldChar w:fldCharType="separate"/>
      </w:r>
      <w:r>
        <w:rPr>
          <w:rStyle w:val="Hyperlink"/>
          <w:rFonts w:asciiTheme="majorHAnsi" w:hAnsiTheme="majorHAnsi"/>
          <w:i/>
          <w:lang w:val="en-US"/>
        </w:rPr>
        <w:t>Recommendations</w:t>
      </w:r>
      <w:r>
        <w:rPr>
          <w:rFonts w:asciiTheme="majorHAnsi" w:hAnsiTheme="majorHAnsi"/>
          <w:i/>
        </w:rPr>
        <w:tab/>
      </w:r>
      <w:r>
        <w:fldChar w:fldCharType="begin"/>
      </w:r>
      <w:r>
        <w:instrText xml:space="preserve"> PAGEREF _Toc90734178 \h </w:instrText>
      </w:r>
      <w:r>
        <w:fldChar w:fldCharType="separate"/>
      </w:r>
      <w:r>
        <w:rPr>
          <w:rFonts w:asciiTheme="majorHAnsi" w:hAnsiTheme="majorHAnsi"/>
          <w:i/>
        </w:rPr>
        <w:t>7</w:t>
      </w:r>
      <w:r>
        <w:fldChar w:fldCharType="end"/>
      </w:r>
      <w:r>
        <w:fldChar w:fldCharType="end"/>
      </w:r>
    </w:p>
    <w:p>
      <w:pPr>
        <w:pStyle w:val="Toc1"/>
        <w:tabs>
          <w:tab w:val="right" w:leader="dot" w:pos="9016"/>
        </w:tabs>
        <w:rPr>
          <w:rFonts w:asciiTheme="majorHAnsi" w:hAnsiTheme="majorHAnsi"/>
          <w:i/>
        </w:rPr>
      </w:pPr>
      <w:r>
        <w:fldChar w:fldCharType="begin"/>
      </w:r>
      <w:r>
        <w:instrText xml:space="preserve">HYPERLINK \l "_Toc90734179" </w:instrText>
      </w:r>
      <w:r>
        <w:fldChar w:fldCharType="separate"/>
      </w:r>
      <w:r>
        <w:rPr>
          <w:rStyle w:val="Hyperlink"/>
          <w:rFonts w:asciiTheme="majorHAnsi" w:hAnsiTheme="majorHAnsi"/>
          <w:i/>
          <w:lang w:val="en-US"/>
        </w:rPr>
        <w:t>Conclusion</w:t>
      </w:r>
      <w:r>
        <w:rPr>
          <w:rFonts w:asciiTheme="majorHAnsi" w:hAnsiTheme="majorHAnsi"/>
          <w:i/>
        </w:rPr>
        <w:tab/>
      </w:r>
      <w:r>
        <w:fldChar w:fldCharType="begin"/>
      </w:r>
      <w:r>
        <w:instrText xml:space="preserve"> PAGEREF _Toc90734179 \h </w:instrText>
      </w:r>
      <w:r>
        <w:fldChar w:fldCharType="separate"/>
      </w:r>
      <w:r>
        <w:rPr>
          <w:rFonts w:asciiTheme="majorHAnsi" w:hAnsiTheme="majorHAnsi"/>
          <w:i/>
        </w:rPr>
        <w:t>9</w:t>
      </w:r>
      <w:r>
        <w:fldChar w:fldCharType="end"/>
      </w:r>
      <w:r>
        <w:fldChar w:fldCharType="end"/>
      </w:r>
    </w:p>
    <w:p>
      <w:pPr>
        <w:pStyle w:val="Toc1"/>
        <w:tabs>
          <w:tab w:val="right" w:leader="dot" w:pos="9016"/>
        </w:tabs>
        <w:rPr/>
      </w:pPr>
      <w:r>
        <w:fldChar w:fldCharType="begin"/>
      </w:r>
      <w:r>
        <w:instrText xml:space="preserve">HYPERLINK \l "_Toc90734180" </w:instrText>
      </w:r>
      <w:r>
        <w:fldChar w:fldCharType="separate"/>
      </w:r>
      <w:r>
        <w:rPr>
          <w:rStyle w:val="Hyperlink"/>
          <w:rFonts w:asciiTheme="majorHAnsi" w:hAnsiTheme="majorHAnsi"/>
          <w:i/>
          <w:lang w:val="en-US"/>
        </w:rPr>
        <w:t>Reference list</w:t>
      </w:r>
      <w:r>
        <w:rPr>
          <w:rFonts w:asciiTheme="majorHAnsi" w:hAnsiTheme="majorHAnsi"/>
          <w:i/>
        </w:rPr>
        <w:tab/>
      </w:r>
      <w:r>
        <w:fldChar w:fldCharType="begin"/>
      </w:r>
      <w:r>
        <w:instrText xml:space="preserve"> PAGEREF _Toc90734180 \h </w:instrText>
      </w:r>
      <w:r>
        <w:fldChar w:fldCharType="separate"/>
      </w:r>
      <w:r>
        <w:rPr>
          <w:rFonts w:asciiTheme="majorHAnsi" w:hAnsiTheme="majorHAnsi"/>
          <w:i/>
        </w:rPr>
        <w:t>10</w:t>
      </w:r>
      <w:r>
        <w:fldChar w:fldCharType="end"/>
      </w:r>
      <w:r>
        <w:fldChar w:fldCharType="end"/>
      </w:r>
    </w:p>
    <w:p>
      <w:r>
        <w:fldChar w:fldCharType="end"/>
      </w:r>
    </w:p>
    <w:p>
      <w:pPr>
        <w:pStyle w:val="Heading1"/>
        <w:spacing w:line="360" w:lineRule="auto"/>
        <w:jc w:val="both"/>
        <w:rPr>
          <w:rFonts w:ascii="Arial" w:cs="Arial" w:hAnsi="Arial"/>
          <w:sz w:val="24"/>
          <w:szCs w:val="24"/>
          <w:lang w:val="en-US"/>
        </w:rPr>
      </w:pPr>
    </w:p>
    <w:p>
      <w:pPr>
        <w:pStyle w:val="Heading1"/>
        <w:spacing w:line="360" w:lineRule="auto"/>
        <w:jc w:val="both"/>
        <w:rPr>
          <w:rFonts w:ascii="Arial" w:cs="Arial" w:hAnsi="Arial"/>
          <w:sz w:val="24"/>
          <w:szCs w:val="24"/>
          <w:lang w:val="en-US"/>
        </w:rPr>
      </w:pPr>
    </w:p>
    <w:p>
      <w:pPr>
        <w:pStyle w:val="Heading1"/>
        <w:spacing w:line="360" w:lineRule="auto"/>
        <w:jc w:val="both"/>
        <w:rPr>
          <w:rFonts w:ascii="Arial" w:cs="Arial" w:hAnsi="Arial"/>
          <w:sz w:val="24"/>
          <w:szCs w:val="24"/>
          <w:lang w:val="en-US"/>
        </w:rPr>
      </w:pPr>
    </w:p>
    <w:p>
      <w:pPr>
        <w:pStyle w:val="Heading1"/>
        <w:spacing w:line="360" w:lineRule="auto"/>
        <w:jc w:val="both"/>
        <w:rPr>
          <w:rFonts w:ascii="Arial" w:cs="Arial" w:hAnsi="Arial"/>
          <w:sz w:val="24"/>
          <w:szCs w:val="24"/>
          <w:lang w:val="en-US"/>
        </w:rPr>
      </w:pPr>
    </w:p>
    <w:p>
      <w:pPr>
        <w:pStyle w:val="Heading1"/>
        <w:spacing w:line="360" w:lineRule="auto"/>
        <w:jc w:val="both"/>
        <w:rPr>
          <w:rFonts w:cs="Arial"/>
          <w:i/>
          <w:color w:val="auto"/>
          <w:sz w:val="22"/>
          <w:szCs w:val="22"/>
          <w:lang w:val="en-US"/>
        </w:rPr>
      </w:pPr>
      <w:bookmarkStart w:id="1" w:name="_Toc90734167"/>
      <w:r>
        <w:rPr>
          <w:rFonts w:cs="Arial"/>
          <w:i/>
          <w:color w:val="auto"/>
          <w:sz w:val="22"/>
          <w:szCs w:val="22"/>
          <w:lang w:val="en-US"/>
        </w:rPr>
        <w:t>Introduction</w:t>
      </w:r>
      <w:bookmarkEnd w:id="1"/>
      <w:r>
        <w:rPr>
          <w:rFonts w:cs="Arial"/>
          <w:i/>
          <w:color w:val="auto"/>
          <w:sz w:val="22"/>
          <w:szCs w:val="22"/>
          <w:lang w:val="en-US"/>
        </w:rPr>
        <w:t xml:space="preserve"> </w:t>
      </w:r>
    </w:p>
    <w:p>
      <w:pPr>
        <w:pStyle w:val="Heading1"/>
        <w:spacing w:line="360" w:lineRule="auto"/>
        <w:jc w:val="both"/>
        <w:rPr>
          <w:rFonts w:cs="Arial"/>
          <w:b w:val="off"/>
          <w:i/>
          <w:color w:val="auto"/>
          <w:sz w:val="22"/>
          <w:szCs w:val="22"/>
          <w:lang w:val="en-US"/>
        </w:rPr>
      </w:pPr>
      <w:bookmarkStart w:id="2" w:name="_Toc90734168"/>
      <w:r>
        <w:rPr>
          <w:rFonts w:cs="Arial"/>
          <w:b w:val="off"/>
          <w:i/>
          <w:color w:val="auto"/>
          <w:sz w:val="22"/>
          <w:szCs w:val="22"/>
          <w:lang w:val="en-US"/>
        </w:rPr>
        <w:t xml:space="preserve">Excluding the health care industry, there seems to be no other sector that is seriously affected by the global epidemic. The consequences will not be limited to the short to medium term, and we will be observers to the effect for at least the next five years. Only by 2020, nearly every country on the planet will have lost an average of 3% of its GDP. Another significant problem is depreciation, which affects every country regardless of the severity of the global epidemic. Inflation has had a significant impact on average spending and people's earnings. The automobile industry is among the most severely harmed and damaged industries; as a result of the global epidemic stress and challenges, people are reluctant to make </w:t>
      </w:r>
      <w:r>
        <w:rPr>
          <w:rFonts w:cs="Arial"/>
          <w:b w:val="off"/>
          <w:i/>
          <w:color w:val="auto"/>
          <w:sz w:val="22"/>
          <w:szCs w:val="22"/>
          <w:lang w:val="en-US"/>
        </w:rPr>
        <w:t>large-ticket purchases, which has</w:t>
      </w:r>
      <w:r>
        <w:rPr>
          <w:rFonts w:cs="Arial"/>
          <w:b w:val="off"/>
          <w:i/>
          <w:color w:val="auto"/>
          <w:sz w:val="22"/>
          <w:szCs w:val="22"/>
          <w:lang w:val="en-US"/>
        </w:rPr>
        <w:t xml:space="preserve"> a direct impact on the company net income </w:t>
      </w:r>
      <w:bookmarkEnd w:id="2"/>
      <w:r>
        <w:rPr>
          <w:rFonts w:cs="Arial"/>
          <w:b w:val="off"/>
          <w:i/>
          <w:color w:val="auto"/>
          <w:sz w:val="22"/>
          <w:szCs w:val="22"/>
          <w:lang w:val="en-US"/>
        </w:rPr>
        <w:t>(Kumar, 2020).</w:t>
      </w:r>
    </w:p>
    <w:p>
      <w:pPr>
        <w:spacing w:line="360" w:lineRule="auto"/>
        <w:jc w:val="both"/>
        <w:rPr>
          <w:rFonts w:asciiTheme="majorHAnsi" w:cs="Arial" w:hAnsiTheme="majorHAnsi"/>
          <w:i/>
          <w:lang w:val="en-US"/>
        </w:rPr>
      </w:pPr>
    </w:p>
    <w:p>
      <w:pPr>
        <w:spacing w:line="360" w:lineRule="auto"/>
        <w:jc w:val="both"/>
        <w:rPr>
          <w:rFonts w:asciiTheme="majorHAnsi" w:cs="Arial" w:hAnsiTheme="majorHAnsi"/>
          <w:i/>
          <w:lang w:val="en-US"/>
        </w:rPr>
      </w:pPr>
      <w:r>
        <w:rPr>
          <w:rFonts w:asciiTheme="majorHAnsi" w:cs="Arial" w:hAnsiTheme="majorHAnsi"/>
          <w:i/>
          <w:lang w:val="en-US"/>
        </w:rPr>
        <w:t>Figure 1</w:t>
      </w:r>
    </w:p>
    <w:p>
      <w:pPr>
        <w:spacing w:line="360" w:lineRule="auto"/>
        <w:jc w:val="both"/>
        <w:rPr>
          <w:rFonts w:asciiTheme="majorHAnsi" w:cs="Arial" w:hAnsiTheme="majorHAnsi"/>
          <w:i/>
          <w:lang w:val="en-US"/>
        </w:rPr>
      </w:pPr>
      <w:r>
        <w:rPr>
          <w:rFonts w:asciiTheme="majorHAnsi" w:hAnsiTheme="majorHAnsi"/>
          <w:i/>
          <w:lang w:eastAsia="bg-BG"/>
        </w:rPr>
        <w:drawing xmlns:mc="http://schemas.openxmlformats.org/markup-compatibility/2006">
          <wp:inline distT="0" distB="0" distL="0" distR="0">
            <wp:extent cx="5731719" cy="2250219"/>
            <wp:effectExtent l="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5"/>
                    <a:srcRect/>
                    <a:stretch>
                      <a:fillRect/>
                    </a:stretch>
                  </pic:blipFill>
                  <pic:spPr>
                    <a:xfrm>
                      <a:off x="0" y="0"/>
                      <a:ext cx="5731719" cy="2250219"/>
                    </a:xfrm>
                    <a:prstGeom prst="rect">
                      <a:avLst/>
                    </a:prstGeom>
                    <a:noFill/>
                    <a:ln>
                      <a:noFill/>
                    </a:ln>
                  </pic:spPr>
                </pic:pic>
              </a:graphicData>
            </a:graphic>
          </wp:inline>
        </w:drawing>
      </w:r>
    </w:p>
    <w:p>
      <w:pPr>
        <w:spacing w:line="360" w:lineRule="auto"/>
        <w:jc w:val="both"/>
        <w:rPr>
          <w:rFonts w:asciiTheme="majorHAnsi" w:cs="Arial" w:hAnsiTheme="majorHAnsi"/>
          <w:i/>
          <w:lang w:val="en-US"/>
        </w:rPr>
      </w:pPr>
      <w:r>
        <w:rPr>
          <w:rFonts w:asciiTheme="majorHAnsi" w:cs="Arial" w:hAnsiTheme="majorHAnsi"/>
          <w:i/>
          <w:lang w:val="en-US"/>
        </w:rPr>
        <w:t>(Venkatesh</w:t>
      </w:r>
      <w:r>
        <w:rPr>
          <w:rFonts w:asciiTheme="majorHAnsi" w:cs="Arial" w:hAnsiTheme="majorHAnsi"/>
          <w:i/>
          <w:lang w:val="en-US"/>
        </w:rPr>
        <w:t>,2021</w:t>
      </w:r>
      <w:r>
        <w:rPr>
          <w:rFonts w:asciiTheme="majorHAnsi" w:cs="Arial" w:hAnsiTheme="majorHAnsi"/>
          <w:i/>
          <w:lang w:val="en-US"/>
        </w:rPr>
        <w:t>).</w:t>
      </w:r>
    </w:p>
    <w:p>
      <w:pPr>
        <w:pStyle w:val="Heading1"/>
        <w:spacing w:line="360" w:lineRule="auto"/>
        <w:jc w:val="both"/>
        <w:rPr>
          <w:rFonts w:cs="Arial"/>
          <w:i/>
          <w:color w:val="auto"/>
          <w:sz w:val="22"/>
          <w:szCs w:val="22"/>
          <w:lang w:val="en-US"/>
        </w:rPr>
      </w:pPr>
      <w:bookmarkStart w:id="3" w:name="_Toc90734169"/>
      <w:r>
        <w:rPr>
          <w:rFonts w:cs="Arial"/>
          <w:i/>
          <w:color w:val="auto"/>
          <w:sz w:val="22"/>
          <w:szCs w:val="22"/>
          <w:lang w:val="en-US"/>
        </w:rPr>
        <w:t>Impact of the pandemic</w:t>
      </w:r>
      <w:bookmarkEnd w:id="3"/>
    </w:p>
    <w:p>
      <w:pPr>
        <w:spacing w:line="360" w:lineRule="auto"/>
        <w:jc w:val="both"/>
        <w:rPr>
          <w:rFonts w:asciiTheme="majorHAnsi" w:cs="Arial" w:hAnsiTheme="majorHAnsi"/>
          <w:i/>
          <w:lang w:val="en-US"/>
        </w:rPr>
      </w:pPr>
      <w:r>
        <w:rPr>
          <w:rFonts w:asciiTheme="majorHAnsi" w:cs="Arial" w:hAnsiTheme="majorHAnsi"/>
          <w:i/>
          <w:lang w:val="en-US"/>
        </w:rPr>
        <w:t>The epidemic of COVID19 has seriously affected key areas such as logistics services, commerce, the farming industry, the automotive industry, the industrial application, transport, public transit, and tourist industry, and so on.</w:t>
      </w:r>
    </w:p>
    <w:p>
      <w:pPr>
        <w:spacing w:line="360" w:lineRule="auto"/>
        <w:jc w:val="both"/>
        <w:rPr>
          <w:rFonts w:asciiTheme="majorHAnsi" w:cs="Arial" w:hAnsiTheme="majorHAnsi"/>
          <w:i/>
          <w:lang w:val="en-US"/>
        </w:rPr>
      </w:pPr>
      <w:r>
        <w:rPr>
          <w:rFonts w:asciiTheme="majorHAnsi" w:cs="Arial" w:hAnsiTheme="majorHAnsi"/>
          <w:i/>
          <w:lang w:val="en-US"/>
        </w:rPr>
        <w:t>COVID19 has caused chaos on the world economy and civilization. In an effort to suppress the disease outbreak, the governments of all nations have placed a major national shutdown. Even though the restrictions helped to keep the disease from spreading, it had a disastrous impact on the community, interrupting total value channels in the world's greatest businesses. The pandemic is having a major effect on all areas of economy, such as the automobile sector, with big automakers either shutting down totally in accordance with local official orders or able to operate with the basic minimum of staff at production requirements to ens</w:t>
      </w:r>
      <w:r>
        <w:rPr>
          <w:rFonts w:asciiTheme="majorHAnsi" w:cs="Arial" w:hAnsiTheme="majorHAnsi"/>
          <w:i/>
          <w:lang w:val="en-US"/>
        </w:rPr>
        <w:t xml:space="preserve">ure the safety of their workers </w:t>
      </w:r>
      <w:r>
        <w:rPr>
          <w:rFonts w:asciiTheme="majorHAnsi" w:cs="Arial" w:hAnsiTheme="majorHAnsi"/>
          <w:i/>
          <w:lang w:val="en-US"/>
        </w:rPr>
        <w:t>(Brem,2021).</w:t>
      </w:r>
    </w:p>
    <w:p>
      <w:pPr>
        <w:pStyle w:val="Heading1"/>
        <w:numPr>
          <w:ilvl w:val="0"/>
          <w:numId w:val="1"/>
        </w:numPr>
        <w:spacing w:line="360" w:lineRule="auto"/>
        <w:jc w:val="both"/>
        <w:rPr>
          <w:rFonts w:cs="Arial"/>
          <w:i/>
          <w:color w:val="auto"/>
          <w:sz w:val="22"/>
          <w:szCs w:val="22"/>
          <w:lang w:val="en-US"/>
        </w:rPr>
      </w:pPr>
      <w:bookmarkStart w:id="4" w:name="_Toc90734170"/>
      <w:r>
        <w:rPr>
          <w:rFonts w:cs="Arial"/>
          <w:i/>
          <w:color w:val="auto"/>
          <w:sz w:val="22"/>
          <w:szCs w:val="22"/>
          <w:lang w:val="en-US"/>
        </w:rPr>
        <w:t>Decreasing vehicle sales</w:t>
      </w:r>
      <w:bookmarkEnd w:id="4"/>
    </w:p>
    <w:p>
      <w:pPr>
        <w:spacing w:line="360" w:lineRule="auto"/>
        <w:jc w:val="both"/>
        <w:rPr>
          <w:rFonts w:asciiTheme="majorHAnsi" w:cs="Arial" w:hAnsiTheme="majorHAnsi"/>
          <w:i/>
          <w:lang w:val="en-US"/>
        </w:rPr>
      </w:pPr>
      <w:r>
        <w:rPr>
          <w:rFonts w:asciiTheme="majorHAnsi" w:cs="Arial" w:hAnsiTheme="majorHAnsi"/>
          <w:i/>
          <w:lang w:val="en-US"/>
        </w:rPr>
        <w:t>Customers' spending reduced significantly as a result of COVID19, resulting in a substantial drop in vehicle sales and company profits in the sector. As a result of lower customer requirements, numerous greater auto brands reduced their car levels of production. China had intended to generate over 30 million vehicles in the coming year, but the covid19 disease outbreak hit and</w:t>
      </w:r>
      <w:r>
        <w:rPr>
          <w:rFonts w:asciiTheme="majorHAnsi" w:cs="Arial" w:hAnsiTheme="majorHAnsi"/>
          <w:i/>
          <w:lang w:val="en-US"/>
        </w:rPr>
        <w:t xml:space="preserve"> totally changed their position </w:t>
      </w:r>
      <w:r>
        <w:rPr>
          <w:rFonts w:asciiTheme="majorHAnsi" w:cs="Arial" w:hAnsiTheme="majorHAnsi"/>
          <w:i/>
          <w:lang w:val="en-US"/>
        </w:rPr>
        <w:t>(Venkatesh</w:t>
      </w:r>
      <w:r>
        <w:rPr>
          <w:rFonts w:asciiTheme="majorHAnsi" w:cs="Arial" w:hAnsiTheme="majorHAnsi"/>
          <w:i/>
          <w:lang w:val="en-US"/>
        </w:rPr>
        <w:t>,2021</w:t>
      </w:r>
      <w:r>
        <w:rPr>
          <w:rFonts w:asciiTheme="majorHAnsi" w:cs="Arial" w:hAnsiTheme="majorHAnsi"/>
          <w:i/>
          <w:lang w:val="en-US"/>
        </w:rPr>
        <w:t>).</w:t>
      </w:r>
    </w:p>
    <w:p>
      <w:pPr>
        <w:pStyle w:val="Heading1"/>
        <w:numPr>
          <w:ilvl w:val="0"/>
          <w:numId w:val="1"/>
        </w:numPr>
        <w:spacing w:line="360" w:lineRule="auto"/>
        <w:jc w:val="both"/>
        <w:rPr>
          <w:rFonts w:cs="Arial"/>
          <w:i/>
          <w:color w:val="auto"/>
          <w:sz w:val="22"/>
          <w:szCs w:val="22"/>
          <w:lang w:val="en-US"/>
        </w:rPr>
      </w:pPr>
      <w:bookmarkStart w:id="5" w:name="_Toc90734171"/>
      <w:r>
        <w:rPr>
          <w:rFonts w:cs="Arial"/>
          <w:i/>
          <w:color w:val="auto"/>
          <w:sz w:val="22"/>
          <w:szCs w:val="22"/>
          <w:lang w:val="en-US"/>
        </w:rPr>
        <w:t>China parts issues</w:t>
      </w:r>
      <w:bookmarkEnd w:id="5"/>
    </w:p>
    <w:p>
      <w:pPr>
        <w:spacing w:line="360" w:lineRule="auto"/>
        <w:jc w:val="both"/>
        <w:rPr>
          <w:rFonts w:asciiTheme="majorHAnsi" w:cs="Arial" w:hAnsiTheme="majorHAnsi"/>
          <w:i/>
          <w:lang w:val="en-US"/>
        </w:rPr>
      </w:pPr>
      <w:r>
        <w:rPr>
          <w:rFonts w:asciiTheme="majorHAnsi" w:cs="Arial" w:hAnsiTheme="majorHAnsi"/>
          <w:i/>
          <w:lang w:val="en-US"/>
        </w:rPr>
        <w:t xml:space="preserve">China is the world's largest auto parts producer, producing parts for a wide range of brands and businesses. Because of the limitations and social distance, the global epidemic reduced and posed major challenges for parts production throughout the world. This issue poses severe issues to automakers such as Toyota, Mercedes-Benz, Lexus, Audi, Honda, Range Rover, and others, which are known for their </w:t>
      </w:r>
      <w:r>
        <w:rPr>
          <w:rFonts w:asciiTheme="majorHAnsi" w:cs="Arial" w:hAnsiTheme="majorHAnsi"/>
          <w:i/>
          <w:lang w:val="en-US"/>
        </w:rPr>
        <w:t xml:space="preserve">high profit and revenue margins </w:t>
      </w:r>
      <w:r>
        <w:rPr>
          <w:rFonts w:asciiTheme="majorHAnsi" w:cs="Arial" w:hAnsiTheme="majorHAnsi"/>
          <w:i/>
          <w:lang w:val="en-US"/>
        </w:rPr>
        <w:t>(Brem</w:t>
      </w:r>
      <w:r>
        <w:rPr>
          <w:rFonts w:asciiTheme="majorHAnsi" w:cs="Arial" w:hAnsiTheme="majorHAnsi"/>
          <w:i/>
          <w:lang w:val="en-US"/>
        </w:rPr>
        <w:t>,2021</w:t>
      </w:r>
      <w:r>
        <w:rPr>
          <w:rFonts w:asciiTheme="majorHAnsi" w:cs="Arial" w:hAnsiTheme="majorHAnsi"/>
          <w:i/>
          <w:lang w:val="en-US"/>
        </w:rPr>
        <w:t>).</w:t>
      </w:r>
    </w:p>
    <w:p>
      <w:pPr>
        <w:pStyle w:val="Heading1"/>
        <w:spacing w:line="360" w:lineRule="auto"/>
        <w:jc w:val="both"/>
        <w:rPr>
          <w:rFonts w:cs="Arial"/>
          <w:i/>
          <w:color w:val="auto"/>
          <w:sz w:val="22"/>
          <w:szCs w:val="22"/>
          <w:lang w:val="en-US"/>
        </w:rPr>
      </w:pPr>
      <w:bookmarkStart w:id="6" w:name="_Toc90734172"/>
      <w:r>
        <w:rPr>
          <w:rFonts w:cs="Arial" w:eastAsiaTheme="minorHAnsi"/>
          <w:b w:val="off"/>
          <w:bCs w:val="off"/>
          <w:i/>
          <w:color w:val="auto"/>
          <w:sz w:val="22"/>
          <w:szCs w:val="22"/>
          <w:lang w:val="en-US"/>
        </w:rPr>
        <w:t xml:space="preserve">The Chinese market accounts for up to 40% of global auto </w:t>
      </w:r>
      <w:r>
        <w:rPr>
          <w:rFonts w:cs="Arial" w:eastAsiaTheme="minorHAnsi"/>
          <w:b w:val="off"/>
          <w:bCs w:val="off"/>
          <w:i/>
          <w:color w:val="auto"/>
          <w:sz w:val="22"/>
          <w:szCs w:val="22"/>
          <w:lang w:val="en-US"/>
        </w:rPr>
        <w:t>manufacturing,</w:t>
      </w:r>
      <w:r>
        <w:rPr>
          <w:rFonts w:cs="Arial" w:eastAsiaTheme="minorHAnsi"/>
          <w:b w:val="off"/>
          <w:bCs w:val="off"/>
          <w:i/>
          <w:color w:val="auto"/>
          <w:sz w:val="22"/>
          <w:szCs w:val="22"/>
          <w:lang w:val="en-US"/>
        </w:rPr>
        <w:t xml:space="preserve"> and global epidemic issues have had a significant huge impact on the environment automobile sector.</w:t>
      </w:r>
    </w:p>
    <w:p>
      <w:pPr>
        <w:pStyle w:val="Heading1"/>
        <w:numPr>
          <w:ilvl w:val="0"/>
          <w:numId w:val="1"/>
        </w:numPr>
        <w:spacing w:line="360" w:lineRule="auto"/>
        <w:jc w:val="both"/>
        <w:rPr>
          <w:rFonts w:cs="Arial"/>
          <w:i/>
          <w:color w:val="auto"/>
          <w:sz w:val="22"/>
          <w:szCs w:val="22"/>
          <w:lang w:val="en-US"/>
        </w:rPr>
      </w:pPr>
      <w:r>
        <w:rPr>
          <w:rFonts w:cs="Arial"/>
          <w:i/>
          <w:color w:val="auto"/>
          <w:sz w:val="22"/>
          <w:szCs w:val="22"/>
          <w:lang w:val="en-US"/>
        </w:rPr>
        <w:t>Production of new cars</w:t>
      </w:r>
      <w:bookmarkEnd w:id="6"/>
    </w:p>
    <w:p>
      <w:pPr>
        <w:spacing w:line="360" w:lineRule="auto"/>
        <w:jc w:val="both"/>
        <w:rPr>
          <w:rFonts w:asciiTheme="majorHAnsi" w:cs="Arial" w:hAnsiTheme="majorHAnsi"/>
          <w:i/>
          <w:lang w:val="en-US"/>
        </w:rPr>
      </w:pPr>
      <w:r>
        <w:rPr>
          <w:rFonts w:asciiTheme="majorHAnsi" w:cs="Arial" w:hAnsiTheme="majorHAnsi"/>
          <w:i/>
          <w:lang w:val="en-US"/>
        </w:rPr>
        <w:t xml:space="preserve">The global GDP declined significantly of 3%, and this, combined with high rising prices, caused prospective customers to postpone these types of payments in favor of saving. This worldwide consumer attitude has a negative impact on the automotive sector, as credit option purchases have </w:t>
      </w:r>
      <w:r>
        <w:rPr>
          <w:rFonts w:asciiTheme="majorHAnsi" w:cs="Arial" w:hAnsiTheme="majorHAnsi"/>
          <w:i/>
          <w:lang w:val="en-US"/>
        </w:rPr>
        <w:t>reduced significantly as a result of inflationary pressures. All first-need household items have risen dramatically in price, and this, combined with the threat of losing your employment, has caused the choice to buy a ne</w:t>
      </w:r>
      <w:r>
        <w:rPr>
          <w:rFonts w:asciiTheme="majorHAnsi" w:cs="Arial" w:hAnsiTheme="majorHAnsi"/>
          <w:i/>
          <w:lang w:val="en-US"/>
        </w:rPr>
        <w:t xml:space="preserve">w car to be postponed once more </w:t>
      </w:r>
      <w:r>
        <w:rPr>
          <w:rFonts w:asciiTheme="majorHAnsi" w:cs="Arial" w:hAnsiTheme="majorHAnsi"/>
          <w:i/>
          <w:lang w:val="en-US"/>
        </w:rPr>
        <w:t>(Kumar, 2020).</w:t>
      </w:r>
    </w:p>
    <w:p>
      <w:pPr>
        <w:pStyle w:val="Heading1"/>
        <w:numPr>
          <w:ilvl w:val="0"/>
          <w:numId w:val="1"/>
        </w:numPr>
        <w:spacing w:line="360" w:lineRule="auto"/>
        <w:jc w:val="both"/>
        <w:rPr>
          <w:rFonts w:cs="Arial"/>
          <w:i/>
          <w:color w:val="auto"/>
          <w:sz w:val="22"/>
          <w:szCs w:val="22"/>
          <w:lang w:val="en-US"/>
        </w:rPr>
      </w:pPr>
      <w:bookmarkStart w:id="7" w:name="_Toc90734173"/>
      <w:r>
        <w:rPr>
          <w:rFonts w:cs="Arial"/>
          <w:i/>
          <w:color w:val="auto"/>
          <w:sz w:val="22"/>
          <w:szCs w:val="22"/>
          <w:lang w:val="en-US"/>
        </w:rPr>
        <w:t>Cyclical impact from higher unemployment</w:t>
      </w:r>
      <w:bookmarkEnd w:id="7"/>
    </w:p>
    <w:p>
      <w:pPr>
        <w:spacing w:line="360" w:lineRule="auto"/>
        <w:jc w:val="both"/>
        <w:rPr>
          <w:rFonts w:asciiTheme="majorHAnsi" w:cs="Arial" w:hAnsiTheme="majorHAnsi"/>
          <w:i/>
          <w:lang w:val="en-US"/>
        </w:rPr>
      </w:pPr>
    </w:p>
    <w:p>
      <w:pPr>
        <w:spacing w:line="360" w:lineRule="auto"/>
        <w:jc w:val="both"/>
        <w:rPr>
          <w:rFonts w:asciiTheme="majorHAnsi" w:cs="Arial" w:hAnsiTheme="majorHAnsi"/>
          <w:i/>
          <w:lang w:val="en-US"/>
        </w:rPr>
      </w:pPr>
      <w:r>
        <w:rPr>
          <w:rFonts w:asciiTheme="majorHAnsi" w:cs="Arial" w:hAnsiTheme="majorHAnsi"/>
          <w:i/>
          <w:lang w:val="en-US"/>
        </w:rPr>
        <w:t xml:space="preserve">Human circumstances changed in terms of the dynamic environment, and individuals began to return to a </w:t>
      </w:r>
      <w:r>
        <w:rPr>
          <w:rFonts w:asciiTheme="majorHAnsi" w:cs="Arial" w:hAnsiTheme="majorHAnsi"/>
          <w:i/>
          <w:lang w:val="en-US"/>
        </w:rPr>
        <w:t>heathy</w:t>
      </w:r>
      <w:r>
        <w:rPr>
          <w:rFonts w:asciiTheme="majorHAnsi" w:cs="Arial" w:hAnsiTheme="majorHAnsi"/>
          <w:i/>
          <w:lang w:val="en-US"/>
        </w:rPr>
        <w:t xml:space="preserve"> way of life in which they could cycle to work or home without using any credit cards. Individuals started to cycle well before the global epidemic, nowadays and, as a result of the shutdowns, this trend is intensifying, having a devastating effect on worldwide</w:t>
      </w:r>
      <w:r>
        <w:rPr>
          <w:rFonts w:asciiTheme="majorHAnsi" w:cs="Arial" w:hAnsiTheme="majorHAnsi"/>
          <w:i/>
          <w:lang w:val="en-US"/>
        </w:rPr>
        <w:t xml:space="preserve"> auto sales, not just in the UK </w:t>
      </w:r>
      <w:r>
        <w:rPr>
          <w:rFonts w:asciiTheme="majorHAnsi" w:cs="Arial" w:hAnsiTheme="majorHAnsi"/>
          <w:i/>
          <w:lang w:val="en-US"/>
        </w:rPr>
        <w:t>(Pruncu</w:t>
      </w:r>
      <w:r>
        <w:rPr>
          <w:rFonts w:asciiTheme="majorHAnsi" w:cs="Arial" w:hAnsiTheme="majorHAnsi"/>
          <w:i/>
          <w:lang w:val="en-US"/>
        </w:rPr>
        <w:t>,2021</w:t>
      </w:r>
      <w:r>
        <w:rPr>
          <w:rFonts w:asciiTheme="majorHAnsi" w:cs="Arial" w:hAnsiTheme="majorHAnsi"/>
          <w:i/>
          <w:lang w:val="en-US"/>
        </w:rPr>
        <w:t>).</w:t>
      </w:r>
    </w:p>
    <w:p>
      <w:pPr>
        <w:pStyle w:val="Heading1"/>
        <w:spacing w:line="360" w:lineRule="auto"/>
        <w:jc w:val="both"/>
        <w:rPr>
          <w:rFonts w:cs="Arial"/>
          <w:i/>
          <w:color w:val="auto"/>
          <w:sz w:val="22"/>
          <w:szCs w:val="22"/>
          <w:lang w:val="en-US"/>
        </w:rPr>
      </w:pPr>
      <w:bookmarkStart w:id="8" w:name="_Toc90734174"/>
      <w:r>
        <w:rPr>
          <w:rFonts w:cs="Arial" w:eastAsiaTheme="minorHAnsi"/>
          <w:b w:val="off"/>
          <w:bCs w:val="off"/>
          <w:i/>
          <w:color w:val="auto"/>
          <w:sz w:val="22"/>
          <w:szCs w:val="22"/>
          <w:lang w:val="en-US"/>
        </w:rPr>
        <w:t>Another trend that is reducing and having a negative effect is the use of electric scooters. These have rapidly expanded globally, and many people are beginning to recommend this mode of transportation to get to work and back household, reducing the need for a second vehicle, which has a d</w:t>
      </w:r>
      <w:r>
        <w:rPr>
          <w:rFonts w:cs="Arial" w:eastAsiaTheme="minorHAnsi"/>
          <w:b w:val="off"/>
          <w:bCs w:val="off"/>
          <w:i/>
          <w:color w:val="auto"/>
          <w:sz w:val="22"/>
          <w:szCs w:val="22"/>
          <w:lang w:val="en-US"/>
        </w:rPr>
        <w:t xml:space="preserve">etrimental effect on auto sales </w:t>
      </w:r>
      <w:r>
        <w:rPr>
          <w:rFonts w:cs="Arial" w:eastAsiaTheme="minorHAnsi"/>
          <w:b w:val="off"/>
          <w:bCs w:val="off"/>
          <w:i/>
          <w:color w:val="auto"/>
          <w:sz w:val="22"/>
          <w:szCs w:val="22"/>
          <w:lang w:val="en-US"/>
        </w:rPr>
        <w:t>(Venkatesh</w:t>
      </w:r>
      <w:r>
        <w:rPr>
          <w:rFonts w:cs="Arial" w:eastAsiaTheme="minorHAnsi"/>
          <w:b w:val="off"/>
          <w:bCs w:val="off"/>
          <w:i/>
          <w:color w:val="auto"/>
          <w:sz w:val="22"/>
          <w:szCs w:val="22"/>
          <w:lang w:val="en-US"/>
        </w:rPr>
        <w:t>,2021</w:t>
      </w:r>
      <w:r>
        <w:rPr>
          <w:rFonts w:cs="Arial" w:eastAsiaTheme="minorHAnsi"/>
          <w:b w:val="off"/>
          <w:bCs w:val="off"/>
          <w:i/>
          <w:color w:val="auto"/>
          <w:sz w:val="22"/>
          <w:szCs w:val="22"/>
          <w:lang w:val="en-US"/>
        </w:rPr>
        <w:t>).</w:t>
      </w:r>
    </w:p>
    <w:p>
      <w:pPr>
        <w:pStyle w:val="Heading1"/>
        <w:numPr>
          <w:ilvl w:val="0"/>
          <w:numId w:val="1"/>
        </w:numPr>
        <w:spacing w:line="360" w:lineRule="auto"/>
        <w:jc w:val="both"/>
        <w:rPr>
          <w:rFonts w:cs="Arial"/>
          <w:i/>
          <w:color w:val="auto"/>
          <w:sz w:val="22"/>
          <w:szCs w:val="22"/>
          <w:lang w:val="en-US"/>
        </w:rPr>
      </w:pPr>
      <w:r>
        <w:rPr>
          <w:rFonts w:cs="Arial"/>
          <w:i/>
          <w:color w:val="auto"/>
          <w:sz w:val="22"/>
          <w:szCs w:val="22"/>
          <w:lang w:val="en-US"/>
        </w:rPr>
        <w:t>Demand for electric vehicles</w:t>
      </w:r>
      <w:bookmarkEnd w:id="8"/>
    </w:p>
    <w:p>
      <w:pPr>
        <w:spacing w:line="360" w:lineRule="auto"/>
        <w:jc w:val="both"/>
        <w:rPr>
          <w:rFonts w:asciiTheme="majorHAnsi" w:cs="Arial" w:hAnsiTheme="majorHAnsi"/>
          <w:i/>
          <w:lang w:val="en-US"/>
        </w:rPr>
      </w:pPr>
      <w:r>
        <w:rPr>
          <w:rFonts w:asciiTheme="majorHAnsi" w:cs="Arial" w:hAnsiTheme="majorHAnsi"/>
          <w:i/>
          <w:lang w:val="en-US"/>
        </w:rPr>
        <w:t>Fuel prices are rising substantially every month, and if you continue driving a diesel car in the EU, you will face massive high taxes. All of this has a significant impact on consumer supply for hybrid and electric vehicles. Presently, this expectation cannot be adequately met due to the high cost of electrical car and the high cost of main</w:t>
      </w:r>
      <w:r>
        <w:rPr>
          <w:rFonts w:asciiTheme="majorHAnsi" w:cs="Arial" w:hAnsiTheme="majorHAnsi"/>
          <w:i/>
          <w:lang w:val="en-US"/>
        </w:rPr>
        <w:t xml:space="preserve">taining these types of vehicles </w:t>
      </w:r>
      <w:r>
        <w:rPr>
          <w:rFonts w:asciiTheme="majorHAnsi" w:cs="Arial" w:hAnsiTheme="majorHAnsi"/>
          <w:i/>
          <w:lang w:val="en-US"/>
        </w:rPr>
        <w:t>(Brem</w:t>
      </w:r>
      <w:r>
        <w:rPr>
          <w:rFonts w:asciiTheme="majorHAnsi" w:cs="Arial" w:hAnsiTheme="majorHAnsi"/>
          <w:i/>
          <w:lang w:val="en-US"/>
        </w:rPr>
        <w:t>,2021</w:t>
      </w:r>
      <w:r>
        <w:rPr>
          <w:rFonts w:asciiTheme="majorHAnsi" w:cs="Arial" w:hAnsiTheme="majorHAnsi"/>
          <w:i/>
          <w:lang w:val="en-US"/>
        </w:rPr>
        <w:t>).</w:t>
      </w:r>
    </w:p>
    <w:p>
      <w:pPr>
        <w:spacing w:line="360" w:lineRule="auto"/>
        <w:jc w:val="both"/>
        <w:rPr>
          <w:rFonts w:asciiTheme="majorHAnsi" w:cs="Arial" w:hAnsiTheme="majorHAnsi"/>
          <w:i/>
          <w:lang w:val="en-US"/>
        </w:rPr>
      </w:pPr>
      <w:r>
        <w:rPr>
          <w:rFonts w:asciiTheme="majorHAnsi" w:cs="Arial" w:hAnsiTheme="majorHAnsi"/>
          <w:i/>
          <w:lang w:val="en-US"/>
        </w:rPr>
        <w:t xml:space="preserve">The transition to hybrids and electric vehicles will proceed, with the number of these vehicles on the market continuing to increase. Due to higher fuel prices and the high cost of electric vehicles, this process has a detrimental effect on the automotive sector, and users </w:t>
      </w:r>
      <w:r>
        <w:rPr>
          <w:rFonts w:asciiTheme="majorHAnsi" w:cs="Arial" w:hAnsiTheme="majorHAnsi"/>
          <w:i/>
          <w:lang w:val="en-US"/>
        </w:rPr>
        <w:t xml:space="preserve">are searching for other options </w:t>
      </w:r>
      <w:r>
        <w:rPr>
          <w:rFonts w:asciiTheme="majorHAnsi" w:cs="Arial" w:hAnsiTheme="majorHAnsi"/>
          <w:i/>
          <w:lang w:val="en-US"/>
        </w:rPr>
        <w:t>(Kumar, 2020).</w:t>
      </w:r>
    </w:p>
    <w:p>
      <w:pPr>
        <w:spacing w:line="360" w:lineRule="auto"/>
        <w:jc w:val="both"/>
        <w:rPr>
          <w:rFonts w:asciiTheme="majorHAnsi" w:cs="Arial" w:hAnsiTheme="majorHAnsi"/>
          <w:i/>
          <w:lang w:val="en-US"/>
        </w:rPr>
      </w:pPr>
    </w:p>
    <w:p>
      <w:pPr>
        <w:pStyle w:val="Heading1"/>
        <w:numPr>
          <w:ilvl w:val="0"/>
          <w:numId w:val="1"/>
        </w:numPr>
        <w:spacing w:line="360" w:lineRule="auto"/>
        <w:jc w:val="both"/>
        <w:rPr>
          <w:rFonts w:cs="Arial"/>
          <w:i/>
          <w:color w:val="auto"/>
          <w:sz w:val="22"/>
          <w:szCs w:val="22"/>
          <w:lang w:val="en-US"/>
        </w:rPr>
      </w:pPr>
      <w:bookmarkStart w:id="9" w:name="_Toc90734175"/>
      <w:r>
        <w:rPr>
          <w:rFonts w:cs="Arial"/>
          <w:i/>
          <w:color w:val="auto"/>
          <w:sz w:val="22"/>
          <w:szCs w:val="22"/>
          <w:lang w:val="en-US"/>
        </w:rPr>
        <w:t>Supply chains be adjusted due to Covid-19</w:t>
      </w:r>
      <w:bookmarkEnd w:id="9"/>
    </w:p>
    <w:p>
      <w:pPr>
        <w:spacing w:line="360" w:lineRule="auto"/>
        <w:jc w:val="both"/>
        <w:rPr>
          <w:rFonts w:asciiTheme="majorHAnsi" w:cs="Arial" w:hAnsiTheme="majorHAnsi"/>
          <w:i/>
          <w:lang w:val="en-US"/>
        </w:rPr>
      </w:pPr>
      <w:r>
        <w:rPr>
          <w:rFonts w:asciiTheme="majorHAnsi" w:cs="Arial" w:hAnsiTheme="majorHAnsi"/>
          <w:i/>
          <w:lang w:val="en-US"/>
        </w:rPr>
        <w:t>As a result of the decreased sales, the market responds by shrinking distribution networks, as businesses start focusing on reducing the loss and damage done by the flu epidemic. Due to the aforementioned challenges, we can see in the Figure 2 below that the proportion of shrinkage in 2020 will be t</w:t>
      </w:r>
      <w:r>
        <w:rPr>
          <w:rFonts w:asciiTheme="majorHAnsi" w:cs="Arial" w:hAnsiTheme="majorHAnsi"/>
          <w:i/>
          <w:lang w:val="en-US"/>
        </w:rPr>
        <w:t xml:space="preserve">he maximum in the last 20 years </w:t>
      </w:r>
      <w:r>
        <w:rPr>
          <w:rFonts w:asciiTheme="majorHAnsi" w:cs="Arial" w:hAnsiTheme="majorHAnsi"/>
          <w:i/>
          <w:lang w:val="en-US"/>
        </w:rPr>
        <w:t>(Venkatesh</w:t>
      </w:r>
      <w:r>
        <w:rPr>
          <w:rFonts w:asciiTheme="majorHAnsi" w:cs="Arial" w:hAnsiTheme="majorHAnsi"/>
          <w:i/>
          <w:lang w:val="en-US"/>
        </w:rPr>
        <w:t>,2021</w:t>
      </w:r>
      <w:r>
        <w:rPr>
          <w:rFonts w:asciiTheme="majorHAnsi" w:cs="Arial" w:hAnsiTheme="majorHAnsi"/>
          <w:i/>
          <w:lang w:val="en-US"/>
        </w:rPr>
        <w:t>).</w:t>
      </w:r>
    </w:p>
    <w:p>
      <w:pPr>
        <w:spacing w:line="360" w:lineRule="auto"/>
        <w:jc w:val="both"/>
        <w:rPr>
          <w:rFonts w:asciiTheme="majorHAnsi" w:cs="Arial" w:hAnsiTheme="majorHAnsi"/>
          <w:i/>
          <w:lang w:val="en-US" w:eastAsia="bg-BG"/>
        </w:rPr>
      </w:pPr>
      <w:r>
        <w:rPr>
          <w:rFonts w:asciiTheme="majorHAnsi" w:cs="Arial" w:hAnsiTheme="majorHAnsi"/>
          <w:i/>
          <w:lang w:val="en-US"/>
        </w:rPr>
        <w:t>Figure</w:t>
      </w:r>
      <w:r>
        <w:rPr>
          <w:rFonts w:asciiTheme="majorHAnsi" w:cs="Arial" w:hAnsiTheme="majorHAnsi"/>
          <w:i/>
          <w:lang w:val="en-US"/>
        </w:rPr>
        <w:t xml:space="preserve"> </w:t>
      </w:r>
      <w:r>
        <w:rPr>
          <w:rFonts w:asciiTheme="majorHAnsi" w:cs="Arial" w:hAnsiTheme="majorHAnsi"/>
          <w:i/>
          <w:lang w:val="en-US"/>
        </w:rPr>
        <w:t xml:space="preserve"> 2</w:t>
      </w:r>
    </w:p>
    <w:p>
      <w:pPr>
        <w:spacing w:line="360" w:lineRule="auto"/>
        <w:jc w:val="both"/>
        <w:rPr>
          <w:rFonts w:asciiTheme="majorHAnsi" w:cs="Arial" w:hAnsiTheme="majorHAnsi"/>
          <w:i/>
          <w:lang w:val="en-US"/>
        </w:rPr>
      </w:pPr>
      <w:r>
        <w:rPr>
          <w:rFonts w:asciiTheme="majorHAnsi" w:hAnsiTheme="majorHAnsi"/>
          <w:i/>
          <w:lang w:eastAsia="bg-BG"/>
        </w:rPr>
        <w:drawing xmlns:mc="http://schemas.openxmlformats.org/markup-compatibility/2006">
          <wp:inline distT="0" distB="0" distL="0" distR="0">
            <wp:extent cx="5731510" cy="3185069"/>
            <wp:effectExtent l="0" t="0" r="0" b="0"/>
            <wp:docPr id="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6"/>
                    <a:srcRect/>
                    <a:stretch>
                      <a:fillRect/>
                    </a:stretch>
                  </pic:blipFill>
                  <pic:spPr>
                    <a:xfrm>
                      <a:off x="0" y="0"/>
                      <a:ext cx="5731510" cy="3185069"/>
                    </a:xfrm>
                    <a:prstGeom prst="rect">
                      <a:avLst/>
                    </a:prstGeom>
                    <a:noFill/>
                    <a:ln>
                      <a:noFill/>
                    </a:ln>
                  </pic:spPr>
                </pic:pic>
              </a:graphicData>
            </a:graphic>
          </wp:inline>
        </w:drawing>
      </w:r>
    </w:p>
    <w:p>
      <w:pPr>
        <w:pStyle w:val="Heading1"/>
        <w:spacing w:line="360" w:lineRule="auto"/>
        <w:jc w:val="both"/>
        <w:rPr>
          <w:rFonts w:cs="Arial"/>
          <w:b w:val="off"/>
          <w:i/>
          <w:color w:val="auto"/>
          <w:sz w:val="22"/>
          <w:szCs w:val="22"/>
          <w:lang w:val="en-US"/>
        </w:rPr>
      </w:pPr>
      <w:bookmarkStart w:id="10" w:name="_Toc90734176"/>
      <w:r>
        <w:rPr>
          <w:rFonts w:cs="Arial"/>
          <w:b w:val="off"/>
          <w:i/>
          <w:color w:val="auto"/>
          <w:sz w:val="22"/>
          <w:szCs w:val="22"/>
          <w:lang w:val="en-US"/>
        </w:rPr>
        <w:t>(Venkatesh</w:t>
      </w:r>
      <w:r>
        <w:rPr>
          <w:rFonts w:cs="Arial"/>
          <w:b w:val="off"/>
          <w:i/>
          <w:color w:val="auto"/>
          <w:sz w:val="22"/>
          <w:szCs w:val="22"/>
          <w:lang w:val="en-US"/>
        </w:rPr>
        <w:t>,2021</w:t>
      </w:r>
      <w:r>
        <w:rPr>
          <w:rFonts w:cs="Arial"/>
          <w:b w:val="off"/>
          <w:i/>
          <w:color w:val="auto"/>
          <w:sz w:val="22"/>
          <w:szCs w:val="22"/>
          <w:lang w:val="en-US"/>
        </w:rPr>
        <w:t>)</w:t>
      </w:r>
    </w:p>
    <w:p>
      <w:pPr>
        <w:pStyle w:val="Heading1"/>
        <w:spacing w:line="360" w:lineRule="auto"/>
        <w:jc w:val="both"/>
        <w:rPr>
          <w:rFonts w:cs="Arial"/>
          <w:i/>
          <w:color w:val="auto"/>
          <w:sz w:val="22"/>
          <w:szCs w:val="22"/>
          <w:lang w:val="en-US"/>
        </w:rPr>
      </w:pPr>
      <w:r>
        <w:rPr>
          <w:rFonts w:cs="Arial"/>
          <w:i/>
          <w:color w:val="auto"/>
          <w:sz w:val="22"/>
          <w:szCs w:val="22"/>
          <w:lang w:val="en-US"/>
        </w:rPr>
        <w:t>S</w:t>
      </w:r>
      <w:r>
        <w:rPr>
          <w:rFonts w:cs="Arial"/>
          <w:i/>
          <w:color w:val="auto"/>
          <w:sz w:val="22"/>
          <w:szCs w:val="22"/>
          <w:lang w:val="en-US"/>
        </w:rPr>
        <w:t>urvival and success factors</w:t>
      </w:r>
      <w:bookmarkEnd w:id="10"/>
    </w:p>
    <w:p>
      <w:pPr>
        <w:spacing w:line="360" w:lineRule="auto"/>
        <w:jc w:val="both"/>
        <w:rPr>
          <w:rFonts w:asciiTheme="majorHAnsi" w:cs="Arial" w:hAnsiTheme="majorHAnsi"/>
          <w:i/>
          <w:lang w:val="en-US"/>
        </w:rPr>
      </w:pPr>
    </w:p>
    <w:p>
      <w:pPr>
        <w:spacing w:line="360" w:lineRule="auto"/>
        <w:jc w:val="both"/>
        <w:rPr>
          <w:rFonts w:asciiTheme="majorHAnsi" w:cs="Arial" w:hAnsiTheme="majorHAnsi"/>
          <w:i/>
          <w:lang w:val="en-US"/>
        </w:rPr>
      </w:pPr>
      <w:r>
        <w:rPr>
          <w:rFonts w:asciiTheme="majorHAnsi" w:cs="Arial" w:hAnsiTheme="majorHAnsi"/>
          <w:i/>
          <w:lang w:val="en-US"/>
        </w:rPr>
        <w:t xml:space="preserve">We believe that the automotive industry's recovery from global epidemic depressions will begin soon in 2021. We think a reasonable overall growth to 16.0 million-16.2 million in 2021, after light-vehicle sales in the United States fell well short of perceptions in 2020 (14.6 million vs our preliminary </w:t>
      </w:r>
      <w:r>
        <w:rPr>
          <w:rFonts w:asciiTheme="majorHAnsi" w:cs="Arial" w:hAnsiTheme="majorHAnsi"/>
          <w:i/>
          <w:lang w:val="en-US"/>
        </w:rPr>
        <w:t>prepandemic</w:t>
      </w:r>
      <w:r>
        <w:rPr>
          <w:rFonts w:asciiTheme="majorHAnsi" w:cs="Arial" w:hAnsiTheme="majorHAnsi"/>
          <w:i/>
          <w:lang w:val="en-US"/>
        </w:rPr>
        <w:t xml:space="preserve"> approximate of 16.5 million).</w:t>
      </w:r>
      <w:bookmarkStart w:id="11" w:name="_Toc90734177"/>
      <w:r>
        <w:rPr>
          <w:rFonts w:asciiTheme="majorHAnsi" w:hAnsiTheme="majorHAnsi"/>
          <w:i/>
        </w:rPr>
        <w:t xml:space="preserve"> </w:t>
      </w:r>
      <w:r>
        <w:rPr>
          <w:rFonts w:asciiTheme="majorHAnsi" w:cs="Arial" w:hAnsiTheme="majorHAnsi"/>
          <w:i/>
          <w:lang w:val="en-US"/>
        </w:rPr>
        <w:t>Having followed a 15% decline in 2021, we forecast a 9 percent -13 percent increase in light-vehicle production in 2022 on a global scale. Because of the continuing COVID-19 implications, we kept our prediction range two percent wider than regular to accept responsibility for continuing COVID-19 unpredictability and distribution network constraints due</w:t>
      </w:r>
      <w:r>
        <w:rPr>
          <w:rFonts w:asciiTheme="majorHAnsi" w:cs="Arial" w:hAnsiTheme="majorHAnsi"/>
          <w:i/>
          <w:lang w:val="en-US"/>
        </w:rPr>
        <w:t xml:space="preserve"> to a microchip supply shortage </w:t>
      </w:r>
      <w:r>
        <w:rPr>
          <w:rFonts w:asciiTheme="majorHAnsi" w:cs="Arial" w:hAnsiTheme="majorHAnsi"/>
          <w:i/>
          <w:lang w:val="en-US"/>
        </w:rPr>
        <w:t>(Pruncu</w:t>
      </w:r>
      <w:r>
        <w:rPr>
          <w:rFonts w:asciiTheme="majorHAnsi" w:cs="Arial" w:hAnsiTheme="majorHAnsi"/>
          <w:i/>
          <w:lang w:val="en-US"/>
        </w:rPr>
        <w:t>,2021</w:t>
      </w:r>
      <w:r>
        <w:rPr>
          <w:rFonts w:asciiTheme="majorHAnsi" w:cs="Arial" w:hAnsiTheme="majorHAnsi"/>
          <w:i/>
          <w:lang w:val="en-US"/>
        </w:rPr>
        <w:t>).</w:t>
      </w:r>
    </w:p>
    <w:p>
      <w:pPr>
        <w:spacing w:line="360" w:lineRule="auto"/>
        <w:jc w:val="both"/>
        <w:rPr>
          <w:rFonts w:asciiTheme="majorHAnsi" w:cs="Arial" w:hAnsiTheme="majorHAnsi"/>
          <w:i/>
          <w:lang w:val="en-US"/>
        </w:rPr>
      </w:pPr>
      <w:r>
        <w:rPr>
          <w:rFonts w:asciiTheme="majorHAnsi" w:cs="Arial" w:hAnsiTheme="majorHAnsi"/>
          <w:i/>
          <w:lang w:val="en-US"/>
        </w:rPr>
        <w:t>Most major automakers, including Toyota, Mercedes-Benz, Audi, and Lexus, have begun to produce hybrid and electric vehicles in an attempt to keep up with Tesla's achievement, but at much more reasonable prices. In next 5 years, these inventions may help to support a more effective and accurate industry and ma</w:t>
      </w:r>
      <w:r>
        <w:rPr>
          <w:rFonts w:asciiTheme="majorHAnsi" w:cs="Arial" w:hAnsiTheme="majorHAnsi"/>
          <w:i/>
          <w:lang w:val="en-US"/>
        </w:rPr>
        <w:t>rket recovering (Kumar,</w:t>
      </w:r>
      <w:r>
        <w:rPr>
          <w:rFonts w:asciiTheme="majorHAnsi" w:cs="Arial" w:hAnsiTheme="majorHAnsi"/>
          <w:i/>
          <w:lang w:val="en-US"/>
        </w:rPr>
        <w:t xml:space="preserve"> 2020</w:t>
      </w:r>
      <w:r>
        <w:rPr>
          <w:rFonts w:asciiTheme="majorHAnsi" w:cs="Arial" w:hAnsiTheme="majorHAnsi"/>
          <w:i/>
          <w:lang w:val="en-US"/>
        </w:rPr>
        <w:t>).</w:t>
      </w:r>
    </w:p>
    <w:p>
      <w:pPr>
        <w:pStyle w:val="Heading1"/>
        <w:spacing w:line="360" w:lineRule="auto"/>
        <w:jc w:val="both"/>
        <w:rPr>
          <w:rFonts w:cs="Arial"/>
          <w:i/>
          <w:color w:val="auto"/>
          <w:sz w:val="22"/>
          <w:szCs w:val="22"/>
          <w:lang w:val="en-US"/>
        </w:rPr>
      </w:pPr>
      <w:r>
        <w:rPr>
          <w:rFonts w:cs="Arial"/>
          <w:i/>
          <w:color w:val="auto"/>
          <w:sz w:val="22"/>
          <w:szCs w:val="22"/>
          <w:lang w:val="en-US"/>
        </w:rPr>
        <w:t>Megatrends</w:t>
      </w:r>
      <w:bookmarkEnd w:id="11"/>
    </w:p>
    <w:p>
      <w:pPr>
        <w:spacing w:line="360" w:lineRule="auto"/>
        <w:jc w:val="both"/>
        <w:rPr>
          <w:rFonts w:asciiTheme="majorHAnsi" w:cs="Arial" w:hAnsiTheme="majorHAnsi"/>
          <w:i/>
          <w:lang w:val="en-US"/>
        </w:rPr>
      </w:pPr>
      <w:r>
        <w:rPr>
          <w:rFonts w:asciiTheme="majorHAnsi" w:cs="Arial" w:hAnsiTheme="majorHAnsi"/>
          <w:i/>
          <w:lang w:val="en-US"/>
        </w:rPr>
        <w:t>We will clarify the following automobile key trends that have been gaining traction in the last two years:</w:t>
      </w:r>
    </w:p>
    <w:p>
      <w:pPr>
        <w:spacing w:line="360" w:lineRule="auto"/>
        <w:jc w:val="both"/>
        <w:rPr>
          <w:rFonts w:asciiTheme="majorHAnsi" w:cs="Arial" w:hAnsiTheme="majorHAnsi"/>
          <w:i/>
          <w:lang w:val="en-US"/>
        </w:rPr>
      </w:pPr>
      <w:r>
        <w:rPr>
          <w:rFonts w:asciiTheme="majorHAnsi" w:cs="Arial" w:hAnsiTheme="majorHAnsi"/>
          <w:i/>
          <w:lang w:val="en-US"/>
        </w:rPr>
        <w:t>Self-driving cars</w:t>
      </w:r>
    </w:p>
    <w:p>
      <w:pPr>
        <w:spacing w:line="360" w:lineRule="auto"/>
        <w:jc w:val="both"/>
        <w:rPr>
          <w:rFonts w:asciiTheme="majorHAnsi" w:cs="Arial" w:hAnsiTheme="majorHAnsi"/>
          <w:i/>
          <w:lang w:val="en-US"/>
        </w:rPr>
      </w:pPr>
      <w:r>
        <w:rPr>
          <w:rFonts w:asciiTheme="majorHAnsi" w:cs="Arial" w:hAnsiTheme="majorHAnsi"/>
          <w:i/>
          <w:lang w:val="en-US"/>
        </w:rPr>
        <w:t xml:space="preserve">With Tesla system that enables the driver to sleep while the car moves from juncture one to spot two by itself, the bar has been raised significantly for all other famous luxury brands such as Mercedes, Audi, Toyota, and everyone else in the automotive market </w:t>
      </w:r>
      <w:r>
        <w:rPr>
          <w:rFonts w:asciiTheme="majorHAnsi" w:cs="Arial" w:hAnsiTheme="majorHAnsi"/>
          <w:i/>
          <w:lang w:val="en-US"/>
        </w:rPr>
        <w:t>(Venkatesh,</w:t>
      </w:r>
      <w:r>
        <w:rPr>
          <w:rFonts w:asciiTheme="majorHAnsi" w:cs="Arial" w:hAnsiTheme="majorHAnsi"/>
          <w:i/>
          <w:lang w:val="en-US"/>
        </w:rPr>
        <w:t>2021</w:t>
      </w:r>
      <w:r>
        <w:rPr>
          <w:rFonts w:asciiTheme="majorHAnsi" w:cs="Arial" w:hAnsiTheme="majorHAnsi"/>
          <w:i/>
          <w:lang w:val="en-US"/>
        </w:rPr>
        <w:t>).</w:t>
      </w:r>
    </w:p>
    <w:p>
      <w:pPr>
        <w:spacing w:line="360" w:lineRule="auto"/>
        <w:jc w:val="both"/>
        <w:rPr>
          <w:rFonts w:asciiTheme="majorHAnsi" w:cs="Arial" w:hAnsiTheme="majorHAnsi"/>
          <w:i/>
          <w:lang w:val="en-US"/>
        </w:rPr>
      </w:pPr>
      <w:r>
        <w:rPr>
          <w:rFonts w:asciiTheme="majorHAnsi" w:cs="Arial" w:hAnsiTheme="majorHAnsi"/>
          <w:i/>
          <w:lang w:val="en-US"/>
        </w:rPr>
        <w:t>Connectedness, Electricity generation, Shared Mobility, Intelligent Systems, Data Management &amp; Data Analytics, Human-Machine Interface, and Block Chain are some of th</w:t>
      </w:r>
      <w:r>
        <w:rPr>
          <w:rFonts w:asciiTheme="majorHAnsi" w:cs="Arial" w:hAnsiTheme="majorHAnsi"/>
          <w:i/>
          <w:lang w:val="en-US"/>
        </w:rPr>
        <w:t xml:space="preserve">e topics that will be discussed </w:t>
      </w:r>
      <w:r>
        <w:rPr>
          <w:rFonts w:asciiTheme="majorHAnsi" w:cs="Arial" w:hAnsiTheme="majorHAnsi"/>
          <w:i/>
          <w:lang w:val="en-US"/>
        </w:rPr>
        <w:t>(Brem</w:t>
      </w:r>
      <w:r>
        <w:rPr>
          <w:rFonts w:asciiTheme="majorHAnsi" w:cs="Arial" w:hAnsiTheme="majorHAnsi"/>
          <w:i/>
          <w:lang w:val="en-US"/>
        </w:rPr>
        <w:t>,2021</w:t>
      </w:r>
      <w:r>
        <w:rPr>
          <w:rFonts w:asciiTheme="majorHAnsi" w:cs="Arial" w:hAnsiTheme="majorHAnsi"/>
          <w:i/>
          <w:lang w:val="en-US"/>
        </w:rPr>
        <w:t>).</w:t>
      </w:r>
    </w:p>
    <w:p>
      <w:pPr>
        <w:spacing w:line="360" w:lineRule="auto"/>
        <w:jc w:val="both"/>
        <w:rPr>
          <w:rFonts w:asciiTheme="majorHAnsi" w:cs="Arial" w:hAnsiTheme="majorHAnsi"/>
          <w:i/>
          <w:lang w:val="en-US"/>
        </w:rPr>
      </w:pPr>
      <w:r>
        <w:rPr>
          <w:rFonts w:asciiTheme="majorHAnsi" w:cs="Arial" w:hAnsiTheme="majorHAnsi"/>
          <w:i/>
          <w:lang w:val="en-US"/>
        </w:rPr>
        <w:t>Figure 3</w:t>
      </w:r>
    </w:p>
    <w:p>
      <w:pPr>
        <w:pStyle w:val="Heading1"/>
        <w:spacing w:line="360" w:lineRule="auto"/>
        <w:jc w:val="both"/>
        <w:rPr>
          <w:rFonts w:cs="Arial"/>
          <w:i/>
          <w:color w:val="auto"/>
          <w:sz w:val="22"/>
          <w:szCs w:val="22"/>
          <w:lang w:val="en-US"/>
        </w:rPr>
      </w:pPr>
      <w:r>
        <w:rPr>
          <w:i/>
          <w:sz w:val="22"/>
          <w:szCs w:val="22"/>
          <w:lang w:eastAsia="bg-BG"/>
        </w:rPr>
        <w:drawing xmlns:mc="http://schemas.openxmlformats.org/markup-compatibility/2006">
          <wp:inline distT="0" distB="0" distL="0" distR="0">
            <wp:extent cx="5731510" cy="2914997"/>
            <wp:effectExtent l="0" t="0" r="0" b="0"/>
            <wp:docPr id="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17"/>
                    <a:srcRect/>
                    <a:stretch>
                      <a:fillRect/>
                    </a:stretch>
                  </pic:blipFill>
                  <pic:spPr>
                    <a:xfrm>
                      <a:off x="0" y="0"/>
                      <a:ext cx="5731510" cy="2914997"/>
                    </a:xfrm>
                    <a:prstGeom prst="rect">
                      <a:avLst/>
                    </a:prstGeom>
                    <a:noFill/>
                    <a:ln>
                      <a:noFill/>
                    </a:ln>
                  </pic:spPr>
                </pic:pic>
              </a:graphicData>
            </a:graphic>
          </wp:inline>
        </w:drawing>
      </w:r>
    </w:p>
    <w:p>
      <w:pPr>
        <w:pStyle w:val="Heading1"/>
        <w:spacing w:line="360" w:lineRule="auto"/>
        <w:jc w:val="both"/>
        <w:rPr>
          <w:rFonts w:cs="Arial"/>
          <w:b w:val="off"/>
          <w:i/>
          <w:color w:val="auto"/>
          <w:sz w:val="22"/>
          <w:szCs w:val="22"/>
          <w:lang w:val="en-US"/>
        </w:rPr>
      </w:pPr>
      <w:bookmarkStart w:id="12" w:name="_Toc90734178"/>
      <w:r>
        <w:rPr>
          <w:rFonts w:cs="Arial"/>
          <w:b w:val="off"/>
          <w:i/>
          <w:color w:val="auto"/>
          <w:sz w:val="22"/>
          <w:szCs w:val="22"/>
          <w:lang w:val="en-US"/>
        </w:rPr>
        <w:t>(Pruncu</w:t>
      </w:r>
      <w:r>
        <w:rPr>
          <w:rFonts w:cs="Arial"/>
          <w:b w:val="off"/>
          <w:i/>
          <w:color w:val="auto"/>
          <w:sz w:val="22"/>
          <w:szCs w:val="22"/>
          <w:lang w:val="en-US"/>
        </w:rPr>
        <w:t>,2021</w:t>
      </w:r>
      <w:r>
        <w:rPr>
          <w:rFonts w:cs="Arial"/>
          <w:b w:val="off"/>
          <w:i/>
          <w:color w:val="auto"/>
          <w:sz w:val="22"/>
          <w:szCs w:val="22"/>
          <w:lang w:val="en-US"/>
        </w:rPr>
        <w:t>).</w:t>
      </w:r>
    </w:p>
    <w:p>
      <w:pPr>
        <w:pStyle w:val="Heading1"/>
        <w:spacing w:line="360" w:lineRule="auto"/>
        <w:jc w:val="both"/>
        <w:rPr>
          <w:rFonts w:cs="Arial"/>
          <w:i/>
          <w:color w:val="auto"/>
          <w:sz w:val="22"/>
          <w:szCs w:val="22"/>
          <w:lang w:val="en-US"/>
        </w:rPr>
      </w:pPr>
      <w:r>
        <w:rPr>
          <w:rFonts w:cs="Arial"/>
          <w:i/>
          <w:color w:val="auto"/>
          <w:sz w:val="22"/>
          <w:szCs w:val="22"/>
          <w:lang w:val="en-US"/>
        </w:rPr>
        <w:t>Recommendations</w:t>
      </w:r>
      <w:bookmarkEnd w:id="12"/>
    </w:p>
    <w:p>
      <w:pPr>
        <w:pStyle w:val="Heading1"/>
        <w:spacing w:line="360" w:lineRule="auto"/>
        <w:jc w:val="both"/>
        <w:rPr>
          <w:rFonts w:cs="Arial"/>
          <w:i/>
          <w:color w:val="auto"/>
          <w:sz w:val="22"/>
          <w:szCs w:val="22"/>
          <w:lang w:val="en-US"/>
        </w:rPr>
      </w:pPr>
      <w:r>
        <w:rPr>
          <w:rFonts w:cs="Arial"/>
          <w:i/>
          <w:color w:val="auto"/>
          <w:sz w:val="22"/>
          <w:szCs w:val="22"/>
          <w:lang w:val="en-US"/>
        </w:rPr>
        <w:t>Based over the challenges below the recommendations are:</w:t>
      </w:r>
    </w:p>
    <w:p>
      <w:pPr>
        <w:pStyle w:val="ListParagraph"/>
        <w:spacing w:line="360" w:lineRule="auto"/>
        <w:jc w:val="both"/>
        <w:rPr>
          <w:rFonts w:asciiTheme="majorHAnsi" w:cs="Arial" w:hAnsiTheme="majorHAnsi"/>
          <w:i/>
          <w:lang w:val="en-US"/>
        </w:rPr>
      </w:pPr>
    </w:p>
    <w:p>
      <w:pPr>
        <w:spacing w:line="360" w:lineRule="auto"/>
        <w:jc w:val="both"/>
        <w:rPr>
          <w:rFonts w:asciiTheme="majorHAnsi" w:cs="Arial" w:hAnsiTheme="majorHAnsi"/>
          <w:i/>
          <w:lang w:val="en-US"/>
        </w:rPr>
      </w:pPr>
      <w:r>
        <w:rPr>
          <w:rFonts w:asciiTheme="majorHAnsi" w:cs="Arial" w:hAnsiTheme="majorHAnsi"/>
          <w:i/>
          <w:lang w:val="en-US"/>
        </w:rPr>
        <w:t>- Emphasis on technology trend</w:t>
      </w:r>
    </w:p>
    <w:p>
      <w:pPr>
        <w:spacing w:line="360" w:lineRule="auto"/>
        <w:jc w:val="both"/>
        <w:rPr>
          <w:rFonts w:asciiTheme="majorHAnsi" w:cs="Arial" w:hAnsiTheme="majorHAnsi"/>
          <w:i/>
          <w:lang w:val="en-US"/>
        </w:rPr>
      </w:pPr>
      <w:r>
        <w:rPr>
          <w:rFonts w:asciiTheme="majorHAnsi" w:cs="Arial" w:hAnsiTheme="majorHAnsi"/>
          <w:i/>
          <w:lang w:val="en-US"/>
        </w:rPr>
        <w:t>- Working to improve the availability of electric vehicles and person's recognition of the value - Focusing on trend to save the climate and environment</w:t>
      </w:r>
    </w:p>
    <w:p>
      <w:pPr>
        <w:spacing w:line="360" w:lineRule="auto"/>
        <w:jc w:val="both"/>
        <w:rPr>
          <w:rFonts w:asciiTheme="majorHAnsi" w:cs="Arial" w:hAnsiTheme="majorHAnsi"/>
          <w:i/>
          <w:lang w:val="en-US"/>
        </w:rPr>
      </w:pPr>
      <w:r>
        <w:rPr>
          <w:rFonts w:asciiTheme="majorHAnsi" w:cs="Arial" w:hAnsiTheme="majorHAnsi"/>
          <w:i/>
          <w:lang w:val="en-US"/>
        </w:rPr>
        <w:t>- Working on lowering the cost of electric vehicles to increase accessibility.</w:t>
      </w:r>
    </w:p>
    <w:p>
      <w:pPr>
        <w:spacing w:line="360" w:lineRule="auto"/>
        <w:jc w:val="both"/>
        <w:rPr>
          <w:rFonts w:asciiTheme="majorHAnsi" w:cs="Arial" w:hAnsiTheme="majorHAnsi"/>
          <w:i/>
          <w:lang w:val="en-US"/>
        </w:rPr>
      </w:pPr>
      <w:r>
        <w:rPr>
          <w:rFonts w:asciiTheme="majorHAnsi" w:cs="Arial" w:hAnsiTheme="majorHAnsi"/>
          <w:i/>
          <w:lang w:val="en-US"/>
        </w:rPr>
        <w:t>- Providing great offers and terms for hybrid electric vehicles</w:t>
      </w:r>
    </w:p>
    <w:p>
      <w:pPr>
        <w:spacing w:line="360" w:lineRule="auto"/>
        <w:jc w:val="both"/>
        <w:rPr>
          <w:rFonts w:asciiTheme="majorHAnsi" w:cs="Arial" w:hAnsiTheme="majorHAnsi"/>
          <w:i/>
          <w:lang w:val="en-US"/>
        </w:rPr>
      </w:pPr>
      <w:r>
        <w:rPr>
          <w:rFonts w:asciiTheme="majorHAnsi" w:cs="Arial" w:hAnsiTheme="majorHAnsi"/>
          <w:i/>
          <w:lang w:val="en-US"/>
        </w:rPr>
        <w:t xml:space="preserve">- Making it easier for owners of older vehicles to bring it back them for components and invest in a new vehicle in regular payment </w:t>
      </w:r>
    </w:p>
    <w:p>
      <w:pPr>
        <w:spacing w:line="360" w:lineRule="auto"/>
        <w:jc w:val="both"/>
        <w:rPr>
          <w:rFonts w:asciiTheme="majorHAnsi" w:cs="Arial" w:hAnsiTheme="majorHAnsi"/>
          <w:i/>
          <w:lang w:val="en-US"/>
        </w:rPr>
      </w:pPr>
      <w:r>
        <w:rPr>
          <w:rFonts w:asciiTheme="majorHAnsi" w:cs="Arial" w:hAnsiTheme="majorHAnsi"/>
          <w:i/>
          <w:lang w:val="en-US"/>
        </w:rPr>
        <w:t xml:space="preserve">- Increasing the quality of components </w:t>
      </w:r>
    </w:p>
    <w:p>
      <w:pPr>
        <w:spacing w:line="360" w:lineRule="auto"/>
        <w:jc w:val="both"/>
        <w:rPr>
          <w:rFonts w:asciiTheme="majorHAnsi" w:cs="Arial" w:hAnsiTheme="majorHAnsi"/>
          <w:i/>
          <w:lang w:val="en-US"/>
        </w:rPr>
      </w:pPr>
      <w:r>
        <w:rPr>
          <w:rFonts w:asciiTheme="majorHAnsi" w:cs="Arial" w:hAnsiTheme="majorHAnsi"/>
          <w:i/>
          <w:lang w:val="en-US"/>
        </w:rPr>
        <w:t>- Lowering the costs of new vehicle purchase decisions to encourage consumers to spend and buy a 2nd or 3rd vehicle in the household</w:t>
      </w:r>
    </w:p>
    <w:p>
      <w:pPr>
        <w:spacing w:line="360" w:lineRule="auto"/>
        <w:jc w:val="both"/>
        <w:rPr>
          <w:rFonts w:asciiTheme="majorHAnsi" w:cs="Arial" w:hAnsiTheme="majorHAnsi"/>
          <w:i/>
          <w:lang w:val="en-US"/>
        </w:rPr>
      </w:pPr>
      <w:r>
        <w:rPr>
          <w:rFonts w:asciiTheme="majorHAnsi" w:cs="Arial" w:hAnsiTheme="majorHAnsi"/>
          <w:i/>
          <w:lang w:val="en-US"/>
        </w:rPr>
        <w:t>According to Bernstein Research, the global percentage of cars on the road and miles airlifted in jetliners will nearly double by 2040.</w:t>
      </w:r>
    </w:p>
    <w:p>
      <w:pPr>
        <w:spacing w:line="360" w:lineRule="auto"/>
        <w:jc w:val="both"/>
        <w:rPr>
          <w:rFonts w:asciiTheme="majorHAnsi" w:cs="Arial" w:hAnsiTheme="majorHAnsi"/>
          <w:i/>
          <w:lang w:val="en-US"/>
        </w:rPr>
      </w:pPr>
      <w:r>
        <w:rPr>
          <w:rFonts w:asciiTheme="majorHAnsi" w:cs="Arial" w:hAnsiTheme="majorHAnsi"/>
          <w:i/>
          <w:lang w:val="en-US"/>
        </w:rPr>
        <w:t>By 2040, the number of cars on the road is predicted to hit two billion, while the number of air transport miles is forecasted to touch 20 trillion.</w:t>
      </w:r>
    </w:p>
    <w:p>
      <w:pPr>
        <w:spacing w:line="360" w:lineRule="auto"/>
        <w:jc w:val="both"/>
        <w:rPr>
          <w:rFonts w:asciiTheme="majorHAnsi" w:cs="Arial" w:hAnsiTheme="majorHAnsi"/>
          <w:i/>
          <w:lang w:val="en-US"/>
        </w:rPr>
      </w:pPr>
      <w:r>
        <w:rPr>
          <w:rFonts w:asciiTheme="majorHAnsi" w:cs="Arial" w:hAnsiTheme="majorHAnsi"/>
          <w:i/>
          <w:lang w:val="en-US"/>
        </w:rPr>
        <w:t>According to Bernstein, the large percentage of this road transport growth will usually happen in emerging countries such as China and India, as the population of the planet is expected to grow by another two billion people to 9</w:t>
      </w:r>
      <w:r>
        <w:rPr>
          <w:rFonts w:asciiTheme="majorHAnsi" w:cs="Arial" w:hAnsiTheme="majorHAnsi"/>
          <w:i/>
          <w:lang w:val="en-US"/>
        </w:rPr>
        <w:t xml:space="preserve">.2 billion in the next 25 years </w:t>
      </w:r>
      <w:r>
        <w:rPr>
          <w:rFonts w:asciiTheme="majorHAnsi" w:cs="Arial" w:hAnsiTheme="majorHAnsi"/>
          <w:i/>
          <w:lang w:val="en-US"/>
        </w:rPr>
        <w:t>(Brem</w:t>
      </w:r>
      <w:r>
        <w:rPr>
          <w:rFonts w:asciiTheme="majorHAnsi" w:cs="Arial" w:hAnsiTheme="majorHAnsi"/>
          <w:i/>
          <w:lang w:val="en-US"/>
        </w:rPr>
        <w:t>,2021</w:t>
      </w:r>
      <w:r>
        <w:rPr>
          <w:rFonts w:asciiTheme="majorHAnsi" w:cs="Arial" w:hAnsiTheme="majorHAnsi"/>
          <w:i/>
          <w:lang w:val="en-US"/>
        </w:rPr>
        <w:t>).</w:t>
      </w:r>
    </w:p>
    <w:p>
      <w:pPr>
        <w:spacing w:line="360" w:lineRule="auto"/>
        <w:jc w:val="both"/>
        <w:rPr>
          <w:rFonts w:asciiTheme="majorHAnsi" w:cs="Arial" w:hAnsiTheme="majorHAnsi"/>
          <w:i/>
          <w:lang w:val="en-US"/>
        </w:rPr>
      </w:pPr>
      <w:r>
        <w:rPr>
          <w:rFonts w:asciiTheme="majorHAnsi" w:cs="Arial" w:hAnsiTheme="majorHAnsi"/>
          <w:i/>
          <w:lang w:val="en-US"/>
        </w:rPr>
        <w:t>We can see by the above data how large the automobile sector in particular are, and the only way to accomplish these forecasts is to stay focused, make wise choices, and come up with current inventions and trends in terms of meeting people's requirements and preferences.</w:t>
      </w:r>
    </w:p>
    <w:p>
      <w:pPr>
        <w:spacing w:line="360" w:lineRule="auto"/>
        <w:jc w:val="both"/>
        <w:rPr>
          <w:rFonts w:asciiTheme="majorHAnsi" w:cs="Arial" w:hAnsiTheme="majorHAnsi"/>
          <w:i/>
          <w:lang w:val="en-US"/>
        </w:rPr>
      </w:pPr>
      <w:r>
        <w:rPr>
          <w:rFonts w:asciiTheme="majorHAnsi" w:cs="Arial" w:hAnsiTheme="majorHAnsi"/>
          <w:i/>
          <w:lang w:val="en-US"/>
        </w:rPr>
        <w:t xml:space="preserve">High-end brands such as Mercedes-Benz, Audi, Honda, and Toyota must concentrate on potential inventions and technological electric vehicles, as this will be in growing market in the coming year, as will the TESLA self-driving cars, which require </w:t>
      </w:r>
      <w:r>
        <w:rPr>
          <w:rFonts w:asciiTheme="majorHAnsi" w:cs="Arial" w:hAnsiTheme="majorHAnsi"/>
          <w:i/>
          <w:lang w:val="en-US"/>
        </w:rPr>
        <w:t>further development (Pruncu</w:t>
      </w:r>
      <w:r>
        <w:rPr>
          <w:rFonts w:asciiTheme="majorHAnsi" w:cs="Arial" w:hAnsiTheme="majorHAnsi"/>
          <w:i/>
          <w:lang w:val="en-US"/>
        </w:rPr>
        <w:t>,</w:t>
      </w:r>
      <w:r>
        <w:rPr>
          <w:rFonts w:asciiTheme="majorHAnsi" w:cs="Arial" w:hAnsiTheme="majorHAnsi"/>
          <w:i/>
          <w:lang w:val="en-US"/>
        </w:rPr>
        <w:t>2021</w:t>
      </w:r>
      <w:r>
        <w:rPr>
          <w:rFonts w:asciiTheme="majorHAnsi" w:cs="Arial" w:hAnsiTheme="majorHAnsi"/>
          <w:i/>
          <w:lang w:val="en-US"/>
        </w:rPr>
        <w:t>).</w:t>
      </w:r>
    </w:p>
    <w:p>
      <w:pPr>
        <w:pStyle w:val="Heading1"/>
        <w:spacing w:line="360" w:lineRule="auto"/>
        <w:jc w:val="both"/>
        <w:rPr>
          <w:rFonts w:cs="Arial"/>
          <w:i/>
          <w:color w:val="auto"/>
          <w:sz w:val="22"/>
          <w:szCs w:val="22"/>
          <w:lang w:val="en-US"/>
        </w:rPr>
      </w:pPr>
      <w:r>
        <w:rPr>
          <w:rFonts w:cs="Arial" w:eastAsiaTheme="minorHAnsi"/>
          <w:b w:val="off"/>
          <w:bCs w:val="off"/>
          <w:i/>
          <w:color w:val="auto"/>
          <w:sz w:val="22"/>
          <w:szCs w:val="22"/>
          <w:lang w:val="en-US"/>
        </w:rPr>
        <w:t xml:space="preserve">Automobiles are an integral part among most American households' daily routines. According to the Department Of Transportation </w:t>
      </w:r>
      <w:r>
        <w:rPr>
          <w:rFonts w:cs="Arial" w:eastAsiaTheme="minorHAnsi"/>
          <w:b w:val="off"/>
          <w:bCs w:val="off"/>
          <w:i/>
          <w:color w:val="auto"/>
          <w:sz w:val="22"/>
          <w:szCs w:val="22"/>
          <w:lang w:val="en-US"/>
        </w:rPr>
        <w:t xml:space="preserve">( </w:t>
      </w:r>
      <w:r>
        <w:rPr>
          <w:rFonts w:cs="Arial" w:eastAsiaTheme="minorHAnsi"/>
          <w:b w:val="off"/>
          <w:bCs w:val="off"/>
          <w:i/>
          <w:color w:val="auto"/>
          <w:sz w:val="22"/>
          <w:szCs w:val="22"/>
          <w:lang w:val="en-US"/>
        </w:rPr>
        <w:t>Dotr</w:t>
      </w:r>
      <w:r>
        <w:rPr>
          <w:rFonts w:cs="Arial" w:eastAsiaTheme="minorHAnsi"/>
          <w:b w:val="off"/>
          <w:bCs w:val="off"/>
          <w:i/>
          <w:color w:val="auto"/>
          <w:sz w:val="22"/>
          <w:szCs w:val="22"/>
          <w:lang w:val="en-US"/>
        </w:rPr>
        <w:t xml:space="preserve">, there are 276 million insurance and registration in the country. In actuality, 91 percent of the </w:t>
      </w:r>
      <w:r>
        <w:rPr>
          <w:rFonts w:cs="Arial" w:eastAsiaTheme="minorHAnsi"/>
          <w:b w:val="off"/>
          <w:bCs w:val="off"/>
          <w:i/>
          <w:color w:val="auto"/>
          <w:sz w:val="22"/>
          <w:szCs w:val="22"/>
          <w:lang w:val="en-US"/>
        </w:rPr>
        <w:t>population own</w:t>
      </w:r>
      <w:r>
        <w:rPr>
          <w:rFonts w:cs="Arial" w:eastAsiaTheme="minorHAnsi"/>
          <w:b w:val="off"/>
          <w:bCs w:val="off"/>
          <w:i/>
          <w:color w:val="auto"/>
          <w:sz w:val="22"/>
          <w:szCs w:val="22"/>
          <w:lang w:val="en-US"/>
        </w:rPr>
        <w:t xml:space="preserve"> a car, and studies show that the average American spends 101 </w:t>
      </w:r>
      <w:r>
        <w:rPr>
          <w:rFonts w:cs="Arial" w:eastAsiaTheme="minorHAnsi"/>
          <w:b w:val="off"/>
          <w:bCs w:val="off"/>
          <w:i/>
          <w:color w:val="auto"/>
          <w:sz w:val="22"/>
          <w:szCs w:val="22"/>
          <w:lang w:val="en-US"/>
        </w:rPr>
        <w:t>mins</w:t>
      </w:r>
      <w:r>
        <w:rPr>
          <w:rFonts w:cs="Arial" w:eastAsiaTheme="minorHAnsi"/>
          <w:b w:val="off"/>
          <w:bCs w:val="off"/>
          <w:i/>
          <w:color w:val="auto"/>
          <w:sz w:val="22"/>
          <w:szCs w:val="22"/>
          <w:lang w:val="en-US"/>
        </w:rPr>
        <w:t xml:space="preserve"> per day travelling. Our vehicles, with exception of public transportation, have a much more highly secure experience. Furthermore, your car is readily available in an actual emergency when </w:t>
      </w:r>
      <w:r>
        <w:rPr>
          <w:rFonts w:cs="Arial" w:eastAsiaTheme="minorHAnsi"/>
          <w:b w:val="off"/>
          <w:bCs w:val="off"/>
          <w:i/>
          <w:color w:val="auto"/>
          <w:sz w:val="22"/>
          <w:szCs w:val="22"/>
          <w:lang w:val="en-US"/>
        </w:rPr>
        <w:t>you don't have minutes to react (Brem</w:t>
      </w:r>
      <w:r>
        <w:rPr>
          <w:rFonts w:cs="Arial" w:eastAsiaTheme="minorHAnsi"/>
          <w:b w:val="off"/>
          <w:bCs w:val="off"/>
          <w:i/>
          <w:color w:val="auto"/>
          <w:sz w:val="22"/>
          <w:szCs w:val="22"/>
          <w:lang w:val="en-US"/>
        </w:rPr>
        <w:t>,</w:t>
      </w:r>
      <w:r>
        <w:rPr>
          <w:rFonts w:cs="Arial" w:eastAsiaTheme="minorHAnsi"/>
          <w:b w:val="off"/>
          <w:bCs w:val="off"/>
          <w:i/>
          <w:color w:val="auto"/>
          <w:sz w:val="22"/>
          <w:szCs w:val="22"/>
          <w:lang w:val="en-US"/>
        </w:rPr>
        <w:t>2021</w:t>
      </w:r>
      <w:r>
        <w:rPr>
          <w:rFonts w:cs="Arial" w:eastAsiaTheme="minorHAnsi"/>
          <w:b w:val="off"/>
          <w:bCs w:val="off"/>
          <w:i/>
          <w:color w:val="auto"/>
          <w:sz w:val="22"/>
          <w:szCs w:val="22"/>
          <w:lang w:val="en-US"/>
        </w:rPr>
        <w:t>).</w:t>
      </w:r>
    </w:p>
    <w:p>
      <w:pPr>
        <w:pStyle w:val="Heading1"/>
        <w:spacing w:line="360" w:lineRule="auto"/>
        <w:jc w:val="both"/>
        <w:rPr>
          <w:rFonts w:cs="Arial"/>
          <w:i/>
          <w:color w:val="auto"/>
          <w:sz w:val="22"/>
          <w:szCs w:val="22"/>
          <w:lang w:val="en-US"/>
        </w:rPr>
      </w:pPr>
      <w:bookmarkStart w:id="13" w:name="_Toc90734179"/>
      <w:r>
        <w:rPr>
          <w:rFonts w:cs="Arial"/>
          <w:i/>
          <w:color w:val="auto"/>
          <w:sz w:val="22"/>
          <w:szCs w:val="22"/>
          <w:lang w:val="en-US"/>
        </w:rPr>
        <w:t>Conclusion</w:t>
      </w:r>
      <w:bookmarkEnd w:id="13"/>
    </w:p>
    <w:p>
      <w:pPr>
        <w:pStyle w:val="Heading1"/>
        <w:spacing w:line="360" w:lineRule="auto"/>
        <w:jc w:val="both"/>
        <w:rPr>
          <w:rFonts w:cs="Arial"/>
          <w:b w:val="off"/>
          <w:i/>
          <w:color w:val="auto"/>
          <w:sz w:val="22"/>
          <w:szCs w:val="22"/>
          <w:lang w:val="en-US"/>
        </w:rPr>
      </w:pPr>
      <w:r>
        <w:rPr>
          <w:rFonts w:cs="Arial"/>
          <w:b w:val="off"/>
          <w:i/>
          <w:color w:val="auto"/>
          <w:sz w:val="22"/>
          <w:szCs w:val="22"/>
          <w:lang w:val="en-US"/>
        </w:rPr>
        <w:t xml:space="preserve">The automobile sector has a huge effect on global economy, and the recovering is critical for global advancements and a return to normal revenue and net profitability of the company from 2019 stages. And the need for stringent and significant choices and actions to keep improving the car market so that a much faster recovery can be accomplished. Authorities must make choices that are both supportive and efficient in order to encourage customers to buy new cars. </w:t>
      </w:r>
    </w:p>
    <w:p>
      <w:pPr>
        <w:pStyle w:val="Heading1"/>
        <w:spacing w:line="360" w:lineRule="auto"/>
        <w:jc w:val="both"/>
        <w:rPr>
          <w:rFonts w:ascii="Arial" w:cs="Arial" w:hAnsi="Arial"/>
          <w:color w:val="ff0000"/>
          <w:sz w:val="24"/>
          <w:szCs w:val="24"/>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pStyle w:val="Heading1"/>
        <w:spacing w:line="360" w:lineRule="auto"/>
        <w:jc w:val="both"/>
        <w:rPr>
          <w:rFonts w:ascii="Arial" w:cs="Arial" w:hAnsi="Arial"/>
          <w:sz w:val="24"/>
          <w:szCs w:val="24"/>
          <w:lang w:val="en-US"/>
        </w:rPr>
      </w:pPr>
      <w:bookmarkStart w:id="14" w:name="_Toc90734180"/>
      <w:r>
        <w:rPr>
          <w:rFonts w:ascii="Arial" w:cs="Arial" w:hAnsi="Arial"/>
          <w:sz w:val="24"/>
          <w:szCs w:val="24"/>
          <w:lang w:val="en-US"/>
        </w:rPr>
        <w:t>Reference list</w:t>
      </w:r>
      <w:bookmarkEnd w:id="14"/>
    </w:p>
    <w:p>
      <w:pPr>
        <w:jc w:val="both"/>
        <w:rPr>
          <w:lang w:val="en-US"/>
        </w:rPr>
      </w:pPr>
      <w:r>
        <w:rPr>
          <w:lang w:val="en-US"/>
        </w:rPr>
        <w:t>Alkahtani</w:t>
      </w:r>
      <w:r>
        <w:rPr>
          <w:lang w:val="en-US"/>
        </w:rPr>
        <w:t xml:space="preserve">, M., </w:t>
      </w:r>
      <w:r>
        <w:rPr>
          <w:lang w:val="en-US"/>
        </w:rPr>
        <w:t>Omair</w:t>
      </w:r>
      <w:r>
        <w:rPr>
          <w:lang w:val="en-US"/>
        </w:rPr>
        <w:t xml:space="preserve">, M., Khalid, Q.S., Hussain, G., Ahmad, I. and </w:t>
      </w:r>
      <w:r>
        <w:rPr>
          <w:lang w:val="en-US"/>
        </w:rPr>
        <w:t>Pruncu</w:t>
      </w:r>
      <w:r>
        <w:rPr>
          <w:lang w:val="en-US"/>
        </w:rPr>
        <w:t>, C., 2021.</w:t>
      </w:r>
      <w:r>
        <w:rPr>
          <w:lang w:val="en-US"/>
        </w:rPr>
        <w:t xml:space="preserve"> A covid-19 supply chain management strategy based on variable production under uncertain environment conditions. </w:t>
      </w:r>
      <w:r>
        <w:rPr>
          <w:lang w:val="en-US"/>
        </w:rPr>
        <w:t>International Journal of Environmental Research and Public Health, 18(4), p.1662.</w:t>
      </w:r>
    </w:p>
    <w:p>
      <w:pPr>
        <w:jc w:val="both"/>
        <w:rPr>
          <w:lang w:val="en-US"/>
        </w:rPr>
      </w:pPr>
      <w:r>
        <w:rPr>
          <w:lang w:val="en-US"/>
        </w:rPr>
        <w:t>Arribas-Ibar</w:t>
      </w:r>
      <w:r>
        <w:rPr>
          <w:lang w:val="en-US"/>
        </w:rPr>
        <w:t xml:space="preserve">, M., </w:t>
      </w:r>
      <w:r>
        <w:rPr>
          <w:lang w:val="en-US"/>
        </w:rPr>
        <w:t>Nylund</w:t>
      </w:r>
      <w:r>
        <w:rPr>
          <w:lang w:val="en-US"/>
        </w:rPr>
        <w:t xml:space="preserve">, P.A. and </w:t>
      </w:r>
      <w:r>
        <w:rPr>
          <w:lang w:val="en-US"/>
        </w:rPr>
        <w:t>Brem</w:t>
      </w:r>
      <w:r>
        <w:rPr>
          <w:lang w:val="en-US"/>
        </w:rPr>
        <w:t>, A., 2021.</w:t>
      </w:r>
      <w:r>
        <w:rPr>
          <w:lang w:val="en-US"/>
        </w:rPr>
        <w:t xml:space="preserve"> The risk of dissolution of sustainable innovation ecosystems in times of crisis: The electric vehicle during the COVID-19 pandemic. </w:t>
      </w:r>
      <w:r>
        <w:rPr>
          <w:lang w:val="en-US"/>
        </w:rPr>
        <w:t>Sustainability, 13(3), p.1319.</w:t>
      </w:r>
    </w:p>
    <w:p>
      <w:pPr>
        <w:jc w:val="both"/>
        <w:rPr>
          <w:lang w:val="en-US"/>
        </w:rPr>
      </w:pPr>
      <w:r>
        <w:rPr>
          <w:lang w:val="en-US"/>
        </w:rPr>
        <w:t>Belhadi</w:t>
      </w:r>
      <w:r>
        <w:rPr>
          <w:lang w:val="en-US"/>
        </w:rPr>
        <w:t xml:space="preserve">, A., </w:t>
      </w:r>
      <w:r>
        <w:rPr>
          <w:lang w:val="en-US"/>
        </w:rPr>
        <w:t>Kamble</w:t>
      </w:r>
      <w:r>
        <w:rPr>
          <w:lang w:val="en-US"/>
        </w:rPr>
        <w:t xml:space="preserve">, S., </w:t>
      </w:r>
      <w:r>
        <w:rPr>
          <w:lang w:val="en-US"/>
        </w:rPr>
        <w:t>Jabbour</w:t>
      </w:r>
      <w:r>
        <w:rPr>
          <w:lang w:val="en-US"/>
        </w:rPr>
        <w:t xml:space="preserve">, C.J.C., </w:t>
      </w:r>
      <w:r>
        <w:rPr>
          <w:lang w:val="en-US"/>
        </w:rPr>
        <w:t>Gunasekaran</w:t>
      </w:r>
      <w:r>
        <w:rPr>
          <w:lang w:val="en-US"/>
        </w:rPr>
        <w:t xml:space="preserve">, A., </w:t>
      </w:r>
      <w:r>
        <w:rPr>
          <w:lang w:val="en-US"/>
        </w:rPr>
        <w:t>Ndubisi</w:t>
      </w:r>
      <w:r>
        <w:rPr>
          <w:lang w:val="en-US"/>
        </w:rPr>
        <w:t xml:space="preserve">, N.O. and </w:t>
      </w:r>
      <w:r>
        <w:rPr>
          <w:lang w:val="en-US"/>
        </w:rPr>
        <w:t>Venkatesh</w:t>
      </w:r>
      <w:r>
        <w:rPr>
          <w:lang w:val="en-US"/>
        </w:rPr>
        <w:t>, M., 2021.</w:t>
      </w:r>
      <w:r>
        <w:rPr>
          <w:lang w:val="en-US"/>
        </w:rPr>
        <w:t xml:space="preserve"> Manufacturing and service supply chain resilience to the COVID-19 outbreak: Lessons learned from the automobile and airline industries. </w:t>
      </w:r>
      <w:r>
        <w:rPr>
          <w:lang w:val="en-US"/>
        </w:rPr>
        <w:t>Technological Forecasting and Social Change, 163, p.120447.</w:t>
      </w:r>
    </w:p>
    <w:p>
      <w:pPr>
        <w:jc w:val="both"/>
        <w:rPr>
          <w:lang w:val="en-US"/>
        </w:rPr>
      </w:pPr>
      <w:r>
        <w:rPr>
          <w:lang w:val="en-US"/>
        </w:rPr>
        <w:t xml:space="preserve">Harris, J.L., </w:t>
      </w:r>
      <w:r>
        <w:rPr>
          <w:lang w:val="en-US"/>
        </w:rPr>
        <w:t>Sunley</w:t>
      </w:r>
      <w:r>
        <w:rPr>
          <w:lang w:val="en-US"/>
        </w:rPr>
        <w:t xml:space="preserve">, P., </w:t>
      </w:r>
      <w:r>
        <w:rPr>
          <w:lang w:val="en-US"/>
        </w:rPr>
        <w:t>Evenhuis</w:t>
      </w:r>
      <w:r>
        <w:rPr>
          <w:lang w:val="en-US"/>
        </w:rPr>
        <w:t>, E., Martin, R., Pike, A. and Harris, R., 2020. The Covid-19 crisis and manufacturing: How should national and local industrial strategies respond</w:t>
      </w:r>
      <w:r>
        <w:rPr>
          <w:lang w:val="en-US"/>
        </w:rPr>
        <w:t>?.</w:t>
      </w:r>
      <w:r>
        <w:rPr>
          <w:lang w:val="en-US"/>
        </w:rPr>
        <w:t xml:space="preserve"> </w:t>
      </w:r>
      <w:r>
        <w:rPr>
          <w:lang w:val="en-US"/>
        </w:rPr>
        <w:t>Local Economy, 35(4), pp.403-415.</w:t>
      </w:r>
    </w:p>
    <w:p>
      <w:pPr>
        <w:jc w:val="both"/>
        <w:rPr>
          <w:lang w:val="en-US"/>
        </w:rPr>
      </w:pPr>
      <w:r>
        <w:rPr>
          <w:lang w:val="en-US"/>
        </w:rPr>
        <w:t>Kumar, S., Viral, R., Deep, V., Sharma, P., Kumar, M., Mahmud, M. and Stephan, T., 2021.</w:t>
      </w:r>
      <w:r>
        <w:rPr>
          <w:lang w:val="en-US"/>
        </w:rPr>
        <w:t xml:space="preserve"> Forecasting major impacts of COVID-19 pandemic on country-driven sectors: challenges, lessons, and future roadmap. </w:t>
      </w:r>
      <w:r>
        <w:rPr>
          <w:lang w:val="en-US"/>
        </w:rPr>
        <w:t>Personal and Ubiquitous Computing, pp.1-24.</w:t>
      </w:r>
    </w:p>
    <w:p>
      <w:pPr>
        <w:jc w:val="both"/>
        <w:rPr>
          <w:lang w:val="en-US"/>
        </w:rPr>
      </w:pPr>
      <w:r>
        <w:rPr>
          <w:lang w:val="en-US"/>
        </w:rPr>
        <w:t>Nayak</w:t>
      </w:r>
      <w:r>
        <w:rPr>
          <w:lang w:val="en-US"/>
        </w:rPr>
        <w:t xml:space="preserve">, J., Mishra, M., </w:t>
      </w:r>
      <w:r>
        <w:rPr>
          <w:lang w:val="en-US"/>
        </w:rPr>
        <w:t>Naik</w:t>
      </w:r>
      <w:r>
        <w:rPr>
          <w:lang w:val="en-US"/>
        </w:rPr>
        <w:t xml:space="preserve">, B., </w:t>
      </w:r>
      <w:r>
        <w:rPr>
          <w:lang w:val="en-US"/>
        </w:rPr>
        <w:t>Swapnarekha</w:t>
      </w:r>
      <w:r>
        <w:rPr>
          <w:lang w:val="en-US"/>
        </w:rPr>
        <w:t xml:space="preserve">, H., </w:t>
      </w:r>
      <w:r>
        <w:rPr>
          <w:lang w:val="en-US"/>
        </w:rPr>
        <w:t>Cengiz</w:t>
      </w:r>
      <w:r>
        <w:rPr>
          <w:lang w:val="en-US"/>
        </w:rPr>
        <w:t xml:space="preserve">, K. and </w:t>
      </w:r>
      <w:r>
        <w:rPr>
          <w:lang w:val="en-US"/>
        </w:rPr>
        <w:t>Shanmuganathan</w:t>
      </w:r>
      <w:r>
        <w:rPr>
          <w:lang w:val="en-US"/>
        </w:rPr>
        <w:t>, V., 2021.</w:t>
      </w:r>
      <w:r>
        <w:rPr>
          <w:lang w:val="en-US"/>
        </w:rPr>
        <w:t xml:space="preserve"> An impact study of COVID‐19 on six different industries: Automobile, energy and power, agriculture, education, travel and tourism and consumer electronics. </w:t>
      </w:r>
      <w:r>
        <w:rPr>
          <w:lang w:val="en-US"/>
        </w:rPr>
        <w:t>Expert systems.</w:t>
      </w:r>
    </w:p>
    <w:p>
      <w:pPr>
        <w:jc w:val="both"/>
        <w:rPr>
          <w:lang w:val="en-US"/>
        </w:rPr>
      </w:pPr>
      <w:r>
        <w:rPr>
          <w:lang w:val="en-US"/>
        </w:rPr>
        <w:t xml:space="preserve">Paul, S.K., Chowdhury, P., </w:t>
      </w:r>
      <w:r>
        <w:rPr>
          <w:lang w:val="en-US"/>
        </w:rPr>
        <w:t>Moktadir</w:t>
      </w:r>
      <w:r>
        <w:rPr>
          <w:lang w:val="en-US"/>
        </w:rPr>
        <w:t>, M.A. and Lau, K.H., 2021. Supply chain recovery challenges in the wake of COVID-19 pandemic. Journal of business research, 136, pp.316-329.</w:t>
      </w:r>
    </w:p>
    <w:p>
      <w:pPr>
        <w:jc w:val="both"/>
        <w:rPr>
          <w:lang w:val="en-US"/>
        </w:rPr>
      </w:pPr>
      <w:r>
        <w:rPr>
          <w:lang w:val="en-US"/>
        </w:rPr>
        <w:t xml:space="preserve">Sharma, M., </w:t>
      </w:r>
      <w:r>
        <w:rPr>
          <w:lang w:val="en-US"/>
        </w:rPr>
        <w:t>Luthra</w:t>
      </w:r>
      <w:r>
        <w:rPr>
          <w:lang w:val="en-US"/>
        </w:rPr>
        <w:t>, S., Joshi, S. and Kumar, A., 2020.</w:t>
      </w:r>
      <w:r>
        <w:rPr>
          <w:lang w:val="en-US"/>
        </w:rPr>
        <w:t xml:space="preserve"> </w:t>
      </w:r>
      <w:r>
        <w:rPr>
          <w:lang w:val="en-US"/>
        </w:rPr>
        <w:t>Developing a framework for enhancing survivability of sustainable supply chains during and post-COVID-19 pandemic.</w:t>
      </w:r>
      <w:r>
        <w:rPr>
          <w:lang w:val="en-US"/>
        </w:rPr>
        <w:t xml:space="preserve"> </w:t>
      </w:r>
      <w:r>
        <w:rPr>
          <w:lang w:val="en-US"/>
        </w:rPr>
        <w:t>International Journal of Logistics Research and Applications, pp.1-21.</w:t>
      </w:r>
    </w:p>
    <w:p>
      <w:pPr>
        <w:jc w:val="both"/>
        <w:rPr>
          <w:lang w:val="en-US"/>
        </w:rPr>
      </w:pPr>
      <w:r>
        <w:rPr>
          <w:lang w:val="en-US"/>
        </w:rPr>
        <w:t>Singh, T., 2020.</w:t>
      </w:r>
      <w:r>
        <w:rPr>
          <w:lang w:val="en-US"/>
        </w:rPr>
        <w:t xml:space="preserve"> Challenges </w:t>
      </w:r>
      <w:r>
        <w:rPr>
          <w:lang w:val="en-US"/>
        </w:rPr>
        <w:t>In</w:t>
      </w:r>
      <w:r>
        <w:rPr>
          <w:lang w:val="en-US"/>
        </w:rPr>
        <w:t xml:space="preserve"> Automobile Industry In India In The Aftermath Of Covid-19. </w:t>
      </w:r>
      <w:r>
        <w:rPr>
          <w:lang w:val="en-US"/>
        </w:rPr>
        <w:t>PalArch's</w:t>
      </w:r>
      <w:r>
        <w:rPr>
          <w:lang w:val="en-US"/>
        </w:rPr>
        <w:t xml:space="preserve"> Journal of Archaeology of Egypt/Egyptology, 17(6), pp.6168-6177.</w:t>
      </w:r>
    </w:p>
    <w:p>
      <w:pPr>
        <w:jc w:val="both"/>
        <w:rPr>
          <w:lang w:val="en-US"/>
        </w:rPr>
      </w:pPr>
      <w:r>
        <w:rPr>
          <w:lang w:val="en-US"/>
        </w:rPr>
        <w:t xml:space="preserve">Wen, W., Yang, S., Zhou, P. and </w:t>
      </w:r>
      <w:r>
        <w:rPr>
          <w:lang w:val="en-US"/>
        </w:rPr>
        <w:t>Gao</w:t>
      </w:r>
      <w:r>
        <w:rPr>
          <w:lang w:val="en-US"/>
        </w:rPr>
        <w:t xml:space="preserve">, S.Z., 2021. Impacts of COVID-19 on the electric vehicle industry: Evidence from China. </w:t>
      </w:r>
      <w:r>
        <w:rPr>
          <w:lang w:val="en-US"/>
        </w:rPr>
        <w:t>Renewable and Sustainable Energy Reviews, p.111024.</w:t>
      </w:r>
    </w:p>
    <w:p>
      <w:pPr>
        <w:jc w:val="both"/>
        <w:rPr>
          <w:lang w:val="en-US"/>
        </w:rPr>
      </w:pPr>
      <w:r>
        <w:rPr>
          <w:lang w:val="en-US"/>
        </w:rPr>
        <w:t>Wu, X., Zhang, C. and Du, W., 2021, July.</w:t>
      </w:r>
      <w:r>
        <w:rPr>
          <w:lang w:val="en-US"/>
        </w:rPr>
        <w:t xml:space="preserve"> An analysis on the crisis of “chips shortage” in automobile industry——Based on the double influence of COVID-19 and trade friction. In Journal of Physics: Conference Series (Vol. 1971, No. 1, p. 012100). </w:t>
      </w:r>
      <w:r>
        <w:rPr>
          <w:lang w:val="en-US"/>
        </w:rPr>
        <w:t>IOP Publishing.</w:t>
      </w:r>
    </w:p>
    <w:sectPr>
      <w:footerReference w:type="default" r:id="rId18"/>
      <w:pgSz w:w="11906" w:h="16838"/>
      <w:pgMar w:top="1440" w:right="1440" w:bottom="1440" w:left="1440" w:header="708" w:footer="708" w:gutter="0"/>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Cambria">
    <w:panose1 w:val="02040503050406030204"/>
    <w:charset w:val="00"/>
    <w:family w:val="roman"/>
    <w:pitch w:val="variable"/>
    <w:sig w:usb0="00000000" w:usb1="420024ff" w:usb2="02000000" w:usb3="00000000" w:csb0="0000019f"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Symbol">
    <w:panose1 w:val="05050102010706020507"/>
    <w:charset w:val="02"/>
    <w:family w:val="roman"/>
    <w:pitch w:val="variable"/>
    <w:sig w:usb0="00000000" w:usb1="10000000" w:usb2="00000000" w:usb3="00000000" w:csb0="00000000" w:csb1="00000000"/>
  </w:font>
  <w:font w:name="Calibri">
    <w:panose1 w:val="020f0502020204030204"/>
    <w:charset w:val="00"/>
    <w:family w:val="swiss"/>
    <w:pitch w:val="variable"/>
    <w:sig w:usb0="00000000" w:usb1="00000000" w:usb2="00000009" w:usb3="00000000" w:csb0="000001ff" w:csb1="00000000"/>
  </w:font>
  <w:font w:name="Tahoma">
    <w:panose1 w:val="020b0604030504040204"/>
    <w:charset w:val="00"/>
    <w:family w:val="swiss"/>
    <w:pitch w:val="variable"/>
    <w:sig w:usb0="00000000" w:usb1="00000000" w:usb2="00000029" w:usb3="00000000" w:csb0="000101ff" w:csb1="00000000"/>
  </w:font>
  <w:font w:name="Arial">
    <w:panose1 w:val="020b0604020202020204"/>
    <w:charset w:val="00"/>
    <w:family w:val="swiss"/>
    <w:pitch w:val="variable"/>
    <w:sig w:usb0="00000000" w:usb1="00000000" w:usb2="00000009"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p>
    <w:pPr>
      <w:pStyle w:val="Footer"/>
      <w:jc w:val="right"/>
      <w:rPr/>
    </w:pPr>
    <w:r>
      <w:fldChar w:fldCharType="begin"/>
    </w:r>
    <w:r>
      <w:instrText xml:space="preserve"> PAGE   \* MERGEFORMAT </w:instrText>
    </w:r>
    <w:r>
      <w:fldChar w:fldCharType="separate"/>
    </w:r>
    <w:r>
      <w:t>1</w:t>
    </w:r>
    <w:r>
      <w:fldChar w:fldCharType="end"/>
    </w:r>
  </w:p>
  <w:p>
    <w:pPr>
      <w:pStyle w:val="Footer"/>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2"/>
      <w:numFmt w:val="bullet"/>
      <w:lvlText w:val="-"/>
      <w:lvlJc w:val="left"/>
      <w:pPr>
        <w:ind w:left="720" w:hanging="360"/>
      </w:pPr>
      <w:rPr>
        <w:rFonts w:ascii="Cambria" w:cstheme="majorBidi" w:eastAsiaTheme="majorEastAsia" w:hAnsi="Cambria"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4748"/>
    <w:rsid w:val="00102EBF"/>
    <w:rsid w:val="0013662F"/>
    <w:rsid w:val="00186D91"/>
    <w:rsid w:val="001A2334"/>
    <w:rsid w:val="001B1E2F"/>
    <w:rsid w:val="001C6B57"/>
    <w:rsid w:val="00203E76"/>
    <w:rsid w:val="002070B1"/>
    <w:rsid w:val="002764C5"/>
    <w:rsid w:val="002846A9"/>
    <w:rsid w:val="002926D1"/>
    <w:rsid w:val="002B1C5F"/>
    <w:rsid w:val="002E79FC"/>
    <w:rsid w:val="002F6C71"/>
    <w:rsid w:val="00305622"/>
    <w:rsid w:val="003171F0"/>
    <w:rsid w:val="00320D68"/>
    <w:rsid w:val="0034772D"/>
    <w:rsid w:val="003C78DE"/>
    <w:rsid w:val="004940CF"/>
    <w:rsid w:val="004E04DB"/>
    <w:rsid w:val="005045D3"/>
    <w:rsid w:val="005064C1"/>
    <w:rsid w:val="005476FD"/>
    <w:rsid w:val="0055799A"/>
    <w:rsid w:val="00640F98"/>
    <w:rsid w:val="00643551"/>
    <w:rsid w:val="00645AC1"/>
    <w:rsid w:val="006B3EE2"/>
    <w:rsid w:val="006C4065"/>
    <w:rsid w:val="006C4543"/>
    <w:rsid w:val="006C454F"/>
    <w:rsid w:val="0070101E"/>
    <w:rsid w:val="00714FF8"/>
    <w:rsid w:val="00721D3B"/>
    <w:rsid w:val="007A4748"/>
    <w:rsid w:val="007B2484"/>
    <w:rsid w:val="007D447A"/>
    <w:rsid w:val="0083148C"/>
    <w:rsid w:val="00873E4D"/>
    <w:rsid w:val="00890D12"/>
    <w:rsid w:val="00896D62"/>
    <w:rsid w:val="008A349E"/>
    <w:rsid w:val="008A4F8D"/>
    <w:rsid w:val="008A56A7"/>
    <w:rsid w:val="00914129"/>
    <w:rsid w:val="00941FA5"/>
    <w:rsid w:val="00955D6B"/>
    <w:rsid w:val="009A3FF0"/>
    <w:rsid w:val="009D40F6"/>
    <w:rsid w:val="009F493F"/>
    <w:rsid w:val="00A17F91"/>
    <w:rsid w:val="00A70CBA"/>
    <w:rsid w:val="00A844EB"/>
    <w:rsid w:val="00A921F1"/>
    <w:rsid w:val="00B1318B"/>
    <w:rsid w:val="00B402BD"/>
    <w:rsid w:val="00B45C9B"/>
    <w:rsid w:val="00B52490"/>
    <w:rsid w:val="00BC58AA"/>
    <w:rsid w:val="00BF120A"/>
    <w:rsid w:val="00BF5D2E"/>
    <w:rsid w:val="00C054DB"/>
    <w:rsid w:val="00C13603"/>
    <w:rsid w:val="00C45938"/>
    <w:rsid w:val="00C47FBD"/>
    <w:rsid w:val="00C556FF"/>
    <w:rsid w:val="00C73857"/>
    <w:rsid w:val="00C8707C"/>
    <w:rsid w:val="00C9619F"/>
    <w:rsid w:val="00CC4DD7"/>
    <w:rsid w:val="00D44956"/>
    <w:rsid w:val="00D66A4B"/>
    <w:rsid w:val="00D719D5"/>
    <w:rsid w:val="00DE7FB5"/>
    <w:rsid w:val="00E003B0"/>
    <w:rsid w:val="00E33B0E"/>
    <w:rsid w:val="00E42C4F"/>
    <w:rsid w:val="00E6759B"/>
    <w:rsid w:val="00E7537C"/>
    <w:rsid w:val="00E86462"/>
    <w:rsid w:val="00F05512"/>
    <w:rsid w:val="00F126C2"/>
    <w:rsid w:val="00F134C4"/>
    <w:rsid w:val="00F318E4"/>
    <w:rsid w:val="00F6317F"/>
    <w:rsid w:val="00F749D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bg-BG" w:bidi="ar-SA" w:eastAsia="en-US"/>
      </w:rPr>
    </w:rPrDefault>
    <w:pPrDefault>
      <w:pPr>
        <w:spacing w:after="200" w:line="276" w:lineRule="auto"/>
      </w:pPr>
    </w:pPrDefault>
  </w:docDefaults>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f81bd"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243f6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243f6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f81bd" w:themeColor="accent1" w:sz="8" w:space="4"/>
      </w:pBdr>
      <w:spacing w:after="300" w:line="240" w:lineRule="auto"/>
      <w:contextualSpacing w:val="on"/>
    </w:pPr>
    <w:rPr>
      <w:rFonts w:asciiTheme="majorHAnsi" w:cstheme="majorBidi" w:eastAsiaTheme="majorEastAsia" w:hAnsiTheme="majorHAnsi"/>
      <w:color w:val="17375d"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f81bd"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376091" w:themeColor="accent1" w:themeShade="bf"/>
      <w:sz w:val="28"/>
      <w:szCs w:val="28"/>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paragraph" w:styleId="Header">
    <w:name w:val="Header"/>
    <w:basedOn w:val="Normal"/>
    <w:link w:val="HeaderChar"/>
    <w:uiPriority w:val="99"/>
    <w:unhideWhenUsed w:val="on"/>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paragraph" w:styleId="BalloonText">
    <w:name w:val="Balloon Text"/>
    <w:basedOn w:val="Normal"/>
    <w:link w:val="BalloonTextChar"/>
    <w:uiPriority w:val="99"/>
    <w:semiHidden w:val="on"/>
    <w:unhideWhenUsed w:val="on"/>
    <w:pPr>
      <w:spacing w:after="0" w:line="240" w:lineRule="auto"/>
    </w:pPr>
    <w:rPr>
      <w:rFonts w:ascii="Tahoma" w:cs="Tahoma" w:hAnsi="Tahoma"/>
      <w:sz w:val="16"/>
      <w:szCs w:val="16"/>
    </w:rPr>
  </w:style>
  <w:style w:type="character" w:customStyle="1" w:styleId="BalloonTextChar">
    <w:name w:val="Balloon Text Char"/>
    <w:basedOn w:val="DefaultParagraphFont"/>
    <w:link w:val="BalloonText"/>
    <w:uiPriority w:val="99"/>
    <w:semiHidden w:val="on"/>
    <w:rPr>
      <w:rFonts w:ascii="Tahoma" w:cs="Tahoma" w:hAnsi="Tahoma"/>
      <w:sz w:val="16"/>
      <w:szCs w:val="16"/>
    </w:rPr>
  </w:style>
  <w:style w:type="paragraph" w:styleId="ListParagraph">
    <w:name w:val="List Paragraph"/>
    <w:basedOn w:val="Normal"/>
    <w:uiPriority w:val="34"/>
    <w:qFormat w:val="on"/>
    <w:pPr>
      <w:ind w:left="720"/>
      <w:contextualSpacing w:val="on"/>
    </w:pPr>
  </w:style>
  <w:style w:type="paragraph" w:styleId="TOCHeading">
    <w:name w:val="TOC Heading"/>
    <w:basedOn w:val="Heading1"/>
    <w:next w:val="Normal"/>
    <w:uiPriority w:val="39"/>
    <w:semiHidden w:val="on"/>
    <w:unhideWhenUsed w:val="on"/>
    <w:qFormat w:val="on"/>
    <w:pPr/>
    <w:rPr>
      <w:lang w:val="en-US" w:eastAsia="ja-JP"/>
    </w:r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844E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4EB"/>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B131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18B"/>
  </w:style>
  <w:style w:type="paragraph" w:styleId="Footer">
    <w:name w:val="footer"/>
    <w:basedOn w:val="Normal"/>
    <w:link w:val="FooterChar"/>
    <w:uiPriority w:val="99"/>
    <w:unhideWhenUsed/>
    <w:rsid w:val="00B131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18B"/>
  </w:style>
  <w:style w:type="paragraph" w:styleId="BalloonText">
    <w:name w:val="Balloon Text"/>
    <w:basedOn w:val="Normal"/>
    <w:link w:val="BalloonTextChar"/>
    <w:uiPriority w:val="99"/>
    <w:semiHidden/>
    <w:unhideWhenUsed/>
    <w:rsid w:val="00955D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5D6B"/>
    <w:rPr>
      <w:rFonts w:ascii="Tahoma" w:hAnsi="Tahoma" w:cs="Tahoma"/>
      <w:sz w:val="16"/>
      <w:szCs w:val="16"/>
    </w:rPr>
  </w:style>
  <w:style w:type="paragraph" w:styleId="ListParagraph">
    <w:name w:val="List Paragraph"/>
    <w:basedOn w:val="Normal"/>
    <w:uiPriority w:val="34"/>
    <w:qFormat/>
    <w:rsid w:val="00203E76"/>
    <w:pPr>
      <w:ind w:left="720"/>
      <w:contextualSpacing/>
    </w:pPr>
  </w:style>
  <w:style w:type="paragraph" w:styleId="TOCHeading">
    <w:name w:val="TOC Heading"/>
    <w:basedOn w:val="Heading1"/>
    <w:next w:val="Normal"/>
    <w:uiPriority w:val="39"/>
    <w:semiHidden/>
    <w:unhideWhenUsed/>
    <w:qFormat/>
    <w:rsid w:val="0083148C"/>
    <w:pPr>
      <w:outlineLvl w:val="9"/>
    </w:pPr>
    <w:rPr>
      <w:lang w:val="en-US" w:eastAsia="ja-JP"/>
    </w:rPr>
  </w:style>
  <w:style w:type="paragraph" w:styleId="TOC1">
    <w:name w:val="toc 1"/>
    <w:basedOn w:val="Normal"/>
    <w:next w:val="Normal"/>
    <w:autoRedefine/>
    <w:uiPriority w:val="39"/>
    <w:unhideWhenUsed/>
    <w:rsid w:val="0083148C"/>
    <w:pPr>
      <w:spacing w:after="100"/>
    </w:pPr>
  </w:style>
  <w:style w:type="character" w:styleId="Hyperlink">
    <w:name w:val="Hyperlink"/>
    <w:basedOn w:val="DefaultParagraphFont"/>
    <w:uiPriority w:val="99"/>
    <w:unhideWhenUsed/>
    <w:rsid w:val="008314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2" Type="http://schemas.openxmlformats.org/officeDocument/2006/relationships/footer" Target="footer1.xml"/><Relationship Id="rId13" Type="http://schemas.openxmlformats.org/officeDocument/2006/relationships/fontTable" Target="fontTable.xml"/><Relationship Id="rId14" Type="http://schemas.openxmlformats.org/officeDocument/2006/relationships/theme" Target="theme/theme1.xml"/><Relationship Id="rId15" Type="http://schemas.openxmlformats.org/officeDocument/2006/relationships/image" Target="media/image2.jpeg"/><Relationship Id="rId16" Type="http://schemas.openxmlformats.org/officeDocument/2006/relationships/image" Target="media/image4.png"/><Relationship Id="rId17" Type="http://schemas.openxmlformats.org/officeDocument/2006/relationships/image" Target="media/image5.png"/><Relationship Id="rId18" Type="http://schemas.openxmlformats.org/officeDocument/2006/relationships/footer" Target="footer1.xml"/><Relationship Id="rId2" Type="http://schemas.openxmlformats.org/officeDocument/2006/relationships/numbering" Target="numbering.xml"/><Relationship Id="rId3" Type="http://schemas.openxmlformats.org/officeDocument/2006/relationships/styles" Target="styles.xml"/><Relationship Id="rId5" Type="http://schemas.openxmlformats.org/officeDocument/2006/relationships/settings" Target="settings.xml"/><Relationship Id="rId7" Type="http://schemas.openxmlformats.org/officeDocument/2006/relationships/footnotes" Target="footnotes.xml"/><Relationship Id="rId8" Type="http://schemas.openxmlformats.org/officeDocument/2006/relationships/endnotes" Target="endnotes.xml"/><Relationship Id="rId1" Type="http://schemas.openxmlformats.org/officeDocument/2006/relationships/customXml" Target="../customXml/item1.xml"/><Relationship Id="rId4" Type="http://schemas.microsoft.com/office/2007/relationships/stylesWithEffects" Target="stylesWithEffects.xml"/><Relationship Id="rId6" Type="http://schemas.openxmlformats.org/officeDocument/2006/relationships/webSettings" Target="webSettings.xml"/><Relationship Id="rId9" Type="http://schemas.openxmlformats.org/officeDocument/2006/relationships/image" Target="media/image1.jpeg"/><Relationship Id="rId10" Type="http://schemas.openxmlformats.org/officeDocument/2006/relationships/image" Target="media/image2.png"/><Relationship Id="rId11" Type="http://schemas.openxmlformats.org/officeDocument/2006/relationships/image" Target="media/image3.png"/></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08210B-724D-421B-8B20-EE571E39A5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2083</Words>
  <Characters>11875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Piotr Niczyporuk</cp:lastModifiedBy>
</cp:coreProperties>
</file>