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C7565" w14:textId="626A68BA" w:rsidR="004603D5" w:rsidRDefault="004603D5" w:rsidP="002C70F4">
      <w:pPr>
        <w:spacing w:line="480" w:lineRule="auto"/>
      </w:pPr>
      <w:r>
        <w:t xml:space="preserve">This essay will focus on funerary evidence associated with a burial site discovered in Pocklington in East Yorkshire and will assess how this evidence can be used to recognise the social status of the people within this community when it lived and thrived. This site has been dated back to the Iron Age in Britain, which began about 800 BC which </w:t>
      </w:r>
      <w:r w:rsidR="00E51B25">
        <w:t>can</w:t>
      </w:r>
      <w:r>
        <w:t xml:space="preserve"> be demonstrated in the discoveries made at this particular burial site. In 2014 in the Yorkshire town of Pocklington, a fossil site was discovered by a housing developer which is now considered to be of national significance</w:t>
      </w:r>
      <w:r w:rsidR="004210E3">
        <w:t xml:space="preserve"> due to archaeologists findings.</w:t>
      </w:r>
    </w:p>
    <w:p w14:paraId="46E095A8" w14:textId="77777777" w:rsidR="004603D5" w:rsidRPr="004603D5" w:rsidRDefault="004603D5" w:rsidP="002C70F4">
      <w:pPr>
        <w:spacing w:line="480" w:lineRule="auto"/>
        <w:rPr>
          <w:b/>
          <w:u w:val="single"/>
        </w:rPr>
      </w:pPr>
    </w:p>
    <w:p w14:paraId="30DA3270" w14:textId="7E73BFE2" w:rsidR="004603D5" w:rsidRDefault="004603D5" w:rsidP="002C70F4">
      <w:pPr>
        <w:spacing w:line="480" w:lineRule="auto"/>
      </w:pPr>
      <w:r>
        <w:t>Well preserved remains were found of what archaeologists describe to be a “youthful warrior”</w:t>
      </w:r>
      <w:r>
        <w:rPr>
          <w:rStyle w:val="FootnoteReference"/>
        </w:rPr>
        <w:footnoteReference w:id="1"/>
      </w:r>
      <w:r>
        <w:t xml:space="preserve"> </w:t>
      </w:r>
      <w:r w:rsidR="00735200">
        <w:t xml:space="preserve">(likely between the ages of 17-23) </w:t>
      </w:r>
      <w:r>
        <w:t xml:space="preserve">buried with a </w:t>
      </w:r>
      <w:r w:rsidR="00735200">
        <w:t xml:space="preserve">broken </w:t>
      </w:r>
      <w:r>
        <w:t xml:space="preserve">sword dating back to 800 BC, </w:t>
      </w:r>
      <w:r w:rsidR="00735200">
        <w:t>during</w:t>
      </w:r>
      <w:r>
        <w:t xml:space="preserve"> the British Iron Age, that archaeologists believe had been ritually speared in order to release his spirit. </w:t>
      </w:r>
      <w:r w:rsidR="00D618A1">
        <w:t>The sword had been killed, relating to “</w:t>
      </w:r>
      <w:r w:rsidR="00D618A1" w:rsidRPr="00D618A1">
        <w:rPr>
          <w:rFonts w:asciiTheme="minorHAnsi" w:hAnsiTheme="minorHAnsi" w:cstheme="minorHAnsi"/>
          <w:bCs/>
          <w:color w:val="000000" w:themeColor="text1"/>
          <w:shd w:val="clear" w:color="auto" w:fill="FFFFFF"/>
        </w:rPr>
        <w:t>the deliberate bending, breaking or otherwise deforming of weapons and other artefacts before depositing them in burials or as votive offerings at religious sanctuaries</w:t>
      </w:r>
      <w:r w:rsidR="00D618A1">
        <w:rPr>
          <w:rFonts w:asciiTheme="minorHAnsi" w:hAnsiTheme="minorHAnsi" w:cstheme="minorHAnsi"/>
          <w:bCs/>
          <w:color w:val="000000" w:themeColor="text1"/>
          <w:shd w:val="clear" w:color="auto" w:fill="FFFFFF"/>
        </w:rPr>
        <w:t>”</w:t>
      </w:r>
      <w:r w:rsidR="00D618A1">
        <w:rPr>
          <w:rStyle w:val="FootnoteReference"/>
          <w:rFonts w:asciiTheme="minorHAnsi" w:hAnsiTheme="minorHAnsi" w:cstheme="minorHAnsi"/>
          <w:bCs/>
          <w:color w:val="000000" w:themeColor="text1"/>
          <w:shd w:val="clear" w:color="auto" w:fill="FFFFFF"/>
        </w:rPr>
        <w:footnoteReference w:id="2"/>
      </w:r>
      <w:r w:rsidR="00344CC2">
        <w:rPr>
          <w:rFonts w:asciiTheme="minorHAnsi" w:hAnsiTheme="minorHAnsi" w:cstheme="minorHAnsi"/>
          <w:bCs/>
          <w:color w:val="000000" w:themeColor="text1"/>
          <w:shd w:val="clear" w:color="auto" w:fill="FFFFFF"/>
        </w:rPr>
        <w:t xml:space="preserve"> </w:t>
      </w:r>
      <w:r w:rsidR="001B2868">
        <w:rPr>
          <w:rFonts w:asciiTheme="minorHAnsi" w:hAnsiTheme="minorHAnsi" w:cstheme="minorHAnsi"/>
          <w:bCs/>
          <w:color w:val="000000" w:themeColor="text1"/>
          <w:shd w:val="clear" w:color="auto" w:fill="FFFFFF"/>
        </w:rPr>
        <w:t xml:space="preserve"> which scholars suggest was quite common and an important ritual pattern.</w:t>
      </w:r>
      <w:r w:rsidR="00AD4D9F">
        <w:rPr>
          <w:rFonts w:asciiTheme="minorHAnsi" w:hAnsiTheme="minorHAnsi" w:cstheme="minorHAnsi"/>
          <w:bCs/>
          <w:color w:val="000000" w:themeColor="text1"/>
          <w:shd w:val="clear" w:color="auto" w:fill="FFFFFF"/>
        </w:rPr>
        <w:t xml:space="preserve"> Another ‘warrior’ was uniquely discovered alongside a shield which </w:t>
      </w:r>
      <w:r w:rsidR="00AD4D9F" w:rsidRPr="00AD4D9F">
        <w:rPr>
          <w:rFonts w:asciiTheme="minorHAnsi" w:hAnsiTheme="minorHAnsi" w:cstheme="minorHAnsi"/>
          <w:color w:val="121212"/>
          <w:sz w:val="24"/>
          <w:szCs w:val="26"/>
          <w:shd w:val="clear" w:color="auto" w:fill="FFFFFF"/>
        </w:rPr>
        <w:t>“is the first time that we have ever discovered a shield burial in Britain … it has never happened before.”</w:t>
      </w:r>
      <w:r w:rsidR="00AD4D9F">
        <w:rPr>
          <w:rStyle w:val="FootnoteReference"/>
          <w:rFonts w:asciiTheme="minorHAnsi" w:hAnsiTheme="minorHAnsi" w:cstheme="minorHAnsi"/>
          <w:color w:val="121212"/>
          <w:sz w:val="24"/>
          <w:szCs w:val="26"/>
          <w:shd w:val="clear" w:color="auto" w:fill="FFFFFF"/>
        </w:rPr>
        <w:footnoteReference w:id="3"/>
      </w:r>
      <w:r w:rsidR="00AD4D9F">
        <w:rPr>
          <w:rFonts w:asciiTheme="minorHAnsi" w:hAnsiTheme="minorHAnsi" w:cstheme="minorHAnsi"/>
          <w:color w:val="121212"/>
          <w:sz w:val="24"/>
          <w:szCs w:val="26"/>
          <w:shd w:val="clear" w:color="auto" w:fill="FFFFFF"/>
        </w:rPr>
        <w:t xml:space="preserve"> which might imply that this warrior was of a higher standing than the other</w:t>
      </w:r>
      <w:r w:rsidR="00382853">
        <w:rPr>
          <w:rFonts w:asciiTheme="minorHAnsi" w:hAnsiTheme="minorHAnsi" w:cstheme="minorHAnsi"/>
          <w:color w:val="121212"/>
          <w:sz w:val="24"/>
          <w:szCs w:val="26"/>
          <w:shd w:val="clear" w:color="auto" w:fill="FFFFFF"/>
        </w:rPr>
        <w:t xml:space="preserve"> two discovered warriors.</w:t>
      </w:r>
    </w:p>
    <w:p w14:paraId="3DCDB573" w14:textId="77777777" w:rsidR="004603D5" w:rsidRDefault="004603D5" w:rsidP="002C70F4">
      <w:pPr>
        <w:spacing w:line="480" w:lineRule="auto"/>
        <w:rPr>
          <w:b/>
          <w:u w:val="single"/>
        </w:rPr>
      </w:pPr>
    </w:p>
    <w:p w14:paraId="17B6D08D" w14:textId="2A748AB8" w:rsidR="004210E3" w:rsidRDefault="002C70F4" w:rsidP="004210E3">
      <w:pPr>
        <w:spacing w:line="480" w:lineRule="auto"/>
      </w:pPr>
      <w:r>
        <w:t>The funeral site at Pocklington demonstrates the Celtic burial tradition of inhumation as is proved by the number of skeletons that were discovered on site</w:t>
      </w:r>
      <w:r w:rsidR="004210E3">
        <w:t>. T</w:t>
      </w:r>
      <w:r>
        <w:t xml:space="preserve">his is supportive of the dating of the site back to 800 BC as cremation became more popular </w:t>
      </w:r>
      <w:r w:rsidR="006D3213">
        <w:t>from 500 BC – 100 BC</w:t>
      </w:r>
      <w:r w:rsidR="004210E3">
        <w:t>.</w:t>
      </w:r>
      <w:r w:rsidR="004210E3" w:rsidRPr="004210E3">
        <w:t xml:space="preserve"> </w:t>
      </w:r>
      <w:r w:rsidR="004210E3">
        <w:t xml:space="preserve">Although archaeologists </w:t>
      </w:r>
      <w:r w:rsidR="004210E3">
        <w:lastRenderedPageBreak/>
        <w:t xml:space="preserve">were not expecting to find many graves, they did in fact discover 75 holding 160 skeletons from </w:t>
      </w:r>
      <w:r w:rsidR="00382853">
        <w:t>the</w:t>
      </w:r>
      <w:r w:rsidR="004210E3">
        <w:t xml:space="preserve"> Celtic community.</w:t>
      </w:r>
    </w:p>
    <w:p w14:paraId="5B6B678B" w14:textId="77777777" w:rsidR="004603D5" w:rsidRDefault="004603D5">
      <w:pPr>
        <w:rPr>
          <w:b/>
          <w:u w:val="single"/>
        </w:rPr>
      </w:pPr>
    </w:p>
    <w:p w14:paraId="427033C9" w14:textId="77777777" w:rsidR="00F12B76" w:rsidRDefault="00F12B76" w:rsidP="00F12B76">
      <w:pPr>
        <w:spacing w:line="480" w:lineRule="auto"/>
      </w:pPr>
      <w:r>
        <w:t>Excavation of the site showed the emergence of a pattern in which the “small, round barrows”</w:t>
      </w:r>
      <w:r>
        <w:rPr>
          <w:rStyle w:val="FootnoteReference"/>
        </w:rPr>
        <w:footnoteReference w:id="4"/>
      </w:r>
      <w:r>
        <w:t xml:space="preserve"> held members of society who were seemingly more important, of higher social status; these people were warriors which is told by the fact that they were buried with their weapons</w:t>
      </w:r>
      <w:r w:rsidR="007C0180">
        <w:t>.</w:t>
      </w:r>
      <w:r w:rsidR="004210E3">
        <w:t xml:space="preserve"> From Pocklington, t</w:t>
      </w:r>
      <w:r>
        <w:t>he differences in social status can be seen by the way in which the different skeletons were buried. A few different burial methods were discovered; some skeletons were discovered to have been buried in organic beds whereas others were simply in wicker baskets. However, archaeologists discovered that the most ornate burials</w:t>
      </w:r>
      <w:r w:rsidR="001B2868">
        <w:t xml:space="preserve"> at the tumuli</w:t>
      </w:r>
      <w:r>
        <w:t xml:space="preserve"> were for warriors, three</w:t>
      </w:r>
      <w:r w:rsidR="001B2868">
        <w:t xml:space="preserve"> of them</w:t>
      </w:r>
      <w:r>
        <w:t xml:space="preserve"> to be exact. These warriors has instead been buried in small and round graves rather than the square graves that the other skeletons were treated to, this shows that those who were more revered were given more elaborate and significant burial rights</w:t>
      </w:r>
      <w:r w:rsidR="00293E91" w:rsidRPr="00865805">
        <w:rPr>
          <w:rFonts w:eastAsia="Times New Roman" w:cs="Calibri"/>
          <w:szCs w:val="18"/>
          <w:lang w:eastAsia="en-GB"/>
        </w:rPr>
        <w:t>,</w:t>
      </w:r>
      <w:r w:rsidR="00293E91">
        <w:rPr>
          <w:rFonts w:eastAsia="Times New Roman" w:cs="Calibri"/>
          <w:szCs w:val="18"/>
          <w:lang w:eastAsia="en-GB"/>
        </w:rPr>
        <w:t xml:space="preserve"> this suggests that</w:t>
      </w:r>
      <w:r w:rsidR="00293E91" w:rsidRPr="00865805">
        <w:rPr>
          <w:rFonts w:eastAsia="Times New Roman" w:cs="Calibri"/>
          <w:szCs w:val="18"/>
          <w:lang w:eastAsia="en-GB"/>
        </w:rPr>
        <w:t xml:space="preserve"> "The specific treatment accorded an individual in death will be consistent with that individual's social position in life"</w:t>
      </w:r>
      <w:r w:rsidR="00293E91" w:rsidRPr="00865805">
        <w:rPr>
          <w:rStyle w:val="FootnoteReference"/>
          <w:rFonts w:eastAsia="Times New Roman" w:cs="Calibri"/>
          <w:szCs w:val="18"/>
          <w:lang w:eastAsia="en-GB"/>
        </w:rPr>
        <w:footnoteReference w:id="5"/>
      </w:r>
      <w:r w:rsidR="00293E91" w:rsidRPr="00865805">
        <w:rPr>
          <w:rFonts w:eastAsia="Times New Roman" w:cs="Calibri"/>
          <w:szCs w:val="18"/>
          <w:lang w:eastAsia="en-GB"/>
        </w:rPr>
        <w:t xml:space="preserve"> </w:t>
      </w:r>
      <w:r w:rsidR="00293E91">
        <w:rPr>
          <w:rFonts w:eastAsia="Times New Roman" w:cs="Calibri"/>
          <w:szCs w:val="18"/>
          <w:lang w:eastAsia="en-GB"/>
        </w:rPr>
        <w:t>.</w:t>
      </w:r>
      <w:r w:rsidR="00AD4D9F">
        <w:rPr>
          <w:rFonts w:eastAsia="Times New Roman" w:cs="Calibri"/>
          <w:szCs w:val="18"/>
          <w:lang w:eastAsia="en-GB"/>
        </w:rPr>
        <w:t xml:space="preserve"> This gives us an insight into the community’s beliefs and burial traditions.</w:t>
      </w:r>
    </w:p>
    <w:p w14:paraId="657F7C43" w14:textId="77777777" w:rsidR="00F12B76" w:rsidRDefault="00F12B76" w:rsidP="00F12B76">
      <w:pPr>
        <w:spacing w:line="480" w:lineRule="auto"/>
      </w:pPr>
    </w:p>
    <w:p w14:paraId="66CEF2CD" w14:textId="77777777" w:rsidR="00F12B76" w:rsidRDefault="00F12B76" w:rsidP="00F12B76">
      <w:pPr>
        <w:spacing w:line="480" w:lineRule="auto"/>
      </w:pPr>
      <w:r>
        <w:t>As evidenced by this particular burial site, the shape of the grave may mean a significant difference in social status. As was discovered, the ‘warriors’ were found in small, round graves as opposed to the other bodies who were discovered in square graves</w:t>
      </w:r>
      <w:r w:rsidR="00293E91">
        <w:t>. The skeletons found in the square graves seem to have been shown less attention  during the excavation and possess much less</w:t>
      </w:r>
      <w:r w:rsidR="001A0FDD">
        <w:t xml:space="preserve"> in grave goods which implies that, within this community, people of lower social status were given the same type of burial as each other, whereas those who were perhaps more revered and respected were given more extravagant burials to show their status.</w:t>
      </w:r>
    </w:p>
    <w:p w14:paraId="2C4581DC" w14:textId="77777777" w:rsidR="004603D5" w:rsidRPr="004603D5" w:rsidRDefault="004603D5">
      <w:pPr>
        <w:rPr>
          <w:b/>
          <w:u w:val="single"/>
        </w:rPr>
      </w:pPr>
    </w:p>
    <w:p w14:paraId="0193912B" w14:textId="77777777" w:rsidR="006D3213" w:rsidRPr="002F7C93" w:rsidRDefault="006D3213" w:rsidP="006D3213">
      <w:pPr>
        <w:spacing w:line="480" w:lineRule="auto"/>
      </w:pPr>
      <w:r>
        <w:t>A chariot was also discovered at Pocklington with a man around the age of 40 found inside in a foetal position; buried with 2 horses, 6 piglets, a shield and a brooch which demonstrate that he must have been of importance during his time. The chariot was buried upright, “as though the vehicle was ready to roll on into any future life.”</w:t>
      </w:r>
      <w:r>
        <w:rPr>
          <w:rStyle w:val="FootnoteReference"/>
        </w:rPr>
        <w:footnoteReference w:id="6"/>
      </w:r>
      <w:r>
        <w:t xml:space="preserve"> The Celts often buried </w:t>
      </w:r>
      <w:r w:rsidR="00B74BA6">
        <w:t xml:space="preserve">members of the community </w:t>
      </w:r>
      <w:r w:rsidR="002F7C93">
        <w:t xml:space="preserve">with things that would be useful to them in the afterlife and this is demonstrative of that which implies that when alive, this person would likely have been of a high social status to have access to not only a chariot, but a chariot </w:t>
      </w:r>
      <w:r w:rsidR="002F7C93">
        <w:rPr>
          <w:i/>
        </w:rPr>
        <w:t xml:space="preserve">and </w:t>
      </w:r>
      <w:r w:rsidR="002F7C93">
        <w:t>the horses. This is also the first time in 200 years that the deceased was found buried alongside the chariot.</w:t>
      </w:r>
    </w:p>
    <w:p w14:paraId="1534D399" w14:textId="77777777" w:rsidR="006D3213" w:rsidRDefault="006D3213" w:rsidP="006D3213">
      <w:pPr>
        <w:spacing w:line="480" w:lineRule="auto"/>
      </w:pPr>
    </w:p>
    <w:p w14:paraId="26A6582C" w14:textId="77777777" w:rsidR="006D3213" w:rsidRDefault="006D3213" w:rsidP="006D3213">
      <w:pPr>
        <w:spacing w:line="480" w:lineRule="auto"/>
      </w:pPr>
      <w:r>
        <w:t>“Chariot burials are rare finds”</w:t>
      </w:r>
      <w:r>
        <w:rPr>
          <w:rStyle w:val="FootnoteReference"/>
        </w:rPr>
        <w:footnoteReference w:id="7"/>
      </w:r>
      <w:r>
        <w:t xml:space="preserve"> and demonstrate the elite social standing of the person at hand during the Iron Age</w:t>
      </w:r>
      <w:r w:rsidR="002F7C93">
        <w:t>; t</w:t>
      </w:r>
      <w:r>
        <w:t>he discovery of chariot burials, archaeologists believe, indicates migration</w:t>
      </w:r>
      <w:r w:rsidR="002F7C93">
        <w:t xml:space="preserve"> of people from the Arras culture</w:t>
      </w:r>
      <w:r>
        <w:t xml:space="preserve"> from northern France where chariot burials were also found</w:t>
      </w:r>
      <w:r w:rsidR="000C2356">
        <w:t>. Tombs are a mirror of the living and we are therefore able to discover not only the social status of the dead, but the traditions surrounding social status and burial of a specific culture.</w:t>
      </w:r>
      <w:r w:rsidR="00A6434B">
        <w:t xml:space="preserve"> As Arnold says, “Burial was a vehicle for expressing a wide range of social messages: rank, status, age, gender, occupation or social role”</w:t>
      </w:r>
      <w:r w:rsidR="00A6434B">
        <w:rPr>
          <w:rStyle w:val="FootnoteReference"/>
        </w:rPr>
        <w:footnoteReference w:id="8"/>
      </w:r>
      <w:r w:rsidR="001B2868">
        <w:t xml:space="preserve"> which we can see here, at Pocklington.</w:t>
      </w:r>
    </w:p>
    <w:p w14:paraId="569148D1" w14:textId="77777777" w:rsidR="002F7C93" w:rsidRDefault="002F7C93" w:rsidP="006D3213">
      <w:pPr>
        <w:spacing w:line="480" w:lineRule="auto"/>
      </w:pPr>
    </w:p>
    <w:p w14:paraId="1EA35E4B" w14:textId="4237674C" w:rsidR="006D3213" w:rsidRDefault="002F7C93" w:rsidP="006D3213">
      <w:pPr>
        <w:spacing w:line="480" w:lineRule="auto"/>
      </w:pPr>
      <w:r>
        <w:t xml:space="preserve">The man in the chariot was allegedly a “highly regarded member of the community” </w:t>
      </w:r>
      <w:r>
        <w:rPr>
          <w:rStyle w:val="FootnoteReference"/>
        </w:rPr>
        <w:footnoteReference w:id="9"/>
      </w:r>
      <w:r>
        <w:t xml:space="preserve"> due to the objects buried alongside him. </w:t>
      </w:r>
      <w:r w:rsidR="006D3213">
        <w:t xml:space="preserve">The quality of items that are found within a grave alongside a person’s skeleton reproduces an idea of exactly what type of lifestyle and goods would have been available to the deceased whilst they were still alive. By studying graves with significant amounts of goods and or </w:t>
      </w:r>
      <w:r w:rsidR="006D3213">
        <w:lastRenderedPageBreak/>
        <w:t>goods of great quality in comparison with a grave which contains nothing, we are able to create a distinction between the lives of different people with different social statuses; being able to see what was available to them when alive</w:t>
      </w:r>
      <w:r>
        <w:t>. A “highly decorative brooch”</w:t>
      </w:r>
      <w:r>
        <w:rPr>
          <w:rStyle w:val="FootnoteReference"/>
        </w:rPr>
        <w:footnoteReference w:id="10"/>
      </w:r>
      <w:r>
        <w:t xml:space="preserve"> was also found alongside this man which further suggests he </w:t>
      </w:r>
      <w:r w:rsidR="00D17D28">
        <w:t>was</w:t>
      </w:r>
      <w:r>
        <w:t xml:space="preserve"> </w:t>
      </w:r>
      <w:r w:rsidR="00D17D28">
        <w:t>of high standing</w:t>
      </w:r>
      <w:r w:rsidR="00FA6F1C">
        <w:t xml:space="preserve"> due to its extravagance.</w:t>
      </w:r>
    </w:p>
    <w:p w14:paraId="7C6535AA" w14:textId="77777777" w:rsidR="006D3213" w:rsidRDefault="006D3213" w:rsidP="006D3213">
      <w:pPr>
        <w:spacing w:line="480" w:lineRule="auto"/>
      </w:pPr>
    </w:p>
    <w:p w14:paraId="51C8B377" w14:textId="77777777" w:rsidR="006D3213" w:rsidRDefault="006D3213" w:rsidP="006D3213">
      <w:pPr>
        <w:spacing w:line="480" w:lineRule="auto"/>
      </w:pPr>
      <w:r>
        <w:t>However, it is also worth looking at the quantity of goods found within graves- the quantity of grave goods does not necessarily reflect the person’s status as we might assume it does at first glance</w:t>
      </w:r>
      <w:r w:rsidR="00D17D28">
        <w:t>. The excavation revealed that “more than 360 amber and glass beads, brooches and pots”</w:t>
      </w:r>
      <w:r w:rsidR="00D17D28">
        <w:rPr>
          <w:rStyle w:val="FootnoteReference"/>
        </w:rPr>
        <w:footnoteReference w:id="11"/>
      </w:r>
      <w:r w:rsidR="00D17D28">
        <w:t xml:space="preserve"> were discovered in the graves. It should be considered that family members of lower status people may have placed objects in the grave that were not of great value </w:t>
      </w:r>
      <w:r w:rsidR="00780F7A">
        <w:t xml:space="preserve">when grieving and therefore we must be critical of artefacts that are found in Celtic graves; the amount may not necessarily correlate with social status. </w:t>
      </w:r>
    </w:p>
    <w:p w14:paraId="1B99CE0D" w14:textId="77777777" w:rsidR="00AD4D9F" w:rsidRDefault="00AD4D9F" w:rsidP="006D3213">
      <w:pPr>
        <w:spacing w:line="480" w:lineRule="auto"/>
      </w:pPr>
    </w:p>
    <w:p w14:paraId="768278D3" w14:textId="469F8DD1" w:rsidR="00AD4D9F" w:rsidRPr="00AD4D9F" w:rsidRDefault="00AD4D9F" w:rsidP="006D3213">
      <w:pPr>
        <w:spacing w:line="480" w:lineRule="auto"/>
      </w:pPr>
      <w:r>
        <w:t>In addition to this, Minard and Koc</w:t>
      </w:r>
      <w:r w:rsidR="00FA6F1C">
        <w:t>h</w:t>
      </w:r>
      <w:r>
        <w:t xml:space="preserve"> claim that “Many male burials contained weapons,”</w:t>
      </w:r>
      <w:r>
        <w:rPr>
          <w:rStyle w:val="FootnoteReference"/>
        </w:rPr>
        <w:footnoteReference w:id="12"/>
      </w:r>
      <w:r>
        <w:t xml:space="preserve"> and suggest that helmets were buried with high status warriors which could imply that the ‘warriors’ found at Pocklington could have, in fact, been ordinary men. Arguably, if they </w:t>
      </w:r>
      <w:r>
        <w:rPr>
          <w:i/>
        </w:rPr>
        <w:t xml:space="preserve">had </w:t>
      </w:r>
      <w:r>
        <w:t xml:space="preserve">been warriors, they would have been buried alongside their helmets. </w:t>
      </w:r>
    </w:p>
    <w:p w14:paraId="06622806" w14:textId="77777777" w:rsidR="00D17D28" w:rsidRDefault="00D17D28" w:rsidP="006D3213">
      <w:pPr>
        <w:spacing w:line="480" w:lineRule="auto"/>
      </w:pPr>
    </w:p>
    <w:p w14:paraId="7EA61AE9" w14:textId="77777777" w:rsidR="00D17D28" w:rsidRDefault="00D17D28" w:rsidP="00D17D28">
      <w:pPr>
        <w:spacing w:line="480" w:lineRule="auto"/>
      </w:pPr>
      <w:r>
        <w:t>Overall, funerary evidence can be used to display differences in social status in a number of ways. The main way in which this is displayed is through the burial itself- what burial rights each person was given, or the quality of what they were buried alongside, if anything</w:t>
      </w:r>
      <w:r w:rsidR="00780F7A">
        <w:t xml:space="preserve"> can pave the way to an understanding of a Celtic community. </w:t>
      </w:r>
      <w:r w:rsidR="00F12B76">
        <w:t xml:space="preserve">Excavations of the Pocklington burial site show us how people </w:t>
      </w:r>
      <w:r w:rsidR="00F12B76">
        <w:lastRenderedPageBreak/>
        <w:t>of different social statuses were treated upon their burial as we are largely able to distinguish the higher from the lower</w:t>
      </w:r>
      <w:r w:rsidR="000C2356">
        <w:t>. Of course we have to be critical of this, but it appears regardless that those of higher status were treated better upon death.</w:t>
      </w:r>
    </w:p>
    <w:p w14:paraId="45634758" w14:textId="77777777" w:rsidR="00D17D28" w:rsidRDefault="00D17D28" w:rsidP="006D3213">
      <w:pPr>
        <w:spacing w:line="480" w:lineRule="auto"/>
      </w:pPr>
    </w:p>
    <w:p w14:paraId="0CB4C7A0" w14:textId="77777777" w:rsidR="00D17D28" w:rsidRDefault="00D17D28" w:rsidP="006D3213">
      <w:pPr>
        <w:spacing w:line="480" w:lineRule="auto"/>
      </w:pPr>
    </w:p>
    <w:p w14:paraId="0E5AF1A3" w14:textId="1FC29B06" w:rsidR="004603D5" w:rsidRPr="00022446" w:rsidRDefault="00022446">
      <w:r>
        <w:rPr>
          <w:b/>
        </w:rPr>
        <w:t>WORD COUNT: 12</w:t>
      </w:r>
      <w:r w:rsidR="00002A8A">
        <w:rPr>
          <w:b/>
        </w:rPr>
        <w:t>42</w:t>
      </w:r>
      <w:bookmarkStart w:id="0" w:name="_GoBack"/>
      <w:bookmarkEnd w:id="0"/>
    </w:p>
    <w:p w14:paraId="51F4A9A5" w14:textId="77777777" w:rsidR="003F05F6" w:rsidRDefault="003F05F6"/>
    <w:p w14:paraId="321CF7F5" w14:textId="77777777" w:rsidR="003F05F6" w:rsidRDefault="003F05F6"/>
    <w:p w14:paraId="1C6143C1" w14:textId="77777777" w:rsidR="003F05F6" w:rsidRDefault="003F05F6"/>
    <w:p w14:paraId="5A70FD1B" w14:textId="77777777" w:rsidR="003F05F6" w:rsidRDefault="003F05F6"/>
    <w:p w14:paraId="3BAAE547" w14:textId="77777777" w:rsidR="003F05F6" w:rsidRDefault="003F05F6"/>
    <w:p w14:paraId="262AA0EC" w14:textId="77777777" w:rsidR="003F05F6" w:rsidRDefault="003F05F6">
      <w:pPr>
        <w:suppressAutoHyphens w:val="0"/>
        <w:autoSpaceDN/>
        <w:spacing w:line="259" w:lineRule="auto"/>
        <w:textAlignment w:val="auto"/>
      </w:pPr>
      <w:r>
        <w:br w:type="page"/>
      </w:r>
    </w:p>
    <w:p w14:paraId="4C6C4631" w14:textId="77777777" w:rsidR="003F05F6" w:rsidRDefault="003F05F6" w:rsidP="003F05F6">
      <w:pPr>
        <w:jc w:val="center"/>
        <w:rPr>
          <w:b/>
          <w:sz w:val="28"/>
        </w:rPr>
      </w:pPr>
      <w:r>
        <w:rPr>
          <w:b/>
          <w:sz w:val="28"/>
        </w:rPr>
        <w:lastRenderedPageBreak/>
        <w:t>BIBLIOGRAPHY</w:t>
      </w:r>
    </w:p>
    <w:p w14:paraId="70CD9213" w14:textId="77777777" w:rsidR="003F05F6" w:rsidRPr="007E6581" w:rsidRDefault="003F05F6" w:rsidP="007E6581">
      <w:pPr>
        <w:spacing w:line="480" w:lineRule="auto"/>
        <w:jc w:val="center"/>
        <w:rPr>
          <w:rFonts w:asciiTheme="minorHAnsi" w:hAnsiTheme="minorHAnsi" w:cstheme="minorHAnsi"/>
          <w:sz w:val="32"/>
        </w:rPr>
      </w:pPr>
    </w:p>
    <w:p w14:paraId="1969DFA9"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Arnold, B. (2001). The limits of agency in the analysis of elite Iron Age Celtic burials. </w:t>
      </w:r>
      <w:r w:rsidRPr="007E6581">
        <w:rPr>
          <w:rFonts w:asciiTheme="minorHAnsi" w:hAnsiTheme="minorHAnsi" w:cstheme="minorHAnsi"/>
          <w:i/>
          <w:iCs/>
          <w:color w:val="000000"/>
          <w:szCs w:val="24"/>
          <w:shd w:val="clear" w:color="auto" w:fill="FFFFFF"/>
        </w:rPr>
        <w:t>Journal of Social Archaeology</w:t>
      </w:r>
      <w:r w:rsidRPr="007E6581">
        <w:rPr>
          <w:rFonts w:asciiTheme="minorHAnsi" w:hAnsiTheme="minorHAnsi" w:cstheme="minorHAnsi"/>
          <w:color w:val="000000"/>
          <w:szCs w:val="24"/>
          <w:shd w:val="clear" w:color="auto" w:fill="FFFFFF"/>
        </w:rPr>
        <w:t>, [online] 1(2), pp.210-224. Available at: https://journals.sagepub.com/doi/pdf/10.1177/146960530100100204 [Accessed 15 Jan. 2019].</w:t>
      </w:r>
    </w:p>
    <w:p w14:paraId="0DB61A82"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Balkan Celts. (2013). </w:t>
      </w:r>
      <w:r w:rsidRPr="007E6581">
        <w:rPr>
          <w:rFonts w:asciiTheme="minorHAnsi" w:hAnsiTheme="minorHAnsi" w:cstheme="minorHAnsi"/>
          <w:i/>
          <w:iCs/>
          <w:color w:val="000000"/>
          <w:szCs w:val="24"/>
          <w:shd w:val="clear" w:color="auto" w:fill="FFFFFF"/>
        </w:rPr>
        <w:t>THE DEATH OF ALL THINGS – Killing the Objects in Celtic Europe</w:t>
      </w:r>
      <w:r w:rsidRPr="007E6581">
        <w:rPr>
          <w:rFonts w:asciiTheme="minorHAnsi" w:hAnsiTheme="minorHAnsi" w:cstheme="minorHAnsi"/>
          <w:color w:val="000000"/>
          <w:szCs w:val="24"/>
          <w:shd w:val="clear" w:color="auto" w:fill="FFFFFF"/>
        </w:rPr>
        <w:t>. [online] Available at: https://balkancelts.wordpress.com/2013/06/19/killing-the-objects-3/ [Accessed 15 Jan. 2019].</w:t>
      </w:r>
    </w:p>
    <w:p w14:paraId="1E23A4FA"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Koch, J. and Minard, A. (2012). </w:t>
      </w:r>
      <w:r w:rsidRPr="007E6581">
        <w:rPr>
          <w:rFonts w:asciiTheme="minorHAnsi" w:hAnsiTheme="minorHAnsi" w:cstheme="minorHAnsi"/>
          <w:i/>
          <w:iCs/>
          <w:color w:val="000000"/>
          <w:szCs w:val="24"/>
          <w:shd w:val="clear" w:color="auto" w:fill="FFFFFF"/>
        </w:rPr>
        <w:t>The Celts</w:t>
      </w:r>
      <w:r w:rsidRPr="007E6581">
        <w:rPr>
          <w:rFonts w:asciiTheme="minorHAnsi" w:hAnsiTheme="minorHAnsi" w:cstheme="minorHAnsi"/>
          <w:color w:val="000000"/>
          <w:szCs w:val="24"/>
          <w:shd w:val="clear" w:color="auto" w:fill="FFFFFF"/>
        </w:rPr>
        <w:t>. Santa Barbara, Calif.: ABC-CLIO, p.177.</w:t>
      </w:r>
    </w:p>
    <w:p w14:paraId="587CC3B1"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proofErr w:type="spellStart"/>
      <w:r w:rsidRPr="007E6581">
        <w:rPr>
          <w:rFonts w:asciiTheme="minorHAnsi" w:hAnsiTheme="minorHAnsi" w:cstheme="minorHAnsi"/>
          <w:color w:val="000000"/>
          <w:szCs w:val="24"/>
          <w:shd w:val="clear" w:color="auto" w:fill="FFFFFF"/>
        </w:rPr>
        <w:t>Krakowka</w:t>
      </w:r>
      <w:proofErr w:type="spellEnd"/>
      <w:r w:rsidRPr="007E6581">
        <w:rPr>
          <w:rFonts w:asciiTheme="minorHAnsi" w:hAnsiTheme="minorHAnsi" w:cstheme="minorHAnsi"/>
          <w:color w:val="000000"/>
          <w:szCs w:val="24"/>
          <w:shd w:val="clear" w:color="auto" w:fill="FFFFFF"/>
        </w:rPr>
        <w:t>, K. (2017). </w:t>
      </w:r>
      <w:r w:rsidRPr="007E6581">
        <w:rPr>
          <w:rFonts w:asciiTheme="minorHAnsi" w:hAnsiTheme="minorHAnsi" w:cstheme="minorHAnsi"/>
          <w:i/>
          <w:iCs/>
          <w:color w:val="000000"/>
          <w:szCs w:val="24"/>
          <w:shd w:val="clear" w:color="auto" w:fill="FFFFFF"/>
        </w:rPr>
        <w:t>An Iron Age chariot burial - Current Archaeology</w:t>
      </w:r>
      <w:r w:rsidRPr="007E6581">
        <w:rPr>
          <w:rFonts w:asciiTheme="minorHAnsi" w:hAnsiTheme="minorHAnsi" w:cstheme="minorHAnsi"/>
          <w:color w:val="000000"/>
          <w:szCs w:val="24"/>
          <w:shd w:val="clear" w:color="auto" w:fill="FFFFFF"/>
        </w:rPr>
        <w:t>. [online] Current Archaeology. Available at: https://www.archaeology.co.uk/articles/iron-age-chariot-burial.htm [Accessed 16 Jan. 2019].</w:t>
      </w:r>
    </w:p>
    <w:p w14:paraId="456C31F8"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Laits.utexas.edu. (n.d.). </w:t>
      </w:r>
      <w:r w:rsidRPr="007E6581">
        <w:rPr>
          <w:rFonts w:asciiTheme="minorHAnsi" w:hAnsiTheme="minorHAnsi" w:cstheme="minorHAnsi"/>
          <w:i/>
          <w:iCs/>
          <w:color w:val="000000"/>
          <w:szCs w:val="24"/>
          <w:shd w:val="clear" w:color="auto" w:fill="FFFFFF"/>
        </w:rPr>
        <w:t>Iron Age "Celts": Mortuary Analysis</w:t>
      </w:r>
      <w:r w:rsidRPr="007E6581">
        <w:rPr>
          <w:rFonts w:asciiTheme="minorHAnsi" w:hAnsiTheme="minorHAnsi" w:cstheme="minorHAnsi"/>
          <w:color w:val="000000"/>
          <w:szCs w:val="24"/>
          <w:shd w:val="clear" w:color="auto" w:fill="FFFFFF"/>
        </w:rPr>
        <w:t>. [online] Available at: https://www.laits.utexas.edu/ironagecelts/mortuary.php [Accessed 17 Jan. 2019].</w:t>
      </w:r>
    </w:p>
    <w:p w14:paraId="62C5DAAC"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Parveen, N. (2016). </w:t>
      </w:r>
      <w:r w:rsidRPr="007E6581">
        <w:rPr>
          <w:rFonts w:asciiTheme="minorHAnsi" w:hAnsiTheme="minorHAnsi" w:cstheme="minorHAnsi"/>
          <w:i/>
          <w:iCs/>
          <w:color w:val="000000"/>
          <w:szCs w:val="24"/>
          <w:shd w:val="clear" w:color="auto" w:fill="FFFFFF"/>
        </w:rPr>
        <w:t>Warrior king uncovered at east Yorkshire iron age settlement</w:t>
      </w:r>
      <w:r w:rsidRPr="007E6581">
        <w:rPr>
          <w:rFonts w:asciiTheme="minorHAnsi" w:hAnsiTheme="minorHAnsi" w:cstheme="minorHAnsi"/>
          <w:color w:val="000000"/>
          <w:szCs w:val="24"/>
          <w:shd w:val="clear" w:color="auto" w:fill="FFFFFF"/>
        </w:rPr>
        <w:t>. [online] the Guardian. Available at: https://www.theguardian.com/science/2016/mar/17/warrior-king-uncovered-yorkshire-iron-age-settlement [Accessed 14 Jan. 2019].</w:t>
      </w:r>
    </w:p>
    <w:p w14:paraId="5B62E1AF" w14:textId="77777777" w:rsidR="00B170A4" w:rsidRPr="007E6581" w:rsidRDefault="00B170A4" w:rsidP="007E6581">
      <w:pPr>
        <w:pStyle w:val="ListParagraph"/>
        <w:numPr>
          <w:ilvl w:val="0"/>
          <w:numId w:val="1"/>
        </w:numPr>
        <w:spacing w:line="480" w:lineRule="auto"/>
        <w:rPr>
          <w:rFonts w:asciiTheme="minorHAnsi" w:hAnsiTheme="minorHAnsi" w:cstheme="minorHAnsi"/>
          <w:szCs w:val="24"/>
        </w:rPr>
      </w:pPr>
      <w:r w:rsidRPr="007E6581">
        <w:rPr>
          <w:rFonts w:asciiTheme="minorHAnsi" w:hAnsiTheme="minorHAnsi" w:cstheme="minorHAnsi"/>
          <w:color w:val="000000"/>
          <w:szCs w:val="24"/>
          <w:shd w:val="clear" w:color="auto" w:fill="FFFFFF"/>
        </w:rPr>
        <w:t>Wood, A. (2018). </w:t>
      </w:r>
      <w:r w:rsidRPr="007E6581">
        <w:rPr>
          <w:rFonts w:asciiTheme="minorHAnsi" w:hAnsiTheme="minorHAnsi" w:cstheme="minorHAnsi"/>
          <w:i/>
          <w:iCs/>
          <w:color w:val="000000"/>
          <w:szCs w:val="24"/>
          <w:shd w:val="clear" w:color="auto" w:fill="FFFFFF"/>
        </w:rPr>
        <w:t>Iron Age chariot burial found in East Yorkshire with horses 'leaping out of the grave'</w:t>
      </w:r>
      <w:r w:rsidRPr="007E6581">
        <w:rPr>
          <w:rFonts w:asciiTheme="minorHAnsi" w:hAnsiTheme="minorHAnsi" w:cstheme="minorHAnsi"/>
          <w:color w:val="000000"/>
          <w:szCs w:val="24"/>
          <w:shd w:val="clear" w:color="auto" w:fill="FFFFFF"/>
        </w:rPr>
        <w:t>. [online] Yorkshirepost.co.uk. Available at: https://www.yorkshirepost.co.uk/news/iron-age-chariot-burial-found-in-east-yorkshire-with-horses-leaping-out-of-the-grave-1-9480773 [Accessed 13 Jan. 2019].</w:t>
      </w:r>
    </w:p>
    <w:sectPr w:rsidR="00B170A4" w:rsidRPr="007E65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090B4A" w14:textId="77777777" w:rsidR="004603D5" w:rsidRDefault="004603D5" w:rsidP="004603D5">
      <w:pPr>
        <w:spacing w:after="0" w:line="240" w:lineRule="auto"/>
      </w:pPr>
      <w:r>
        <w:separator/>
      </w:r>
    </w:p>
  </w:endnote>
  <w:endnote w:type="continuationSeparator" w:id="0">
    <w:p w14:paraId="641E6722" w14:textId="77777777" w:rsidR="004603D5" w:rsidRDefault="004603D5" w:rsidP="00460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C501A7" w14:textId="77777777" w:rsidR="004603D5" w:rsidRDefault="004603D5" w:rsidP="004603D5">
      <w:pPr>
        <w:spacing w:after="0" w:line="240" w:lineRule="auto"/>
      </w:pPr>
      <w:r>
        <w:separator/>
      </w:r>
    </w:p>
  </w:footnote>
  <w:footnote w:type="continuationSeparator" w:id="0">
    <w:p w14:paraId="1256D85C" w14:textId="77777777" w:rsidR="004603D5" w:rsidRDefault="004603D5" w:rsidP="004603D5">
      <w:pPr>
        <w:spacing w:after="0" w:line="240" w:lineRule="auto"/>
      </w:pPr>
      <w:r>
        <w:continuationSeparator/>
      </w:r>
    </w:p>
  </w:footnote>
  <w:footnote w:id="1">
    <w:p w14:paraId="0661151A" w14:textId="77777777" w:rsidR="004603D5" w:rsidRPr="007E6581" w:rsidRDefault="004603D5" w:rsidP="004603D5">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CD1BA5" w:rsidRPr="007E6581">
        <w:rPr>
          <w:rFonts w:asciiTheme="minorHAnsi" w:hAnsiTheme="minorHAnsi" w:cstheme="minorHAnsi"/>
          <w:color w:val="000000"/>
          <w:shd w:val="clear" w:color="auto" w:fill="FFFFFF"/>
        </w:rPr>
        <w:t>(Parveen, 2016)</w:t>
      </w:r>
    </w:p>
  </w:footnote>
  <w:footnote w:id="2">
    <w:p w14:paraId="55733FFE" w14:textId="77777777" w:rsidR="00D618A1" w:rsidRPr="007E6581" w:rsidRDefault="00D618A1">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CD1BA5" w:rsidRPr="007E6581">
        <w:rPr>
          <w:rFonts w:asciiTheme="minorHAnsi" w:hAnsiTheme="minorHAnsi" w:cstheme="minorHAnsi"/>
          <w:color w:val="000000"/>
          <w:shd w:val="clear" w:color="auto" w:fill="FFFFFF"/>
        </w:rPr>
        <w:t>(Balkan Celts, 2013)</w:t>
      </w:r>
    </w:p>
  </w:footnote>
  <w:footnote w:id="3">
    <w:p w14:paraId="416AD0ED" w14:textId="77777777" w:rsidR="00AD4D9F" w:rsidRDefault="00AD4D9F">
      <w:pPr>
        <w:pStyle w:val="FootnoteText"/>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CD1BA5" w:rsidRPr="007E6581">
        <w:rPr>
          <w:rFonts w:asciiTheme="minorHAnsi" w:hAnsiTheme="minorHAnsi" w:cstheme="minorHAnsi"/>
          <w:color w:val="000000"/>
          <w:shd w:val="clear" w:color="auto" w:fill="FFFFFF"/>
        </w:rPr>
        <w:t>(Parveen, 2016)</w:t>
      </w:r>
    </w:p>
  </w:footnote>
  <w:footnote w:id="4">
    <w:p w14:paraId="39DDE09A" w14:textId="77777777" w:rsidR="00F12B76" w:rsidRPr="007E6581" w:rsidRDefault="00F12B76" w:rsidP="00F12B76">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CD1BA5" w:rsidRPr="007E6581">
        <w:rPr>
          <w:rFonts w:asciiTheme="minorHAnsi" w:hAnsiTheme="minorHAnsi" w:cstheme="minorHAnsi"/>
          <w:color w:val="000000"/>
          <w:shd w:val="clear" w:color="auto" w:fill="FFFFFF"/>
        </w:rPr>
        <w:t>(Parveen, 2016)</w:t>
      </w:r>
    </w:p>
  </w:footnote>
  <w:footnote w:id="5">
    <w:p w14:paraId="0FFE38E2" w14:textId="77777777" w:rsidR="00293E91" w:rsidRDefault="00293E91" w:rsidP="00293E91">
      <w:pPr>
        <w:pStyle w:val="FootnoteText"/>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CD1BA5" w:rsidRPr="007E6581">
        <w:rPr>
          <w:rFonts w:asciiTheme="minorHAnsi" w:hAnsiTheme="minorHAnsi" w:cstheme="minorHAnsi"/>
          <w:color w:val="000000"/>
          <w:shd w:val="clear" w:color="auto" w:fill="FFFFFF"/>
        </w:rPr>
        <w:t>(Laits.utexas.edu, n.d.)</w:t>
      </w:r>
    </w:p>
  </w:footnote>
  <w:footnote w:id="6">
    <w:p w14:paraId="26D8EDC6" w14:textId="77777777" w:rsidR="006D3213" w:rsidRPr="007E6581" w:rsidRDefault="006D3213">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(Wood, 2018)</w:t>
      </w:r>
    </w:p>
  </w:footnote>
  <w:footnote w:id="7">
    <w:p w14:paraId="6B269D31" w14:textId="77777777" w:rsidR="006D3213" w:rsidRPr="007E6581" w:rsidRDefault="006D3213" w:rsidP="006D3213">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w:t>
      </w:r>
      <w:proofErr w:type="spellStart"/>
      <w:r w:rsidR="007E6581" w:rsidRPr="007E6581">
        <w:rPr>
          <w:rFonts w:asciiTheme="minorHAnsi" w:hAnsiTheme="minorHAnsi" w:cstheme="minorHAnsi"/>
          <w:color w:val="000000"/>
          <w:shd w:val="clear" w:color="auto" w:fill="FFFFFF"/>
        </w:rPr>
        <w:t>Krakowka</w:t>
      </w:r>
      <w:proofErr w:type="spellEnd"/>
      <w:r w:rsidR="007E6581" w:rsidRPr="007E6581">
        <w:rPr>
          <w:rFonts w:asciiTheme="minorHAnsi" w:hAnsiTheme="minorHAnsi" w:cstheme="minorHAnsi"/>
          <w:color w:val="000000"/>
          <w:shd w:val="clear" w:color="auto" w:fill="FFFFFF"/>
        </w:rPr>
        <w:t>, 2017)</w:t>
      </w:r>
    </w:p>
  </w:footnote>
  <w:footnote w:id="8">
    <w:p w14:paraId="43695FF4" w14:textId="77777777" w:rsidR="00A6434B" w:rsidRPr="007E6581" w:rsidRDefault="00A6434B">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(Arnold, 2001)</w:t>
      </w:r>
    </w:p>
  </w:footnote>
  <w:footnote w:id="9">
    <w:p w14:paraId="3C92F6EC" w14:textId="77777777" w:rsidR="002F7C93" w:rsidRDefault="002F7C93">
      <w:pPr>
        <w:pStyle w:val="FootnoteText"/>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(Wood, 2018)</w:t>
      </w:r>
    </w:p>
  </w:footnote>
  <w:footnote w:id="10">
    <w:p w14:paraId="6D17890F" w14:textId="77777777" w:rsidR="002F7C93" w:rsidRPr="007E6581" w:rsidRDefault="002F7C93">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(Wood, 2018)</w:t>
      </w:r>
    </w:p>
  </w:footnote>
  <w:footnote w:id="11">
    <w:p w14:paraId="3AF1EFAC" w14:textId="77777777" w:rsidR="00D17D28" w:rsidRPr="007E6581" w:rsidRDefault="00D17D28">
      <w:pPr>
        <w:pStyle w:val="FootnoteText"/>
        <w:rPr>
          <w:rFonts w:asciiTheme="minorHAnsi" w:hAnsiTheme="minorHAnsi" w:cstheme="minorHAnsi"/>
        </w:rPr>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Parveen, N. (2016)</w:t>
      </w:r>
    </w:p>
  </w:footnote>
  <w:footnote w:id="12">
    <w:p w14:paraId="6E8470A0" w14:textId="77777777" w:rsidR="00AD4D9F" w:rsidRDefault="00AD4D9F">
      <w:pPr>
        <w:pStyle w:val="FootnoteText"/>
      </w:pPr>
      <w:r w:rsidRPr="007E6581">
        <w:rPr>
          <w:rStyle w:val="FootnoteReference"/>
          <w:rFonts w:asciiTheme="minorHAnsi" w:hAnsiTheme="minorHAnsi" w:cstheme="minorHAnsi"/>
        </w:rPr>
        <w:footnoteRef/>
      </w:r>
      <w:r w:rsidRPr="007E6581">
        <w:rPr>
          <w:rFonts w:asciiTheme="minorHAnsi" w:hAnsiTheme="minorHAnsi" w:cstheme="minorHAnsi"/>
        </w:rPr>
        <w:t xml:space="preserve"> </w:t>
      </w:r>
      <w:r w:rsidR="007E6581" w:rsidRPr="007E6581">
        <w:rPr>
          <w:rFonts w:asciiTheme="minorHAnsi" w:hAnsiTheme="minorHAnsi" w:cstheme="minorHAnsi"/>
          <w:color w:val="000000"/>
          <w:shd w:val="clear" w:color="auto" w:fill="FFFFFF"/>
        </w:rPr>
        <w:t>(Koch and Minard, 2012)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C17E87"/>
    <w:multiLevelType w:val="hybridMultilevel"/>
    <w:tmpl w:val="92F430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3D5"/>
    <w:rsid w:val="00002A8A"/>
    <w:rsid w:val="00022446"/>
    <w:rsid w:val="000C2356"/>
    <w:rsid w:val="001A0FDD"/>
    <w:rsid w:val="001B2868"/>
    <w:rsid w:val="00293E91"/>
    <w:rsid w:val="002C70F4"/>
    <w:rsid w:val="002F7C93"/>
    <w:rsid w:val="00344CC2"/>
    <w:rsid w:val="00382853"/>
    <w:rsid w:val="003F05F6"/>
    <w:rsid w:val="004210E3"/>
    <w:rsid w:val="004603D5"/>
    <w:rsid w:val="006D3213"/>
    <w:rsid w:val="00735200"/>
    <w:rsid w:val="00780F7A"/>
    <w:rsid w:val="007C0180"/>
    <w:rsid w:val="007E6581"/>
    <w:rsid w:val="00A6434B"/>
    <w:rsid w:val="00AD4D9F"/>
    <w:rsid w:val="00B170A4"/>
    <w:rsid w:val="00B74BA6"/>
    <w:rsid w:val="00CD1BA5"/>
    <w:rsid w:val="00D17D28"/>
    <w:rsid w:val="00D618A1"/>
    <w:rsid w:val="00E51B25"/>
    <w:rsid w:val="00F12B76"/>
    <w:rsid w:val="00FA6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899261"/>
  <w15:chartTrackingRefBased/>
  <w15:docId w15:val="{E7C35A00-3CE1-4860-823B-253D44CDC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03D5"/>
    <w:pPr>
      <w:suppressAutoHyphens/>
      <w:autoSpaceDN w:val="0"/>
      <w:spacing w:line="254"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rsid w:val="004603D5"/>
    <w:pPr>
      <w:spacing w:after="0" w:line="240" w:lineRule="auto"/>
    </w:pPr>
    <w:rPr>
      <w:sz w:val="20"/>
      <w:szCs w:val="20"/>
    </w:rPr>
  </w:style>
  <w:style w:type="character" w:customStyle="1" w:styleId="FootnoteTextChar">
    <w:name w:val="Footnote Text Char"/>
    <w:basedOn w:val="DefaultParagraphFont"/>
    <w:link w:val="FootnoteText"/>
    <w:rsid w:val="004603D5"/>
    <w:rPr>
      <w:rFonts w:ascii="Calibri" w:eastAsia="Calibri" w:hAnsi="Calibri" w:cs="Times New Roman"/>
      <w:sz w:val="20"/>
      <w:szCs w:val="20"/>
    </w:rPr>
  </w:style>
  <w:style w:type="character" w:styleId="FootnoteReference">
    <w:name w:val="footnote reference"/>
    <w:basedOn w:val="DefaultParagraphFont"/>
    <w:rsid w:val="004603D5"/>
    <w:rPr>
      <w:position w:val="0"/>
      <w:vertAlign w:val="superscript"/>
    </w:rPr>
  </w:style>
  <w:style w:type="paragraph" w:styleId="ListParagraph">
    <w:name w:val="List Paragraph"/>
    <w:basedOn w:val="Normal"/>
    <w:uiPriority w:val="34"/>
    <w:qFormat/>
    <w:rsid w:val="00CD1B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26DD1-C3A3-4412-B7EF-7A467DA7E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1332</Words>
  <Characters>7597</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Hamby (1700980)</dc:creator>
  <cp:keywords/>
  <dc:description/>
  <cp:lastModifiedBy>Rebecca Hamby (1700980)</cp:lastModifiedBy>
  <cp:revision>2</cp:revision>
  <dcterms:created xsi:type="dcterms:W3CDTF">2019-01-18T12:19:00Z</dcterms:created>
  <dcterms:modified xsi:type="dcterms:W3CDTF">2019-01-18T12:19:00Z</dcterms:modified>
</cp:coreProperties>
</file>