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32"/>
          <w:szCs w:val="24"/>
        </w:rPr>
      </w:pPr>
    </w:p>
    <w:p w:rsidR="00B80C21" w:rsidRDefault="00B80C21" w:rsidP="00B80C21">
      <w:pPr>
        <w:jc w:val="center"/>
        <w:rPr>
          <w:rFonts w:ascii="Times New Roman" w:eastAsia="Times New Roman" w:hAnsi="Times New Roman" w:cs="Times New Roman"/>
          <w:b/>
          <w:sz w:val="24"/>
          <w:szCs w:val="24"/>
        </w:rPr>
      </w:pPr>
      <w:r w:rsidRPr="00B80C21">
        <w:rPr>
          <w:rFonts w:ascii="Times New Roman" w:eastAsia="Times New Roman" w:hAnsi="Times New Roman" w:cs="Times New Roman"/>
          <w:b/>
          <w:sz w:val="32"/>
          <w:szCs w:val="24"/>
        </w:rPr>
        <w:t>ASSESSMENT 2 – COMMUNITY ENGAGEMENT</w:t>
      </w: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rPr>
        <w:id w:val="484737009"/>
        <w:docPartObj>
          <w:docPartGallery w:val="Table of Contents"/>
          <w:docPartUnique/>
        </w:docPartObj>
      </w:sdtPr>
      <w:sdtEndPr/>
      <w:sdtContent>
        <w:p w:rsidR="002C01C4" w:rsidRPr="00EE152B" w:rsidRDefault="002C01C4" w:rsidP="00EE152B">
          <w:pPr>
            <w:pStyle w:val="TOCHeading"/>
            <w:spacing w:line="360" w:lineRule="auto"/>
            <w:jc w:val="center"/>
            <w:rPr>
              <w:rFonts w:ascii="Times New Roman" w:hAnsi="Times New Roman" w:cs="Times New Roman"/>
              <w:color w:val="000000" w:themeColor="text1"/>
              <w:sz w:val="24"/>
              <w:szCs w:val="24"/>
            </w:rPr>
          </w:pPr>
          <w:r w:rsidRPr="00EE152B">
            <w:rPr>
              <w:rFonts w:ascii="Times New Roman" w:hAnsi="Times New Roman" w:cs="Times New Roman"/>
              <w:color w:val="000000" w:themeColor="text1"/>
              <w:szCs w:val="24"/>
            </w:rPr>
            <w:t>Table of Contents</w:t>
          </w:r>
        </w:p>
        <w:p w:rsidR="002C01C4" w:rsidRPr="00EE152B" w:rsidRDefault="002C01C4" w:rsidP="00EE152B">
          <w:pPr>
            <w:pStyle w:val="TOC1"/>
            <w:tabs>
              <w:tab w:val="right" w:leader="dot" w:pos="9350"/>
            </w:tabs>
            <w:spacing w:line="360" w:lineRule="auto"/>
            <w:rPr>
              <w:rFonts w:ascii="Times New Roman" w:hAnsi="Times New Roman" w:cs="Times New Roman"/>
              <w:noProof/>
              <w:color w:val="000000" w:themeColor="text1"/>
              <w:sz w:val="24"/>
              <w:szCs w:val="24"/>
            </w:rPr>
          </w:pPr>
          <w:r w:rsidRPr="00EE152B">
            <w:rPr>
              <w:rFonts w:ascii="Times New Roman" w:hAnsi="Times New Roman" w:cs="Times New Roman"/>
              <w:color w:val="000000" w:themeColor="text1"/>
              <w:sz w:val="24"/>
              <w:szCs w:val="24"/>
            </w:rPr>
            <w:fldChar w:fldCharType="begin"/>
          </w:r>
          <w:r w:rsidRPr="00EE152B">
            <w:rPr>
              <w:rFonts w:ascii="Times New Roman" w:hAnsi="Times New Roman" w:cs="Times New Roman"/>
              <w:color w:val="000000" w:themeColor="text1"/>
              <w:sz w:val="24"/>
              <w:szCs w:val="24"/>
            </w:rPr>
            <w:instrText xml:space="preserve"> TOC \o "1-3" \h \z \u </w:instrText>
          </w:r>
          <w:r w:rsidRPr="00EE152B">
            <w:rPr>
              <w:rFonts w:ascii="Times New Roman" w:hAnsi="Times New Roman" w:cs="Times New Roman"/>
              <w:color w:val="000000" w:themeColor="text1"/>
              <w:sz w:val="24"/>
              <w:szCs w:val="24"/>
            </w:rPr>
            <w:fldChar w:fldCharType="separate"/>
          </w:r>
          <w:hyperlink w:anchor="_Toc150981875" w:history="1">
            <w:r w:rsidRPr="00EE152B">
              <w:rPr>
                <w:rStyle w:val="Hyperlink"/>
                <w:rFonts w:ascii="Times New Roman" w:hAnsi="Times New Roman" w:cs="Times New Roman"/>
                <w:noProof/>
                <w:color w:val="000000" w:themeColor="text1"/>
                <w:sz w:val="24"/>
                <w:szCs w:val="24"/>
              </w:rPr>
              <w:t>Introduction</w:t>
            </w:r>
            <w:r w:rsidRPr="00EE152B">
              <w:rPr>
                <w:rFonts w:ascii="Times New Roman" w:hAnsi="Times New Roman" w:cs="Times New Roman"/>
                <w:noProof/>
                <w:webHidden/>
                <w:color w:val="000000" w:themeColor="text1"/>
                <w:sz w:val="24"/>
                <w:szCs w:val="24"/>
              </w:rPr>
              <w:tab/>
            </w:r>
            <w:r w:rsidRPr="00EE152B">
              <w:rPr>
                <w:rFonts w:ascii="Times New Roman" w:hAnsi="Times New Roman" w:cs="Times New Roman"/>
                <w:noProof/>
                <w:webHidden/>
                <w:color w:val="000000" w:themeColor="text1"/>
                <w:sz w:val="24"/>
                <w:szCs w:val="24"/>
              </w:rPr>
              <w:fldChar w:fldCharType="begin"/>
            </w:r>
            <w:r w:rsidRPr="00EE152B">
              <w:rPr>
                <w:rFonts w:ascii="Times New Roman" w:hAnsi="Times New Roman" w:cs="Times New Roman"/>
                <w:noProof/>
                <w:webHidden/>
                <w:color w:val="000000" w:themeColor="text1"/>
                <w:sz w:val="24"/>
                <w:szCs w:val="24"/>
              </w:rPr>
              <w:instrText xml:space="preserve"> PAGEREF _Toc150981875 \h </w:instrText>
            </w:r>
            <w:r w:rsidRPr="00EE152B">
              <w:rPr>
                <w:rFonts w:ascii="Times New Roman" w:hAnsi="Times New Roman" w:cs="Times New Roman"/>
                <w:noProof/>
                <w:webHidden/>
                <w:color w:val="000000" w:themeColor="text1"/>
                <w:sz w:val="24"/>
                <w:szCs w:val="24"/>
              </w:rPr>
            </w:r>
            <w:r w:rsidRPr="00EE152B">
              <w:rPr>
                <w:rFonts w:ascii="Times New Roman" w:hAnsi="Times New Roman" w:cs="Times New Roman"/>
                <w:noProof/>
                <w:webHidden/>
                <w:color w:val="000000" w:themeColor="text1"/>
                <w:sz w:val="24"/>
                <w:szCs w:val="24"/>
              </w:rPr>
              <w:fldChar w:fldCharType="separate"/>
            </w:r>
            <w:r w:rsidRPr="00EE152B">
              <w:rPr>
                <w:rFonts w:ascii="Times New Roman" w:hAnsi="Times New Roman" w:cs="Times New Roman"/>
                <w:noProof/>
                <w:webHidden/>
                <w:color w:val="000000" w:themeColor="text1"/>
                <w:sz w:val="24"/>
                <w:szCs w:val="24"/>
              </w:rPr>
              <w:t>2</w:t>
            </w:r>
            <w:r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76" w:history="1">
            <w:r w:rsidR="002C01C4" w:rsidRPr="00EE152B">
              <w:rPr>
                <w:rStyle w:val="Hyperlink"/>
                <w:rFonts w:ascii="Times New Roman" w:hAnsi="Times New Roman" w:cs="Times New Roman"/>
                <w:noProof/>
                <w:color w:val="000000" w:themeColor="text1"/>
                <w:sz w:val="24"/>
                <w:szCs w:val="24"/>
              </w:rPr>
              <w:t>Overview of the Live Project from Assignment 1</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_Toc150981876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2</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77" w:history="1">
            <w:r w:rsidR="002C01C4" w:rsidRPr="00EE152B">
              <w:rPr>
                <w:rStyle w:val="Hyperlink"/>
                <w:rFonts w:ascii="Times New Roman" w:hAnsi="Times New Roman" w:cs="Times New Roman"/>
                <w:noProof/>
                <w:color w:val="000000" w:themeColor="text1"/>
                <w:sz w:val="24"/>
                <w:szCs w:val="24"/>
              </w:rPr>
              <w:t>Overview of the Proposed Future Project</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_Toc150981877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3</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78" w:history="1">
            <w:r w:rsidR="002C01C4" w:rsidRPr="00EE152B">
              <w:rPr>
                <w:rStyle w:val="Hyperlink"/>
                <w:rFonts w:ascii="Times New Roman" w:hAnsi="Times New Roman" w:cs="Times New Roman"/>
                <w:noProof/>
                <w:color w:val="000000" w:themeColor="text1"/>
                <w:sz w:val="24"/>
                <w:szCs w:val="24"/>
              </w:rPr>
              <w:t>Comparative Analysis of Community Engagement Strategies</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_Toc150981878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3</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79" w:history="1">
            <w:r w:rsidR="002C01C4" w:rsidRPr="00EE152B">
              <w:rPr>
                <w:rStyle w:val="Hyperlink"/>
                <w:rFonts w:ascii="Times New Roman" w:hAnsi="Times New Roman" w:cs="Times New Roman"/>
                <w:noProof/>
                <w:color w:val="000000" w:themeColor="text1"/>
                <w:sz w:val="24"/>
                <w:szCs w:val="24"/>
              </w:rPr>
              <w:t>Reflection on the Live Project's Community Engagement</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_Toc150981879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4</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0" w:history="1">
            <w:r w:rsidR="002C01C4" w:rsidRPr="00EE152B">
              <w:rPr>
                <w:rStyle w:val="Hyperlink"/>
                <w:rFonts w:ascii="Times New Roman" w:hAnsi="Times New Roman" w:cs="Times New Roman"/>
                <w:noProof/>
                <w:color w:val="000000" w:themeColor="text1"/>
                <w:sz w:val="24"/>
                <w:szCs w:val="24"/>
              </w:rPr>
              <w:t>Best Practices in Community Engagement</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_Toc150981880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4</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1" w:history="1">
            <w:r w:rsidR="002C01C4" w:rsidRPr="00EE152B">
              <w:rPr>
                <w:rStyle w:val="Hyperlink"/>
                <w:rFonts w:ascii="Times New Roman" w:hAnsi="Times New Roman" w:cs="Times New Roman"/>
                <w:noProof/>
                <w:color w:val="000000" w:themeColor="text1"/>
                <w:sz w:val="24"/>
                <w:szCs w:val="24"/>
              </w:rPr>
              <w:t>Role of Active Consultation and Effective Communication</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_Toc150981881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5</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2" w:history="1">
            <w:r w:rsidR="002C01C4" w:rsidRPr="00EE152B">
              <w:rPr>
                <w:rStyle w:val="Hyperlink"/>
                <w:rFonts w:ascii="Times New Roman" w:hAnsi="Times New Roman" w:cs="Times New Roman"/>
                <w:noProof/>
                <w:color w:val="000000" w:themeColor="text1"/>
                <w:sz w:val="24"/>
                <w:szCs w:val="24"/>
              </w:rPr>
              <w:t>Stakeholders’ Participation and Inclusion</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_Toc150981882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6</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3" w:history="1">
            <w:r w:rsidR="002C01C4" w:rsidRPr="00EE152B">
              <w:rPr>
                <w:rStyle w:val="Hyperlink"/>
                <w:rFonts w:ascii="Times New Roman" w:hAnsi="Times New Roman" w:cs="Times New Roman"/>
                <w:noProof/>
                <w:color w:val="000000" w:themeColor="text1"/>
                <w:sz w:val="24"/>
                <w:szCs w:val="24"/>
              </w:rPr>
              <w:t>Social Engagement through Social Media Platforms</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_Toc150981883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7</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4" w:history="1">
            <w:r w:rsidR="002C01C4" w:rsidRPr="00EE152B">
              <w:rPr>
                <w:rStyle w:val="Hyperlink"/>
                <w:rFonts w:ascii="Times New Roman" w:hAnsi="Times New Roman" w:cs="Times New Roman"/>
                <w:noProof/>
                <w:color w:val="000000" w:themeColor="text1"/>
                <w:sz w:val="24"/>
                <w:szCs w:val="24"/>
              </w:rPr>
              <w:t>Conclusion</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_Toc150981884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8</w:t>
            </w:r>
            <w:r w:rsidR="002C01C4" w:rsidRPr="00EE152B">
              <w:rPr>
                <w:rFonts w:ascii="Times New Roman" w:hAnsi="Times New Roman" w:cs="Times New Roman"/>
                <w:noProof/>
                <w:webHidden/>
                <w:color w:val="000000" w:themeColor="text1"/>
                <w:sz w:val="24"/>
                <w:szCs w:val="24"/>
              </w:rPr>
              <w:fldChar w:fldCharType="end"/>
            </w:r>
          </w:hyperlink>
        </w:p>
        <w:p w:rsidR="002C01C4" w:rsidRPr="00EE152B" w:rsidRDefault="00B74718" w:rsidP="00EE152B">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0981885" w:history="1">
            <w:r w:rsidR="002C01C4" w:rsidRPr="00EE152B">
              <w:rPr>
                <w:rStyle w:val="Hyperlink"/>
                <w:rFonts w:ascii="Times New Roman" w:hAnsi="Times New Roman" w:cs="Times New Roman"/>
                <w:noProof/>
                <w:color w:val="000000" w:themeColor="text1"/>
                <w:sz w:val="24"/>
                <w:szCs w:val="24"/>
              </w:rPr>
              <w:t>References</w:t>
            </w:r>
            <w:r w:rsidR="002C01C4" w:rsidRPr="00EE152B">
              <w:rPr>
                <w:rFonts w:ascii="Times New Roman" w:hAnsi="Times New Roman" w:cs="Times New Roman"/>
                <w:noProof/>
                <w:webHidden/>
                <w:color w:val="000000" w:themeColor="text1"/>
                <w:sz w:val="24"/>
                <w:szCs w:val="24"/>
              </w:rPr>
              <w:tab/>
            </w:r>
            <w:r w:rsidR="002C01C4" w:rsidRPr="00EE152B">
              <w:rPr>
                <w:rFonts w:ascii="Times New Roman" w:hAnsi="Times New Roman" w:cs="Times New Roman"/>
                <w:noProof/>
                <w:webHidden/>
                <w:color w:val="000000" w:themeColor="text1"/>
                <w:sz w:val="24"/>
                <w:szCs w:val="24"/>
              </w:rPr>
              <w:fldChar w:fldCharType="begin"/>
            </w:r>
            <w:r w:rsidR="002C01C4" w:rsidRPr="00EE152B">
              <w:rPr>
                <w:rFonts w:ascii="Times New Roman" w:hAnsi="Times New Roman" w:cs="Times New Roman"/>
                <w:noProof/>
                <w:webHidden/>
                <w:color w:val="000000" w:themeColor="text1"/>
                <w:sz w:val="24"/>
                <w:szCs w:val="24"/>
              </w:rPr>
              <w:instrText xml:space="preserve"> PAGEREF _Toc150981885 \h </w:instrText>
            </w:r>
            <w:r w:rsidR="002C01C4" w:rsidRPr="00EE152B">
              <w:rPr>
                <w:rFonts w:ascii="Times New Roman" w:hAnsi="Times New Roman" w:cs="Times New Roman"/>
                <w:noProof/>
                <w:webHidden/>
                <w:color w:val="000000" w:themeColor="text1"/>
                <w:sz w:val="24"/>
                <w:szCs w:val="24"/>
              </w:rPr>
            </w:r>
            <w:r w:rsidR="002C01C4" w:rsidRPr="00EE152B">
              <w:rPr>
                <w:rFonts w:ascii="Times New Roman" w:hAnsi="Times New Roman" w:cs="Times New Roman"/>
                <w:noProof/>
                <w:webHidden/>
                <w:color w:val="000000" w:themeColor="text1"/>
                <w:sz w:val="24"/>
                <w:szCs w:val="24"/>
              </w:rPr>
              <w:fldChar w:fldCharType="separate"/>
            </w:r>
            <w:r w:rsidR="002C01C4" w:rsidRPr="00EE152B">
              <w:rPr>
                <w:rFonts w:ascii="Times New Roman" w:hAnsi="Times New Roman" w:cs="Times New Roman"/>
                <w:noProof/>
                <w:webHidden/>
                <w:color w:val="000000" w:themeColor="text1"/>
                <w:sz w:val="24"/>
                <w:szCs w:val="24"/>
              </w:rPr>
              <w:t>9</w:t>
            </w:r>
            <w:r w:rsidR="002C01C4" w:rsidRPr="00EE152B">
              <w:rPr>
                <w:rFonts w:ascii="Times New Roman" w:hAnsi="Times New Roman" w:cs="Times New Roman"/>
                <w:noProof/>
                <w:webHidden/>
                <w:color w:val="000000" w:themeColor="text1"/>
                <w:sz w:val="24"/>
                <w:szCs w:val="24"/>
              </w:rPr>
              <w:fldChar w:fldCharType="end"/>
            </w:r>
          </w:hyperlink>
        </w:p>
        <w:p w:rsidR="002C01C4" w:rsidRDefault="002C01C4" w:rsidP="00EE152B">
          <w:pPr>
            <w:spacing w:line="360" w:lineRule="auto"/>
          </w:pPr>
          <w:r w:rsidRPr="00EE152B">
            <w:rPr>
              <w:rFonts w:ascii="Times New Roman" w:hAnsi="Times New Roman" w:cs="Times New Roman"/>
              <w:color w:val="000000" w:themeColor="text1"/>
              <w:sz w:val="24"/>
              <w:szCs w:val="24"/>
            </w:rPr>
            <w:fldChar w:fldCharType="end"/>
          </w:r>
        </w:p>
      </w:sdtContent>
    </w:sdt>
    <w:p w:rsidR="00751AB6" w:rsidRDefault="00751AB6" w:rsidP="00AE7595">
      <w:pPr>
        <w:pStyle w:val="Heading1"/>
      </w:pPr>
    </w:p>
    <w:p w:rsidR="002C01C4" w:rsidRDefault="002C01C4">
      <w:pPr>
        <w:rPr>
          <w:rFonts w:ascii="Times New Roman" w:hAnsi="Times New Roman"/>
          <w:b/>
          <w:sz w:val="28"/>
          <w:szCs w:val="40"/>
        </w:rPr>
      </w:pPr>
      <w:bookmarkStart w:id="0" w:name="_Toc150981875"/>
      <w:r>
        <w:br w:type="page"/>
      </w:r>
    </w:p>
    <w:p w:rsidR="00F36EF1" w:rsidRDefault="008B20DD" w:rsidP="00AE7595">
      <w:pPr>
        <w:pStyle w:val="Heading1"/>
      </w:pPr>
      <w:r>
        <w:lastRenderedPageBreak/>
        <w:t>Introduction</w:t>
      </w:r>
      <w:bookmarkEnd w:id="0"/>
      <w:r>
        <w:t xml:space="preserve"> </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central focus of inquiry pertains to the London Community Led Local Development (CLLD) Programme, which serves as a model implementation of successful community involvement in action. An approximate £350 million financial commitment is designated to provide assistance to community organisations during the process of developing and executing initiatives that target the unique requirements of their respective local communities. The collaborative CLLD Programme is managed through an interconnected system of Local Action Groups (LAGs), which consist of government entities, community members, and representatives from local businesses.</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investigates the complex topic of community engagement and assesses its significance and ramifications within the framework of urban development and public participation. Fundamentally, community engagement pertains to the deliberate involvement of members of the community in the decision-making and planning procedures that directly influence their existence. The incorporation of a wide array of activities, spanning from casual conversations to official public deliberations, is critical in promoting the growth of robust and resilient communities.</w:t>
      </w:r>
    </w:p>
    <w:p w:rsidR="00F36EF1" w:rsidRDefault="008B20DD" w:rsidP="00AE7595">
      <w:pPr>
        <w:pStyle w:val="Heading1"/>
      </w:pPr>
      <w:bookmarkStart w:id="1" w:name="_Toc150981876"/>
      <w:r>
        <w:t>Overview of the Live Project from Assignment 1</w:t>
      </w:r>
      <w:bookmarkEnd w:id="1"/>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London Community Led Local Development (CLLD) Programme was the subject of our first assignment (Yanes et al., 2019). This programme is a significant case study in urban development and community engagement. The purpose of this programme is to support community organisations in developing and implementing programmes that are specially designed to meet the needs of their local communities. The CLLD Programme is notable for its commitment to a bottom-up approach wherein community members play a significant role in the planning and decision-making stages of projects (Chatterjee, Ghosh and Leca, 2022). The activities will undoubtedly closely align with the actual needs and objectives of the community while using this technique. Apart from providing monetary assistance, the programme ensures that community organisations get the guidance and instruction required to improve their project management and service delivery skills. One of the main goals is to make sure that all London neighbourhoods, especially the underprivileged ones, have equal opportunities to interact with and benefit from the curriculum. Further, initiatives targeted at enhancing capacity and specific finance are employed. </w:t>
      </w:r>
    </w:p>
    <w:p w:rsidR="00F36EF1" w:rsidRDefault="008B20DD" w:rsidP="00AE7595">
      <w:pPr>
        <w:pStyle w:val="Heading1"/>
      </w:pPr>
      <w:bookmarkStart w:id="2" w:name="_Toc150981877"/>
      <w:r>
        <w:lastRenderedPageBreak/>
        <w:t>Overview of the Proposed Future Project</w:t>
      </w:r>
      <w:bookmarkEnd w:id="2"/>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and broadening the breadth of community engagement in urban development is the goal of the proposed future initiative, which builds on the knowledge and experiences gained from the London Community Led Local Development (CLLD) Programme (Russell, Milburn and Heron, 2022). Although still in the conceptual stage, the goal of this project is to take advantage of emerging potential in community-driven projects while addressing current obstacles. In order to allow for flexibility and learning from ongoing activities, the project will employ an adaptive management style. This strategy will include ongoing monitoring, assessment, and feedback channels.In order to allow for flexibility and learning from ongoing activities, the project will employ an adaptive management style. This strategy will include ongoing monitoring, assessment, and feedback channels (Kurdi et al., 2022). More community groups will be involved in the future initiative, particularly those who are generally underrepresented in decision-making. People with impairments, diverse communities, and youth engagement are all highlighted in this.</w:t>
      </w:r>
    </w:p>
    <w:p w:rsidR="00F36EF1" w:rsidRDefault="008B20DD" w:rsidP="00AE7595">
      <w:pPr>
        <w:pStyle w:val="Heading1"/>
      </w:pPr>
      <w:bookmarkStart w:id="3" w:name="_Toc150981878"/>
      <w:r>
        <w:t>Comparative Analysis of Community Engagement Strategies</w:t>
      </w:r>
      <w:bookmarkEnd w:id="3"/>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comparison between the planned future project and the CLLD Programme shows a trajectory of innovation and evolution in the field of community engagement (Xu et al., 2019). With a primary focus on community development and empowerment, the CLLD Programme, which is based on traditional consultative procedures, set the stage for community engagement through open forums, focus groups, and surveys. On the other hand, the upcoming initiative suggests moving towards a more dynamic, collaborative approach that incorporates social media and digital tools to increase participation and reach underserved groups (Oliveira‐Duarte et al., 2021). Additionally, it emphasises environmental sustainability, resilience, and flexibility more than before, demonstrating a more sophisticated knowledge of the difficulties facing modern cities. In addition to building on the core competencies of the CLLD Programme, this upcoming initiative will implement new techniques that promise greater inclusivity, technology integration, and responsiveness to changing community requirements (Arent et al., 2022). The comparison of these two initiatives highlights a forward-thinking approach to community involvement in which varied stakeholder involvement, flexibility, and ongoing learning become essential components of successful urban development.</w:t>
      </w:r>
    </w:p>
    <w:p w:rsidR="00F36EF1" w:rsidRDefault="008B20DD" w:rsidP="00AE7595">
      <w:pPr>
        <w:pStyle w:val="Heading1"/>
      </w:pPr>
      <w:bookmarkStart w:id="4" w:name="_Toc150981879"/>
      <w:r>
        <w:lastRenderedPageBreak/>
        <w:t>Reflection on the Live Project's Community Engagement</w:t>
      </w:r>
      <w:bookmarkEnd w:id="4"/>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one considers the methods of community participation that the London Community Led Local Development (CLLD) Programme used, it is clear that although the project was successful in involving local communities, there was room for improvement (Milanés Batista et al., 2020). To ensuring a wider range of opinions are heard, expanding stakeholder involvement is a crucial area for improvement, especially focusing on underrepresented groups like youth and minority communities. Though somewhat successful, the program's emphasis on conventional engagement techniques draws attention to a wasted opportunity in not making the most of digital and social media platforms, which might have greatly increased reach and engagement, particularly among younger groups. Furthermore, although the CLLD Programme was receptive to community input, greater participation and real-time adaptation to changing community needs may have been facilitated by a more organised and ongoing feedback mechanism (McKinley et al., 2021). A stronger focus on long-term sustainability and thorough impact monitoring, together with increased openness in communication and decision-making processes, would have improved the program's overall efficacy and relationship with the community. These views highlight the significance of diversity, flexibility, and clear communication in community involvement programmes, providing insightful lessons for future projects.</w:t>
      </w:r>
    </w:p>
    <w:p w:rsidR="00F36EF1" w:rsidRDefault="008B20DD" w:rsidP="00AE7595">
      <w:pPr>
        <w:pStyle w:val="Heading1"/>
      </w:pPr>
      <w:bookmarkStart w:id="5" w:name="_Toc150981880"/>
      <w:r>
        <w:t>Best Practices in Community Engagement</w:t>
      </w:r>
      <w:bookmarkEnd w:id="5"/>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place a high value on inclusivity and diversity when it comes to best practises in community involvement, making sure that a broad range of stakeholders—especially underrepresented groups—are actively involved. Throughout the project, I keep open lines of communication, giving precise details about the objectives, procedures, and results, as well as frequent updates. In order to foster trust, I also engage in active listening, empathy, and an appreciation of the viewpoints of the community. The community must be empowered, and I do this by including them in co-creation procedures so they may have a significant say in project design and decision-making. Ensuring accessibility in all engagement events is crucial to guarantee that no group is excluded (Sharifi, Khavarian-Garmsir and Kummitha, 2021). With an eye on sustainability and the long term, my goal is to provide long-lasting communal benefits. I retain cultural sensitivity in all of my interactions and put in place efficient feedback mechanisms. Developing cooperative collaborations, utilising technology to increase involvement, and continually learning from </w:t>
      </w:r>
      <w:r>
        <w:rPr>
          <w:rFonts w:ascii="Times New Roman" w:eastAsia="Times New Roman" w:hAnsi="Times New Roman" w:cs="Times New Roman"/>
          <w:sz w:val="24"/>
          <w:szCs w:val="24"/>
        </w:rPr>
        <w:lastRenderedPageBreak/>
        <w:t>experiences are all essential components of my methodology (Blau, Shamir-Inbal and Avdiel, 2020). By following these procedures, I can make sure that my community participation initiatives are not only successful but also inclusive, courteous, and provide more lasting results.</w:t>
      </w:r>
    </w:p>
    <w:p w:rsidR="00F36EF1" w:rsidRDefault="008B20DD" w:rsidP="00AE7595">
      <w:pPr>
        <w:pStyle w:val="Heading1"/>
      </w:pPr>
      <w:bookmarkStart w:id="6" w:name="_Toc150981881"/>
      <w:r>
        <w:t>Role of Active Consultation and Effective Communication</w:t>
      </w:r>
      <w:bookmarkEnd w:id="6"/>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impossible to overestimate the importance of excellent communication and proactive consulting in the context of community participation (Volkov, Hoyo and Hunt, 2022). These constituents function as the fundamental basis for efficacious project implementation, cultivating a perception of confidence and cooperation among stakeholders and project teams. Based on personal experience, I have discovered that active consultation is a method that guarantees every community member's perspective is acknowledged and taken into account, rather than only being a formality. It entails aggressively seeking out the opinions and views of diverse community sectors, particularly those that are frequently ignored. By including a variety of viewpoints into the project, this method not only empowers community members and gives them a sense of value and inclusion in the decision-making process (Rijal, 2023).</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the thread that ties community engagement together is effective communication. It entails not just sharing knowledge but also making sure that it is clear and available to everyone. In my approach, I place a high value on communication that is clear and simple, staying away from jargon and technical terms that could turn off certain community members. I use frequent updates, discussion boards that are available to anyone, and honest reporting of both achievements and setbacks to keep the discourse flowing. Establishing transparency in communication fosters confidence and guarantees that community members are consistently informed about the project's advancement and any modifications that could impact them (Morrison-Saunders et al., 2022).</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I use technology to improve the procedures of communication and consulting. Community members can interact, give feedback, and keep informed in an easy-to-use and accessible manner using digital platforms, social media, and online surveys (Susanto et al., 2021). But I also acknowledge the existence of the digital divide and make sure that people who might not have access to or comfort with technology have other means of interacting with it.</w:t>
      </w:r>
    </w:p>
    <w:p w:rsidR="00F36EF1" w:rsidRDefault="008B20DD" w:rsidP="00F15B46">
      <w:pPr>
        <w:pStyle w:val="Heading1"/>
      </w:pPr>
      <w:bookmarkStart w:id="7" w:name="_Toc150981882"/>
      <w:r>
        <w:t>Stakeholders’ Participation and Inclusion</w:t>
      </w:r>
      <w:bookmarkEnd w:id="7"/>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community-focused initiative must prioritise the involvement and engagement of stakeholders since they are essential to its success and long-term viability (Hubbart, 2023). I give priority to these components in my approach because I understand how important it is for a project to successfully include and engage its stakeholders. In this sense, stakeholders include both those who will be directly influenced by the project and others who have an interest in or say in how it turns out. This comprises residents of the community, nearby companies, governmental bodies, non-profit groups, and even outside organisations that might be interested in the growth of the community (Ortega-Rodríguez, Licerán-Gutiérrez and Moreno-Albarracín, 2020).</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step in my plan to guarantee significant stakeholder participation is to recognise and comprehend the wide variety of parties involved in the project. This entails laying out the stakeholder landscape in order to recognise the various needs, viewpoints, and spheres of influence (Leibensperger et al., 2021). After that, I aggressively involve these parties in the decision-making process by using a variety of venues and channels to make sure their opinions are respected and heard. Building a sense of shared ownership and group responsibility for the project's objectives is facilitated by this inclusive approach.</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me, inclusion is more than just taking part. It is about making sure that everyone who has an interest in the project has an equal opportunity to contribute and have an impact, especially those from underrepresented or marginalised groups. I use focused techniques to connect with these populations, occasionally going above and beyond the call of duty to make sure their opinions are heard. This could entail outreach initiatives in underprivileged areas, community gatherings in the local tongues, and forms that are accessible to those with impairments (Varshney and Ahlawat, 2022).</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an atmosphere where stakeholder participation is not just accepted but actively encouraged is another essential component of my strategy. I facilitate conversation by creating open, safe settings where interested parties feel free to express their opinions, worries, and goals. This is making sure that no group dominates the debate at the expense of other groups by being aware of power dynamics and cultural sensitivities.</w:t>
      </w:r>
    </w:p>
    <w:p w:rsidR="00F36EF1" w:rsidRDefault="008B20DD" w:rsidP="00F15B46">
      <w:pPr>
        <w:pStyle w:val="Heading1"/>
      </w:pPr>
      <w:bookmarkStart w:id="8" w:name="_Toc150981883"/>
      <w:r>
        <w:t>Social Engagement through Social Media Platforms</w:t>
      </w:r>
      <w:bookmarkEnd w:id="8"/>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community engagement techniques social media platforms provide a revolutionary approach to social interaction. In my work, I make use of these digital channels to connect with people in the community on a more meaningful level and to reach a wider audience. Social media provides a special environment for two-way, real-time communication enabling a dynamic and interactive type of interaction that may not be possible using traditional means (Al-Quran, 2022).</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Recognising and capitalising on these platforms' unique advantages is essential for effective social interaction. Every social media platform including Instagram, LinkedIn, Twitter, Facebook, and others has a different user base and communication style. For instance, Twitter is the best platform for conversations and real-time updates, but Facebook and Instagram are great for visual storytelling and community development (Steinmetz et al., 2020). Engaging with professional stakeholders and organisations can be especially successful when done through LinkedIn.</w:t>
      </w:r>
    </w:p>
    <w:p w:rsidR="00F36EF1" w:rsidRDefault="008B20DD">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strategy is on producing material that connects with the community. This entails providing the audience with educational and engaging content updates on ongoing projects, and success stories (Buckingham, 2019). Infographics, movies, and other visual media are essential for drawing viewers in and successfully delivering messages. In addition, I make sure the content is inclusive, approachable and reflects the variety of the community.</w:t>
      </w:r>
    </w:p>
    <w:p w:rsidR="00F36EF1" w:rsidRDefault="008B20DD" w:rsidP="00F15B46">
      <w:pPr>
        <w:pStyle w:val="Heading1"/>
      </w:pPr>
      <w:bookmarkStart w:id="9" w:name="_Toc150981884"/>
      <w:r>
        <w:t>Conclusion</w:t>
      </w:r>
      <w:bookmarkEnd w:id="9"/>
    </w:p>
    <w:p w:rsidR="00F36EF1" w:rsidRDefault="008A6F2F">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t>
      </w:r>
      <w:r w:rsidR="008B20DD">
        <w:rPr>
          <w:rFonts w:ascii="Times New Roman" w:eastAsia="Times New Roman" w:hAnsi="Times New Roman" w:cs="Times New Roman"/>
          <w:sz w:val="24"/>
          <w:szCs w:val="24"/>
        </w:rPr>
        <w:t>envisions future projects and draws lessons from the London Community Led Local Development (CLLD) Programme, thoroughly examines the numerous elements of community engagement. A comparative review of community engagement tactics between the CLLD Programme and the proposed future project demonstrated the progress of engagement approach. The trend towards more sustainable, inclusive, and technologically advanced methods was the main emphasis of this investigation. Observations of the CLLD Programme emphasised methods to enhance transparency and flexibility, augment involvement from stakeholders, and optimise the utilisation of digital channels.</w:t>
      </w: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F36EF1">
      <w:pPr>
        <w:pStyle w:val="Normal1"/>
        <w:spacing w:after="200" w:line="360" w:lineRule="auto"/>
        <w:jc w:val="both"/>
        <w:rPr>
          <w:rFonts w:ascii="Times New Roman" w:eastAsia="Times New Roman" w:hAnsi="Times New Roman" w:cs="Times New Roman"/>
          <w:sz w:val="24"/>
          <w:szCs w:val="24"/>
        </w:rPr>
      </w:pPr>
    </w:p>
    <w:p w:rsidR="00F36EF1" w:rsidRDefault="008B20DD">
      <w:pPr>
        <w:pStyle w:val="Normal1"/>
        <w:spacing w:after="200" w:line="360" w:lineRule="auto"/>
        <w:jc w:val="both"/>
        <w:rPr>
          <w:rFonts w:ascii="Times New Roman" w:eastAsia="Times New Roman" w:hAnsi="Times New Roman" w:cs="Times New Roman"/>
          <w:sz w:val="24"/>
          <w:szCs w:val="24"/>
        </w:rPr>
      </w:pPr>
      <w:r>
        <w:br w:type="page"/>
      </w:r>
    </w:p>
    <w:p w:rsidR="00F36EF1" w:rsidRDefault="008B20DD" w:rsidP="00EB260B">
      <w:pPr>
        <w:pStyle w:val="Heading1"/>
      </w:pPr>
      <w:bookmarkStart w:id="10" w:name="_Toc150981885"/>
      <w:r>
        <w:t>References</w:t>
      </w:r>
      <w:bookmarkEnd w:id="10"/>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Al-Quran, M.W.M. (2022). Traditional media versus social media: challenges and opportunities. Technium: Romanian Journal of Applied Sciences and Technology, 4(10), pp.145–160. doi:https://doi.org/10.47577/technium.v4i10.8012.</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Arent, D.J., Green, P., Abdullah, Z., Barnes, T., Bauer, S., Bernstein, A., Berry, D., Berry, J., Burrell, T., Carpenter, B., Cochran, J., Cortright, R., Curry-Nkansah, M., Denholm, P., Gevorian, V., Himmel, M., Livingood, B., Keyser, M., King, J. and Kroposki, B. (2022). Challenges and opportunities in decarbonizing the U.S. energy system. Renewable and Sustainable Energy Reviews, [online] 169, p.112939. doi:https://doi.org/10.1016/j.rser.2022.112939.</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Blau, I., Shamir-Inbal, T. and Avdiel, O. (2020). How does the pedagogical design of a technology-enhanced collaborative academic course promote digital literacies, self-regulation, and perceived learning of students? The Internet and Higher Education, 45, p.100722. doi:https://doi.org/10.1016/j.iheduc.2019.100722.</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Buckingham, D. (2019). The Media Education Manifesto. [online] Google Books. John Wiley &amp; Sons. Available at: https://books.google.com/books?hl=en&amp;lr=&amp;id=oZanDwAAQBAJ&amp;oi=fnd&amp;pg=PT5&amp;dq=+This+entails+providing+the+audience+with+educational+and+engaging+content+updates+on+ongoing+projects [Accessed 15 Nov. 2023].</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Chatterjee, A., Ghosh, A. and Leca, B. (2022). Double Weaving: A Bottom-Up Process of Connecting Locations and Scales to Mitigate Grand Challenges. Academy of Management Journal. doi:https://doi.org/10.5465/amj.2019.1348.</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Hubbart, J.A. (2023). Harmonizing Science and Society: A Change Management Approach to Align Scientific Endeavors with Societal Needs. Sustainability, [online] 15(21), p.15233. doi:https://doi.org/10.3390/su152115233.</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Kurdi, B., Alshurideh, M., Akour, I., Alzoubi, H., Obeidat, B. and AlHamad, A. (2022). The role of digital marketing channels on consumer buying decisions through eWOM in the Jordanian markets. International Journal of Data and Network Science, 6(4), pp.1175–1186.</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Leibensperger, C., Yang, P., Zhao, Q., Wei, S. and Cai, X. (2021). The synergy between stakeholders for cellulosic biofuel development: Perspectives, opportunities, and barriers. </w:t>
      </w:r>
      <w:r>
        <w:rPr>
          <w:rFonts w:ascii="Times New Roman" w:eastAsia="Times New Roman" w:hAnsi="Times New Roman" w:cs="Times New Roman"/>
          <w:i/>
          <w:sz w:val="24"/>
          <w:szCs w:val="24"/>
        </w:rPr>
        <w:t>Renewable and Sustainable Energy Reviews</w:t>
      </w:r>
      <w:r>
        <w:rPr>
          <w:rFonts w:ascii="Times New Roman" w:eastAsia="Times New Roman" w:hAnsi="Times New Roman" w:cs="Times New Roman"/>
          <w:sz w:val="24"/>
          <w:szCs w:val="24"/>
        </w:rPr>
        <w:t>, 137, p.110613. doi:https://doi.org/10.1016/j.rser.2020.110613.</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McKinley, E., Crowe, P.R., Stori, F., Ballinger, R., Brew, T.C., Blacklaw-Jones, L., Cameron-Smith, A., Crowley, S., Cocco, C., O’Mahony, C., McNally, B., Power, P. and Foley, K. (2021). ‘Going digital’ - Lessons for future coastal community engagement and climate change adaptation. </w:t>
      </w:r>
      <w:r>
        <w:rPr>
          <w:rFonts w:ascii="Times New Roman" w:eastAsia="Times New Roman" w:hAnsi="Times New Roman" w:cs="Times New Roman"/>
          <w:i/>
          <w:sz w:val="24"/>
          <w:szCs w:val="24"/>
        </w:rPr>
        <w:t>Ocean &amp; Coastal Management</w:t>
      </w:r>
      <w:r>
        <w:rPr>
          <w:rFonts w:ascii="Times New Roman" w:eastAsia="Times New Roman" w:hAnsi="Times New Roman" w:cs="Times New Roman"/>
          <w:sz w:val="24"/>
          <w:szCs w:val="24"/>
        </w:rPr>
        <w:t>, [online] 208, p.105629. doi:https://doi.org/10.1016/j.ocecoaman.2021.105629.</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Milanés Batista, C., Planas, J.A., Pelot, R. and Núñez, J.R. (2020). A new methodology incorporating public participation within Cuba’s ICZM program. </w:t>
      </w:r>
      <w:r>
        <w:rPr>
          <w:rFonts w:ascii="Times New Roman" w:eastAsia="Times New Roman" w:hAnsi="Times New Roman" w:cs="Times New Roman"/>
          <w:i/>
          <w:sz w:val="24"/>
          <w:szCs w:val="24"/>
        </w:rPr>
        <w:t>Ocean &amp; Coastal Management</w:t>
      </w:r>
      <w:r>
        <w:rPr>
          <w:rFonts w:ascii="Times New Roman" w:eastAsia="Times New Roman" w:hAnsi="Times New Roman" w:cs="Times New Roman"/>
          <w:sz w:val="24"/>
          <w:szCs w:val="24"/>
        </w:rPr>
        <w:t>, 186, p.105101. doi:https://doi.org/10.1016/j.ocecoaman.2020.105101.</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Morrison-Saunders, A., Arts, J., Pope, J., Bond, A. and Retief, F. (2022). Distilling best practice principles for public participation in impact assessment follow-up. </w:t>
      </w:r>
      <w:r>
        <w:rPr>
          <w:rFonts w:ascii="Times New Roman" w:eastAsia="Times New Roman" w:hAnsi="Times New Roman" w:cs="Times New Roman"/>
          <w:i/>
          <w:sz w:val="24"/>
          <w:szCs w:val="24"/>
        </w:rPr>
        <w:t>Impact Assessment and Project Appraisal</w:t>
      </w:r>
      <w:r>
        <w:rPr>
          <w:rFonts w:ascii="Times New Roman" w:eastAsia="Times New Roman" w:hAnsi="Times New Roman" w:cs="Times New Roman"/>
          <w:sz w:val="24"/>
          <w:szCs w:val="24"/>
        </w:rPr>
        <w:t>, pp.1–11. doi:https://doi.org/10.1080/14615517.2022.2119527.</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Oliveira‐Duarte, L., Reis, D.A., Fleury, A.L., Vasques, R.A., Fonseca Filho, H., Koria, M. and Baruque‐Ramos, J. (2021). Innovation Ecosystem framework directed to Sustainable Development Goal #17 partnerships implementation. </w:t>
      </w:r>
      <w:r>
        <w:rPr>
          <w:rFonts w:ascii="Times New Roman" w:eastAsia="Times New Roman" w:hAnsi="Times New Roman" w:cs="Times New Roman"/>
          <w:i/>
          <w:sz w:val="24"/>
          <w:szCs w:val="24"/>
        </w:rPr>
        <w:t>Sustainable Development</w:t>
      </w:r>
      <w:r>
        <w:rPr>
          <w:rFonts w:ascii="Times New Roman" w:eastAsia="Times New Roman" w:hAnsi="Times New Roman" w:cs="Times New Roman"/>
          <w:sz w:val="24"/>
          <w:szCs w:val="24"/>
        </w:rPr>
        <w:t>, 29(5). doi:https://doi.org/10.1002/sd.2191.</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Ortega-Rodríguez, C., Licerán-Gutiérrez, A. and Moreno-Albarracín, A.L. (2020). Transparency as a Key Element in Accountability in Non-Profit Organizations: A Systematic Literature Review.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12(14), p.5834. doi:https://doi.org/10.3390/su12145834.</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Rijal, S. (2023). The Importance of Community Involvement in Public Management Planning and Decision-Making Processes. </w:t>
      </w:r>
      <w:r>
        <w:rPr>
          <w:rFonts w:ascii="Times New Roman" w:eastAsia="Times New Roman" w:hAnsi="Times New Roman" w:cs="Times New Roman"/>
          <w:i/>
          <w:sz w:val="24"/>
          <w:szCs w:val="24"/>
        </w:rPr>
        <w:t>Journal of Contemporary Administration and Management (ADMAN)</w:t>
      </w:r>
      <w:r>
        <w:rPr>
          <w:rFonts w:ascii="Times New Roman" w:eastAsia="Times New Roman" w:hAnsi="Times New Roman" w:cs="Times New Roman"/>
          <w:sz w:val="24"/>
          <w:szCs w:val="24"/>
        </w:rPr>
        <w:t>, [online] 1(2), pp.84–92. doi:https://doi.org/10.61100/adman.v1i2.27.</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Russell, B., Milburn, K. and Heron, K. (2022). Strategies for a new municipalism: Public–common partnerships against the new enclosures. </w:t>
      </w:r>
      <w:r>
        <w:rPr>
          <w:rFonts w:ascii="Times New Roman" w:eastAsia="Times New Roman" w:hAnsi="Times New Roman" w:cs="Times New Roman"/>
          <w:i/>
          <w:sz w:val="24"/>
          <w:szCs w:val="24"/>
        </w:rPr>
        <w:t>Urban Studies</w:t>
      </w:r>
      <w:r>
        <w:rPr>
          <w:rFonts w:ascii="Times New Roman" w:eastAsia="Times New Roman" w:hAnsi="Times New Roman" w:cs="Times New Roman"/>
          <w:sz w:val="24"/>
          <w:szCs w:val="24"/>
        </w:rPr>
        <w:t>, p.004209802210947. doi:https://doi.org/10.1177/00420980221094700.</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Sharifi, A., Khavarian-Garmsir, A.R. and Kummitha, R.K.R. (2021). Contributions of Smart City Solutions and Technologies to Resilience against the COVID-19 Pandemic: A Literature Review.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13(14), p.8018. doi:https://doi.org/10.3390/su13148018.</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Steinmetz, C., Rahmat, H., Marshall, N., Bishop, K., Thompson, S., Park, M., Corkery, L. and Tietz, C. (2020). Liking, Tweeting and Posting: An Analysis of Community Engagement through Social Media Platforms. </w:t>
      </w:r>
      <w:r>
        <w:rPr>
          <w:rFonts w:ascii="Times New Roman" w:eastAsia="Times New Roman" w:hAnsi="Times New Roman" w:cs="Times New Roman"/>
          <w:i/>
          <w:sz w:val="24"/>
          <w:szCs w:val="24"/>
        </w:rPr>
        <w:t>Urban Policy and Research</w:t>
      </w:r>
      <w:r>
        <w:rPr>
          <w:rFonts w:ascii="Times New Roman" w:eastAsia="Times New Roman" w:hAnsi="Times New Roman" w:cs="Times New Roman"/>
          <w:sz w:val="24"/>
          <w:szCs w:val="24"/>
        </w:rPr>
        <w:t>, pp.1–21. doi:https://doi.org/10.1080/08111146.2020.1792283.</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Susanto, H., Fang Yie, L., Mohiddin, F., Rahman Setiawan, A.A., Haghi, P.K. and Setiana, D. (2021). Revealing Social Media Phenomenon in Time of COVID-19 Pandemic for Boosting Start-Up Businesses through Digital Ecosystem. </w:t>
      </w:r>
      <w:r>
        <w:rPr>
          <w:rFonts w:ascii="Times New Roman" w:eastAsia="Times New Roman" w:hAnsi="Times New Roman" w:cs="Times New Roman"/>
          <w:i/>
          <w:sz w:val="24"/>
          <w:szCs w:val="24"/>
        </w:rPr>
        <w:t>Applied System Innovation</w:t>
      </w:r>
      <w:r>
        <w:rPr>
          <w:rFonts w:ascii="Times New Roman" w:eastAsia="Times New Roman" w:hAnsi="Times New Roman" w:cs="Times New Roman"/>
          <w:sz w:val="24"/>
          <w:szCs w:val="24"/>
        </w:rPr>
        <w:t>, [online] 4(1), p.6. doi:https://doi.org/10.3390/asi4010006.</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Varshney, P. and Ahlawat, D. (2022). National education policy-2020: Vision of inclusive education for 21st century learners. </w:t>
      </w:r>
      <w:r>
        <w:rPr>
          <w:rFonts w:ascii="Times New Roman" w:eastAsia="Times New Roman" w:hAnsi="Times New Roman" w:cs="Times New Roman"/>
          <w:i/>
          <w:sz w:val="24"/>
          <w:szCs w:val="24"/>
        </w:rPr>
        <w:t>~ 88 ~ International Journal of Multidisciplinary Trends</w:t>
      </w:r>
      <w:r>
        <w:rPr>
          <w:rFonts w:ascii="Times New Roman" w:eastAsia="Times New Roman" w:hAnsi="Times New Roman" w:cs="Times New Roman"/>
          <w:sz w:val="24"/>
          <w:szCs w:val="24"/>
        </w:rPr>
        <w:t>, [online] 4(2), pp.88–94. Available at: https://www.multisubjectjournal.com/article/192/4-2-43-608.pdf [Accessed 15 Nov. 2023].</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Volkov, B.B., Hoyo, V. and Hunt, J. (2022). Engaging community in the translational process: Environmental scan of adaptive capacity and preparedness of Clinical and Translational Science Award Program hubs. </w:t>
      </w:r>
      <w:r>
        <w:rPr>
          <w:rFonts w:ascii="Times New Roman" w:eastAsia="Times New Roman" w:hAnsi="Times New Roman" w:cs="Times New Roman"/>
          <w:i/>
          <w:sz w:val="24"/>
          <w:szCs w:val="24"/>
        </w:rPr>
        <w:t>Journal of Clinical and Translational Science</w:t>
      </w:r>
      <w:r>
        <w:rPr>
          <w:rFonts w:ascii="Times New Roman" w:eastAsia="Times New Roman" w:hAnsi="Times New Roman" w:cs="Times New Roman"/>
          <w:sz w:val="24"/>
          <w:szCs w:val="24"/>
        </w:rPr>
        <w:t>, 7(1). doi:https://doi.org/10.1017/cts.2022.419.</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Xu, H., Jiang, F., Wall, G. and Wang, Y. (2019). The evolving path of community participation in tourism in China. </w:t>
      </w:r>
      <w:r>
        <w:rPr>
          <w:rFonts w:ascii="Times New Roman" w:eastAsia="Times New Roman" w:hAnsi="Times New Roman" w:cs="Times New Roman"/>
          <w:i/>
          <w:sz w:val="24"/>
          <w:szCs w:val="24"/>
        </w:rPr>
        <w:t>Journal of Sustainable Tourism</w:t>
      </w:r>
      <w:r>
        <w:rPr>
          <w:rFonts w:ascii="Times New Roman" w:eastAsia="Times New Roman" w:hAnsi="Times New Roman" w:cs="Times New Roman"/>
          <w:sz w:val="24"/>
          <w:szCs w:val="24"/>
        </w:rPr>
        <w:t>, 27(8), pp.1239–1258. doi:https://doi.org/10.1080/09669582.2019.1612904.</w:t>
      </w:r>
    </w:p>
    <w:p w:rsidR="00BD29C1" w:rsidRDefault="00BD29C1">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Yanes, A., Zielinski, S., Diaz Cano, M. and Kim, S. (2019). Community-Based Tourism in Developing Countries: A Framework for Policy Evaluation.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11(9), p.2506. doi:https://doi.org/10.3390/su11092506.</w:t>
      </w:r>
    </w:p>
    <w:p w:rsidR="00F36EF1" w:rsidRDefault="00F36EF1">
      <w:pPr>
        <w:pStyle w:val="Normal1"/>
        <w:spacing w:after="200" w:line="360" w:lineRule="auto"/>
        <w:jc w:val="both"/>
        <w:rPr>
          <w:rFonts w:ascii="Times New Roman" w:eastAsia="Times New Roman" w:hAnsi="Times New Roman" w:cs="Times New Roman"/>
          <w:sz w:val="24"/>
          <w:szCs w:val="24"/>
        </w:rPr>
      </w:pPr>
    </w:p>
    <w:sectPr w:rsidR="00F36EF1" w:rsidSect="002278E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20DD" w:rsidRDefault="008B20DD" w:rsidP="00E60C3F">
      <w:pPr>
        <w:spacing w:line="240" w:lineRule="auto"/>
      </w:pPr>
      <w:r>
        <w:separator/>
      </w:r>
    </w:p>
  </w:endnote>
  <w:endnote w:type="continuationSeparator" w:id="0">
    <w:p w:rsidR="008B20DD" w:rsidRDefault="008B20DD" w:rsidP="00E60C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484737007"/>
      <w:docPartObj>
        <w:docPartGallery w:val="Page Numbers (Bottom of Page)"/>
        <w:docPartUnique/>
      </w:docPartObj>
    </w:sdtPr>
    <w:sdtEndPr/>
    <w:sdtContent>
      <w:p w:rsidR="00E60C3F" w:rsidRPr="00E60C3F" w:rsidRDefault="00E60C3F">
        <w:pPr>
          <w:pStyle w:val="Footer"/>
          <w:jc w:val="right"/>
          <w:rPr>
            <w:rFonts w:ascii="Times New Roman" w:hAnsi="Times New Roman" w:cs="Times New Roman"/>
            <w:sz w:val="20"/>
          </w:rPr>
        </w:pPr>
        <w:r w:rsidRPr="00E60C3F">
          <w:rPr>
            <w:rFonts w:ascii="Times New Roman" w:hAnsi="Times New Roman" w:cs="Times New Roman"/>
            <w:sz w:val="20"/>
          </w:rPr>
          <w:fldChar w:fldCharType="begin"/>
        </w:r>
        <w:r w:rsidRPr="00E60C3F">
          <w:rPr>
            <w:rFonts w:ascii="Times New Roman" w:hAnsi="Times New Roman" w:cs="Times New Roman"/>
            <w:sz w:val="20"/>
          </w:rPr>
          <w:instrText xml:space="preserve"> PAGE   \* MERGEFORMAT </w:instrText>
        </w:r>
        <w:r w:rsidRPr="00E60C3F">
          <w:rPr>
            <w:rFonts w:ascii="Times New Roman" w:hAnsi="Times New Roman" w:cs="Times New Roman"/>
            <w:sz w:val="20"/>
          </w:rPr>
          <w:fldChar w:fldCharType="separate"/>
        </w:r>
        <w:r w:rsidR="00EE152B">
          <w:rPr>
            <w:rFonts w:ascii="Times New Roman" w:hAnsi="Times New Roman" w:cs="Times New Roman"/>
            <w:noProof/>
            <w:sz w:val="20"/>
          </w:rPr>
          <w:t>2</w:t>
        </w:r>
        <w:r w:rsidRPr="00E60C3F">
          <w:rPr>
            <w:rFonts w:ascii="Times New Roman" w:hAnsi="Times New Roman" w:cs="Times New Roman"/>
            <w:sz w:val="20"/>
          </w:rPr>
          <w:fldChar w:fldCharType="end"/>
        </w:r>
      </w:p>
    </w:sdtContent>
  </w:sdt>
  <w:p w:rsidR="00E60C3F" w:rsidRPr="00E60C3F" w:rsidRDefault="00E60C3F">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20DD" w:rsidRDefault="008B20DD" w:rsidP="00E60C3F">
      <w:pPr>
        <w:spacing w:line="240" w:lineRule="auto"/>
      </w:pPr>
      <w:r>
        <w:separator/>
      </w:r>
    </w:p>
  </w:footnote>
  <w:footnote w:type="continuationSeparator" w:id="0">
    <w:p w:rsidR="008B20DD" w:rsidRDefault="008B20DD" w:rsidP="00E60C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EF1"/>
    <w:rsid w:val="001C2130"/>
    <w:rsid w:val="002278E3"/>
    <w:rsid w:val="002C01C4"/>
    <w:rsid w:val="00751AB6"/>
    <w:rsid w:val="008A6F2F"/>
    <w:rsid w:val="008B20DD"/>
    <w:rsid w:val="00AE7595"/>
    <w:rsid w:val="00B74718"/>
    <w:rsid w:val="00B80C21"/>
    <w:rsid w:val="00BD29C1"/>
    <w:rsid w:val="00D5199E"/>
    <w:rsid w:val="00E60C3F"/>
    <w:rsid w:val="00EB260B"/>
    <w:rsid w:val="00EE152B"/>
    <w:rsid w:val="00F15B46"/>
    <w:rsid w:val="00F36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E4D24B0-7AF6-B947-90A2-D3AB0874F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D5199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36EF1"/>
    <w:pPr>
      <w:keepNext/>
      <w:keepLines/>
      <w:spacing w:before="360" w:after="120"/>
      <w:outlineLvl w:val="1"/>
    </w:pPr>
    <w:rPr>
      <w:sz w:val="32"/>
      <w:szCs w:val="32"/>
    </w:rPr>
  </w:style>
  <w:style w:type="paragraph" w:styleId="Heading3">
    <w:name w:val="heading 3"/>
    <w:basedOn w:val="Normal1"/>
    <w:next w:val="Normal1"/>
    <w:rsid w:val="00F36EF1"/>
    <w:pPr>
      <w:keepNext/>
      <w:keepLines/>
      <w:spacing w:before="320" w:after="80"/>
      <w:outlineLvl w:val="2"/>
    </w:pPr>
    <w:rPr>
      <w:color w:val="434343"/>
      <w:sz w:val="28"/>
      <w:szCs w:val="28"/>
    </w:rPr>
  </w:style>
  <w:style w:type="paragraph" w:styleId="Heading4">
    <w:name w:val="heading 4"/>
    <w:basedOn w:val="Normal1"/>
    <w:next w:val="Normal1"/>
    <w:rsid w:val="00F36EF1"/>
    <w:pPr>
      <w:keepNext/>
      <w:keepLines/>
      <w:spacing w:before="280" w:after="80"/>
      <w:outlineLvl w:val="3"/>
    </w:pPr>
    <w:rPr>
      <w:color w:val="666666"/>
      <w:sz w:val="24"/>
      <w:szCs w:val="24"/>
    </w:rPr>
  </w:style>
  <w:style w:type="paragraph" w:styleId="Heading5">
    <w:name w:val="heading 5"/>
    <w:basedOn w:val="Normal1"/>
    <w:next w:val="Normal1"/>
    <w:rsid w:val="00F36EF1"/>
    <w:pPr>
      <w:keepNext/>
      <w:keepLines/>
      <w:spacing w:before="240" w:after="80"/>
      <w:outlineLvl w:val="4"/>
    </w:pPr>
    <w:rPr>
      <w:color w:val="666666"/>
    </w:rPr>
  </w:style>
  <w:style w:type="paragraph" w:styleId="Heading6">
    <w:name w:val="heading 6"/>
    <w:basedOn w:val="Normal1"/>
    <w:next w:val="Normal1"/>
    <w:rsid w:val="00F36E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6EF1"/>
  </w:style>
  <w:style w:type="paragraph" w:styleId="Title">
    <w:name w:val="Title"/>
    <w:basedOn w:val="Normal1"/>
    <w:next w:val="Normal1"/>
    <w:rsid w:val="00F36EF1"/>
    <w:pPr>
      <w:keepNext/>
      <w:keepLines/>
      <w:spacing w:after="60"/>
    </w:pPr>
    <w:rPr>
      <w:sz w:val="52"/>
      <w:szCs w:val="52"/>
    </w:rPr>
  </w:style>
  <w:style w:type="paragraph" w:styleId="Subtitle">
    <w:name w:val="Subtitle"/>
    <w:basedOn w:val="Normal1"/>
    <w:next w:val="Normal1"/>
    <w:rsid w:val="00F36EF1"/>
    <w:pPr>
      <w:keepNext/>
      <w:keepLines/>
      <w:spacing w:after="320"/>
    </w:pPr>
    <w:rPr>
      <w:color w:val="666666"/>
      <w:sz w:val="30"/>
      <w:szCs w:val="30"/>
    </w:rPr>
  </w:style>
  <w:style w:type="paragraph" w:styleId="Header">
    <w:name w:val="header"/>
    <w:basedOn w:val="Normal"/>
    <w:link w:val="HeaderChar"/>
    <w:uiPriority w:val="99"/>
    <w:semiHidden/>
    <w:unhideWhenUsed/>
    <w:rsid w:val="00E60C3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0C3F"/>
  </w:style>
  <w:style w:type="paragraph" w:styleId="Footer">
    <w:name w:val="footer"/>
    <w:basedOn w:val="Normal"/>
    <w:link w:val="FooterChar"/>
    <w:uiPriority w:val="99"/>
    <w:unhideWhenUsed/>
    <w:rsid w:val="00E60C3F"/>
    <w:pPr>
      <w:tabs>
        <w:tab w:val="center" w:pos="4680"/>
        <w:tab w:val="right" w:pos="9360"/>
      </w:tabs>
      <w:spacing w:line="240" w:lineRule="auto"/>
    </w:pPr>
  </w:style>
  <w:style w:type="character" w:customStyle="1" w:styleId="FooterChar">
    <w:name w:val="Footer Char"/>
    <w:basedOn w:val="DefaultParagraphFont"/>
    <w:link w:val="Footer"/>
    <w:uiPriority w:val="99"/>
    <w:rsid w:val="00E60C3F"/>
  </w:style>
  <w:style w:type="paragraph" w:styleId="TOCHeading">
    <w:name w:val="TOC Heading"/>
    <w:basedOn w:val="Heading1"/>
    <w:next w:val="Normal"/>
    <w:uiPriority w:val="39"/>
    <w:semiHidden/>
    <w:unhideWhenUsed/>
    <w:qFormat/>
    <w:rsid w:val="002C01C4"/>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2C01C4"/>
    <w:pPr>
      <w:spacing w:after="100"/>
    </w:pPr>
  </w:style>
  <w:style w:type="character" w:styleId="Hyperlink">
    <w:name w:val="Hyperlink"/>
    <w:basedOn w:val="DefaultParagraphFont"/>
    <w:uiPriority w:val="99"/>
    <w:unhideWhenUsed/>
    <w:rsid w:val="002C01C4"/>
    <w:rPr>
      <w:color w:val="0000FF" w:themeColor="hyperlink"/>
      <w:u w:val="single"/>
    </w:rPr>
  </w:style>
  <w:style w:type="paragraph" w:styleId="BalloonText">
    <w:name w:val="Balloon Text"/>
    <w:basedOn w:val="Normal"/>
    <w:link w:val="BalloonTextChar"/>
    <w:uiPriority w:val="99"/>
    <w:semiHidden/>
    <w:unhideWhenUsed/>
    <w:rsid w:val="002C01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1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B02FE9D-877E-4700-852D-B636EAA2BE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3311</Words>
  <Characters>18873</Characters>
  <Application>Microsoft Office Word</Application>
  <DocSecurity>0</DocSecurity>
  <Lines>157</Lines>
  <Paragraphs>44</Paragraphs>
  <ScaleCrop>false</ScaleCrop>
  <Company/>
  <LinksUpToDate>false</LinksUpToDate>
  <CharactersWithSpaces>22140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Olaru</cp:lastModifiedBy>
  <cp:revision>2</cp:revision>
  <dcterms:created xsi:type="dcterms:W3CDTF">2023-11-24T08:54:00Z</dcterms:created>
  <dcterms:modified xsi:type="dcterms:W3CDTF">2023-11-24T08:54:00Z</dcterms:modified>
</cp:coreProperties>
</file>