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790B5" w14:textId="77777777" w:rsidR="00704BCB" w:rsidRDefault="00704BCB" w:rsidP="00704BCB">
      <w:pPr>
        <w:jc w:val="center"/>
      </w:pPr>
    </w:p>
    <w:p w14:paraId="0BBEC6E0" w14:textId="77777777" w:rsidR="00704BCB" w:rsidRDefault="00704BCB" w:rsidP="00704BCB">
      <w:pPr>
        <w:jc w:val="center"/>
      </w:pPr>
    </w:p>
    <w:p w14:paraId="23483B2A" w14:textId="77777777" w:rsidR="00704BCB" w:rsidRDefault="00704BCB" w:rsidP="00704BCB">
      <w:pPr>
        <w:jc w:val="center"/>
      </w:pPr>
    </w:p>
    <w:p w14:paraId="52E9BA49" w14:textId="77777777" w:rsidR="00704BCB" w:rsidRDefault="00704BCB" w:rsidP="00704BCB">
      <w:pPr>
        <w:jc w:val="center"/>
      </w:pPr>
    </w:p>
    <w:p w14:paraId="6AB67E5D" w14:textId="77777777" w:rsidR="00704BCB" w:rsidRDefault="00704BCB" w:rsidP="00704BCB">
      <w:pPr>
        <w:jc w:val="center"/>
      </w:pPr>
    </w:p>
    <w:p w14:paraId="76F01D2B" w14:textId="77777777" w:rsidR="00704BCB" w:rsidRDefault="00704BCB" w:rsidP="00704BCB">
      <w:pPr>
        <w:jc w:val="center"/>
      </w:pPr>
    </w:p>
    <w:p w14:paraId="1F4E3E43" w14:textId="77777777" w:rsidR="00704BCB" w:rsidRDefault="00704BCB" w:rsidP="00704BCB">
      <w:pPr>
        <w:jc w:val="center"/>
      </w:pPr>
    </w:p>
    <w:p w14:paraId="70EA49F8" w14:textId="77777777" w:rsidR="00704BCB" w:rsidRDefault="00704BCB" w:rsidP="00704BCB">
      <w:pPr>
        <w:jc w:val="center"/>
      </w:pPr>
    </w:p>
    <w:p w14:paraId="0315A300" w14:textId="77777777" w:rsidR="00704BCB" w:rsidRDefault="00704BCB" w:rsidP="00704BCB">
      <w:pPr>
        <w:jc w:val="center"/>
      </w:pPr>
    </w:p>
    <w:p w14:paraId="5559E835" w14:textId="77777777" w:rsidR="00704BCB" w:rsidRDefault="00704BCB" w:rsidP="00704BCB">
      <w:pPr>
        <w:jc w:val="center"/>
      </w:pPr>
    </w:p>
    <w:p w14:paraId="047F874F" w14:textId="77777777" w:rsidR="00704BCB" w:rsidRDefault="00704BCB" w:rsidP="00704BCB">
      <w:pPr>
        <w:jc w:val="center"/>
      </w:pPr>
    </w:p>
    <w:p w14:paraId="7D06CAE2" w14:textId="77777777" w:rsidR="00704BCB" w:rsidRDefault="00704BCB" w:rsidP="00704BCB">
      <w:pPr>
        <w:jc w:val="center"/>
      </w:pPr>
    </w:p>
    <w:p w14:paraId="3A3B5E69" w14:textId="2B768631" w:rsidR="00704BCB" w:rsidRPr="00704BCB" w:rsidRDefault="00704BCB" w:rsidP="00704BCB">
      <w:pPr>
        <w:jc w:val="center"/>
        <w:rPr>
          <w:sz w:val="44"/>
          <w:szCs w:val="44"/>
        </w:rPr>
      </w:pPr>
      <w:r w:rsidRPr="00704BCB">
        <w:rPr>
          <w:sz w:val="44"/>
          <w:szCs w:val="44"/>
        </w:rPr>
        <w:t xml:space="preserve">Student Name: Charlene </w:t>
      </w:r>
      <w:proofErr w:type="spellStart"/>
      <w:r w:rsidRPr="00704BCB">
        <w:rPr>
          <w:sz w:val="44"/>
          <w:szCs w:val="44"/>
        </w:rPr>
        <w:t>ilangala</w:t>
      </w:r>
      <w:proofErr w:type="spellEnd"/>
    </w:p>
    <w:p w14:paraId="12A1A5A8" w14:textId="77777777" w:rsidR="00704BCB" w:rsidRPr="00704BCB" w:rsidRDefault="00704BCB" w:rsidP="00704BCB">
      <w:pPr>
        <w:jc w:val="center"/>
        <w:rPr>
          <w:sz w:val="44"/>
          <w:szCs w:val="44"/>
        </w:rPr>
      </w:pPr>
      <w:r w:rsidRPr="00704BCB">
        <w:rPr>
          <w:sz w:val="44"/>
          <w:szCs w:val="44"/>
        </w:rPr>
        <w:t>Student ID: 2134122</w:t>
      </w:r>
    </w:p>
    <w:p w14:paraId="5E5CEAC2" w14:textId="77777777" w:rsidR="00704BCB" w:rsidRPr="00704BCB" w:rsidRDefault="00704BCB" w:rsidP="00704BCB">
      <w:pPr>
        <w:jc w:val="center"/>
        <w:rPr>
          <w:sz w:val="44"/>
          <w:szCs w:val="44"/>
        </w:rPr>
      </w:pPr>
      <w:r w:rsidRPr="00704BCB">
        <w:rPr>
          <w:sz w:val="44"/>
          <w:szCs w:val="44"/>
        </w:rPr>
        <w:t>Module code: LCHS4004</w:t>
      </w:r>
    </w:p>
    <w:p w14:paraId="2DA6EE51" w14:textId="6AA62E79" w:rsidR="00704BCB" w:rsidRPr="00704BCB" w:rsidRDefault="00704BCB" w:rsidP="00704BCB">
      <w:pPr>
        <w:jc w:val="center"/>
        <w:rPr>
          <w:sz w:val="44"/>
          <w:szCs w:val="44"/>
        </w:rPr>
      </w:pPr>
      <w:r w:rsidRPr="00704BCB">
        <w:rPr>
          <w:sz w:val="44"/>
          <w:szCs w:val="44"/>
        </w:rPr>
        <w:t xml:space="preserve">Lecturer: Laila </w:t>
      </w:r>
      <w:proofErr w:type="spellStart"/>
      <w:r w:rsidRPr="00704BCB">
        <w:rPr>
          <w:sz w:val="44"/>
          <w:szCs w:val="44"/>
        </w:rPr>
        <w:t>Surani</w:t>
      </w:r>
      <w:proofErr w:type="spellEnd"/>
    </w:p>
    <w:p w14:paraId="5711CC45" w14:textId="78116B18" w:rsidR="00E40E33" w:rsidRDefault="00E40E33" w:rsidP="00704BCB">
      <w:pPr>
        <w:pStyle w:val="paragraph"/>
        <w:spacing w:before="0" w:beforeAutospacing="0" w:after="0" w:afterAutospacing="0"/>
        <w:jc w:val="center"/>
        <w:textAlignment w:val="baseline"/>
        <w:rPr>
          <w:rStyle w:val="eop"/>
          <w:rFonts w:ascii="Calibri" w:hAnsi="Calibri" w:cs="Calibri"/>
          <w:color w:val="FFFFFF"/>
          <w:sz w:val="22"/>
          <w:szCs w:val="22"/>
        </w:rPr>
      </w:pPr>
    </w:p>
    <w:p w14:paraId="1AF1D3B2" w14:textId="4A530172" w:rsidR="00E40E33" w:rsidRDefault="00E40E33" w:rsidP="00704BCB">
      <w:pPr>
        <w:pStyle w:val="paragraph"/>
        <w:spacing w:before="0" w:beforeAutospacing="0" w:after="0" w:afterAutospacing="0"/>
        <w:jc w:val="center"/>
        <w:textAlignment w:val="baseline"/>
        <w:rPr>
          <w:rStyle w:val="eop"/>
          <w:rFonts w:ascii="Calibri" w:hAnsi="Calibri" w:cs="Calibri"/>
          <w:color w:val="FFFFFF"/>
          <w:sz w:val="22"/>
          <w:szCs w:val="22"/>
        </w:rPr>
      </w:pPr>
    </w:p>
    <w:p w14:paraId="6D6B4B94" w14:textId="3748AE0F" w:rsidR="00E40E33" w:rsidRDefault="00E40E33" w:rsidP="003B2888">
      <w:pPr>
        <w:pStyle w:val="paragraph"/>
        <w:spacing w:before="0" w:beforeAutospacing="0" w:after="0" w:afterAutospacing="0"/>
        <w:textAlignment w:val="baseline"/>
        <w:rPr>
          <w:rStyle w:val="eop"/>
          <w:rFonts w:ascii="Calibri" w:hAnsi="Calibri" w:cs="Calibri"/>
          <w:color w:val="FFFFFF"/>
          <w:sz w:val="22"/>
          <w:szCs w:val="22"/>
        </w:rPr>
      </w:pPr>
    </w:p>
    <w:p w14:paraId="7A4A3882" w14:textId="0C66C2E0"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5D4EB15D" w14:textId="2EF71A26"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58B2E3B8" w14:textId="61D6E15C"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0B906642" w14:textId="3DAFB1AB"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183FAFBC" w14:textId="5E458521"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2C1127EB" w14:textId="29352F8D"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786DEB24" w14:textId="2BE2C9C0"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3662A663" w14:textId="0196036D"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730E2FCE" w14:textId="024CEF6C"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5C89AB5E" w14:textId="28802AA4"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57F098DD" w14:textId="44253478"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625AC5CB" w14:textId="4F62F3A8"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222A57FD" w14:textId="4D7E4439"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000C2B35" w14:textId="6DE24454"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01962B03" w14:textId="78FCBA79"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128AB07E" w14:textId="6DA18C71"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3AD2A90F" w14:textId="3EAC6F27"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783108AD" w14:textId="6986A874" w:rsidR="00704BCB" w:rsidRDefault="00704BCB" w:rsidP="003B2888">
      <w:pPr>
        <w:pStyle w:val="paragraph"/>
        <w:spacing w:before="0" w:beforeAutospacing="0" w:after="0" w:afterAutospacing="0"/>
        <w:textAlignment w:val="baseline"/>
        <w:rPr>
          <w:rStyle w:val="eop"/>
          <w:rFonts w:ascii="Calibri" w:hAnsi="Calibri" w:cs="Calibri"/>
          <w:color w:val="FFFFFF"/>
          <w:sz w:val="22"/>
          <w:szCs w:val="22"/>
        </w:rPr>
      </w:pPr>
    </w:p>
    <w:p w14:paraId="6DF94926" w14:textId="0F781CEF" w:rsidR="003E3A84" w:rsidRDefault="003E3A84" w:rsidP="003B2888">
      <w:pPr>
        <w:pStyle w:val="paragraph"/>
        <w:spacing w:before="0" w:beforeAutospacing="0" w:after="0" w:afterAutospacing="0"/>
        <w:textAlignment w:val="baseline"/>
        <w:rPr>
          <w:rStyle w:val="eop"/>
          <w:rFonts w:ascii="Calibri" w:hAnsi="Calibri" w:cs="Calibri"/>
          <w:color w:val="FFFFFF"/>
          <w:sz w:val="22"/>
          <w:szCs w:val="22"/>
        </w:rPr>
      </w:pPr>
    </w:p>
    <w:p w14:paraId="0DFAC67B" w14:textId="689D255D" w:rsidR="003E3A84" w:rsidRDefault="003E3A84" w:rsidP="003B2888">
      <w:pPr>
        <w:pStyle w:val="paragraph"/>
        <w:spacing w:before="0" w:beforeAutospacing="0" w:after="0" w:afterAutospacing="0"/>
        <w:textAlignment w:val="baseline"/>
        <w:rPr>
          <w:rStyle w:val="eop"/>
          <w:rFonts w:ascii="Calibri" w:hAnsi="Calibri" w:cs="Calibri"/>
          <w:color w:val="FFFFFF"/>
          <w:sz w:val="22"/>
          <w:szCs w:val="22"/>
        </w:rPr>
      </w:pPr>
    </w:p>
    <w:p w14:paraId="408C7179" w14:textId="77777777" w:rsidR="003E3A84" w:rsidRDefault="003E3A84" w:rsidP="003E3A84">
      <w:pPr>
        <w:pStyle w:val="paragraph"/>
        <w:spacing w:before="0" w:beforeAutospacing="0" w:after="0" w:afterAutospacing="0"/>
        <w:jc w:val="center"/>
        <w:textAlignment w:val="baseline"/>
        <w:rPr>
          <w:rStyle w:val="normaltextrun"/>
          <w:rFonts w:ascii="Sabon Next LT" w:hAnsi="Sabon Next LT" w:cs="Sabon Next LT"/>
          <w:color w:val="1F2C8F"/>
          <w:position w:val="-1"/>
          <w:shd w:val="clear" w:color="auto" w:fill="EDEBE9"/>
          <w:lang w:val="en-US"/>
        </w:rPr>
      </w:pPr>
    </w:p>
    <w:p w14:paraId="399A2037" w14:textId="77777777" w:rsidR="003E3A84" w:rsidRDefault="003E3A84" w:rsidP="003E3A84">
      <w:pPr>
        <w:pStyle w:val="paragraph"/>
        <w:spacing w:before="0" w:beforeAutospacing="0" w:after="0" w:afterAutospacing="0"/>
        <w:jc w:val="center"/>
        <w:textAlignment w:val="baseline"/>
        <w:rPr>
          <w:rStyle w:val="normaltextrun"/>
          <w:rFonts w:ascii="Sabon Next LT" w:hAnsi="Sabon Next LT" w:cs="Sabon Next LT"/>
          <w:color w:val="1F2C8F"/>
          <w:position w:val="-1"/>
          <w:shd w:val="clear" w:color="auto" w:fill="EDEBE9"/>
          <w:lang w:val="en-US"/>
        </w:rPr>
      </w:pPr>
    </w:p>
    <w:p w14:paraId="76A9478B" w14:textId="77777777" w:rsidR="003E3A84" w:rsidRDefault="003E3A84" w:rsidP="003E3A84">
      <w:pPr>
        <w:pStyle w:val="paragraph"/>
        <w:spacing w:before="0" w:beforeAutospacing="0" w:after="0" w:afterAutospacing="0"/>
        <w:jc w:val="center"/>
        <w:textAlignment w:val="baseline"/>
        <w:rPr>
          <w:rStyle w:val="normaltextrun"/>
          <w:rFonts w:ascii="Sabon Next LT" w:hAnsi="Sabon Next LT" w:cs="Sabon Next LT"/>
          <w:color w:val="1F2C8F"/>
          <w:position w:val="-1"/>
          <w:shd w:val="clear" w:color="auto" w:fill="EDEBE9"/>
          <w:lang w:val="en-US"/>
        </w:rPr>
      </w:pPr>
    </w:p>
    <w:p w14:paraId="1A069EB9" w14:textId="77777777" w:rsidR="003E3A84" w:rsidRDefault="003E3A84" w:rsidP="003E3A84">
      <w:pPr>
        <w:pStyle w:val="paragraph"/>
        <w:spacing w:before="0" w:beforeAutospacing="0" w:after="0" w:afterAutospacing="0"/>
        <w:jc w:val="center"/>
        <w:textAlignment w:val="baseline"/>
        <w:rPr>
          <w:rStyle w:val="normaltextrun"/>
          <w:rFonts w:ascii="Sabon Next LT" w:hAnsi="Sabon Next LT" w:cs="Sabon Next LT"/>
          <w:color w:val="1F2C8F"/>
          <w:position w:val="-1"/>
          <w:shd w:val="clear" w:color="auto" w:fill="EDEBE9"/>
          <w:lang w:val="en-US"/>
        </w:rPr>
      </w:pPr>
    </w:p>
    <w:p w14:paraId="30738A2F" w14:textId="77777777" w:rsidR="003E3A84" w:rsidRDefault="003E3A84" w:rsidP="003E3A84">
      <w:pPr>
        <w:pStyle w:val="paragraph"/>
        <w:spacing w:before="0" w:beforeAutospacing="0" w:after="0" w:afterAutospacing="0"/>
        <w:jc w:val="center"/>
        <w:textAlignment w:val="baseline"/>
        <w:rPr>
          <w:rStyle w:val="normaltextrun"/>
          <w:rFonts w:ascii="Sabon Next LT" w:hAnsi="Sabon Next LT" w:cs="Sabon Next LT"/>
          <w:color w:val="1F2C8F"/>
          <w:position w:val="-1"/>
          <w:shd w:val="clear" w:color="auto" w:fill="EDEBE9"/>
          <w:lang w:val="en-US"/>
        </w:rPr>
      </w:pPr>
      <w:r>
        <w:rPr>
          <w:rStyle w:val="normaltextrun"/>
          <w:rFonts w:ascii="Sabon Next LT" w:hAnsi="Sabon Next LT" w:cs="Sabon Next LT"/>
          <w:color w:val="1F2C8F"/>
          <w:position w:val="-1"/>
          <w:shd w:val="clear" w:color="auto" w:fill="EDEBE9"/>
          <w:lang w:val="en-US"/>
        </w:rPr>
        <w:t>GROUP PRESENTATION:  CHICKENPOX</w:t>
      </w:r>
    </w:p>
    <w:p w14:paraId="6FAF41F7" w14:textId="0B03EBA3" w:rsidR="003E3A84" w:rsidRDefault="003E3A84" w:rsidP="003E3A84">
      <w:pPr>
        <w:pStyle w:val="paragraph"/>
        <w:spacing w:before="0" w:beforeAutospacing="0" w:after="0" w:afterAutospacing="0"/>
        <w:jc w:val="center"/>
        <w:textAlignment w:val="baseline"/>
        <w:rPr>
          <w:rStyle w:val="eop"/>
          <w:rFonts w:ascii="Arial" w:hAnsi="Arial" w:cs="Arial"/>
          <w:color w:val="000000"/>
          <w:shd w:val="clear" w:color="auto" w:fill="EDEBE9"/>
        </w:rPr>
      </w:pPr>
      <w:r>
        <w:rPr>
          <w:rStyle w:val="eop"/>
          <w:rFonts w:ascii="Arial" w:hAnsi="Arial" w:cs="Arial"/>
          <w:color w:val="000000"/>
          <w:shd w:val="clear" w:color="auto" w:fill="EDEBE9"/>
        </w:rPr>
        <w:t>​</w:t>
      </w:r>
    </w:p>
    <w:p w14:paraId="6D8D0106" w14:textId="35E3D729" w:rsidR="003E3A84" w:rsidRDefault="003E3A84" w:rsidP="003E3A84">
      <w:pPr>
        <w:pStyle w:val="paragraph"/>
        <w:spacing w:before="0" w:beforeAutospacing="0" w:after="0" w:afterAutospacing="0"/>
        <w:jc w:val="center"/>
        <w:textAlignment w:val="baseline"/>
        <w:rPr>
          <w:rStyle w:val="eop"/>
          <w:rFonts w:ascii="Calibri" w:hAnsi="Calibri" w:cs="Calibri"/>
          <w:color w:val="FFFFFF"/>
          <w:sz w:val="22"/>
          <w:szCs w:val="22"/>
        </w:rPr>
      </w:pPr>
      <w:proofErr w:type="spellStart"/>
      <w:r>
        <w:rPr>
          <w:rStyle w:val="spellingerror"/>
          <w:color w:val="1F2C8F"/>
          <w:position w:val="-1"/>
          <w:shd w:val="clear" w:color="auto" w:fill="EDEBE9"/>
        </w:rPr>
        <w:t>Sacree</w:t>
      </w:r>
      <w:proofErr w:type="spellEnd"/>
      <w:r>
        <w:rPr>
          <w:rStyle w:val="normaltextrun"/>
          <w:color w:val="1F2C8F"/>
          <w:position w:val="-1"/>
          <w:shd w:val="clear" w:color="auto" w:fill="EDEBE9"/>
        </w:rPr>
        <w:t> </w:t>
      </w:r>
      <w:proofErr w:type="spellStart"/>
      <w:r>
        <w:rPr>
          <w:rStyle w:val="normaltextrun"/>
          <w:color w:val="1F2C8F"/>
          <w:position w:val="-1"/>
          <w:shd w:val="clear" w:color="auto" w:fill="EDEBE9"/>
        </w:rPr>
        <w:t>Mwepu</w:t>
      </w:r>
      <w:proofErr w:type="spellEnd"/>
      <w:r>
        <w:rPr>
          <w:rStyle w:val="normaltextrun"/>
          <w:color w:val="1F2C8F"/>
          <w:position w:val="-1"/>
          <w:shd w:val="clear" w:color="auto" w:fill="EDEBE9"/>
        </w:rPr>
        <w:t>:</w:t>
      </w:r>
      <w:r>
        <w:rPr>
          <w:rStyle w:val="normaltextrun"/>
          <w:color w:val="1F2C8F"/>
          <w:position w:val="-1"/>
          <w:shd w:val="clear" w:color="auto" w:fill="EDEBE9"/>
        </w:rPr>
        <w:t> 2121661</w:t>
      </w:r>
      <w:r>
        <w:rPr>
          <w:rStyle w:val="scxp118721052"/>
          <w:color w:val="000000"/>
          <w:shd w:val="clear" w:color="auto" w:fill="EDEBE9"/>
        </w:rPr>
        <w:t>​</w:t>
      </w:r>
      <w:r>
        <w:rPr>
          <w:color w:val="000000"/>
          <w:shd w:val="clear" w:color="auto" w:fill="EDEBE9"/>
        </w:rPr>
        <w:br/>
      </w:r>
      <w:r>
        <w:rPr>
          <w:rStyle w:val="normaltextrun"/>
          <w:color w:val="1F2C8F"/>
          <w:position w:val="-1"/>
          <w:shd w:val="clear" w:color="auto" w:fill="EDEBE9"/>
        </w:rPr>
        <w:t>Charlene </w:t>
      </w:r>
      <w:proofErr w:type="spellStart"/>
      <w:r>
        <w:rPr>
          <w:rStyle w:val="spellingerror"/>
          <w:color w:val="1F2C8F"/>
          <w:position w:val="-1"/>
          <w:shd w:val="clear" w:color="auto" w:fill="EDEBE9"/>
        </w:rPr>
        <w:t>Ilangala</w:t>
      </w:r>
      <w:proofErr w:type="spellEnd"/>
      <w:r>
        <w:rPr>
          <w:rStyle w:val="spellingerror"/>
          <w:color w:val="1F2C8F"/>
          <w:position w:val="-1"/>
          <w:shd w:val="clear" w:color="auto" w:fill="EDEBE9"/>
        </w:rPr>
        <w:t>:</w:t>
      </w:r>
      <w:r>
        <w:rPr>
          <w:rStyle w:val="normaltextrun"/>
          <w:color w:val="1F2C8F"/>
          <w:position w:val="-1"/>
          <w:shd w:val="clear" w:color="auto" w:fill="EDEBE9"/>
        </w:rPr>
        <w:t> 2134122</w:t>
      </w:r>
      <w:r>
        <w:rPr>
          <w:rStyle w:val="scxp118721052"/>
          <w:color w:val="000000"/>
          <w:shd w:val="clear" w:color="auto" w:fill="EDEBE9"/>
        </w:rPr>
        <w:t>​</w:t>
      </w:r>
      <w:r>
        <w:rPr>
          <w:color w:val="000000"/>
          <w:shd w:val="clear" w:color="auto" w:fill="EDEBE9"/>
        </w:rPr>
        <w:br/>
      </w:r>
      <w:r>
        <w:rPr>
          <w:rStyle w:val="normaltextrun"/>
          <w:color w:val="1F2C8F"/>
          <w:position w:val="-1"/>
          <w:shd w:val="clear" w:color="auto" w:fill="EDEBE9"/>
        </w:rPr>
        <w:t>Maria Ortega Nogales</w:t>
      </w:r>
      <w:r>
        <w:rPr>
          <w:rStyle w:val="normaltextrun"/>
          <w:color w:val="1F2C8F"/>
          <w:position w:val="-1"/>
          <w:shd w:val="clear" w:color="auto" w:fill="EDEBE9"/>
        </w:rPr>
        <w:t>:</w:t>
      </w:r>
      <w:r>
        <w:rPr>
          <w:rStyle w:val="normaltextrun"/>
          <w:color w:val="1F2C8F"/>
          <w:position w:val="-1"/>
          <w:shd w:val="clear" w:color="auto" w:fill="EDEBE9"/>
        </w:rPr>
        <w:t xml:space="preserve"> 2131909</w:t>
      </w:r>
      <w:r>
        <w:rPr>
          <w:rStyle w:val="scxp118721052"/>
          <w:color w:val="000000"/>
          <w:shd w:val="clear" w:color="auto" w:fill="EDEBE9"/>
        </w:rPr>
        <w:t>​</w:t>
      </w:r>
      <w:r>
        <w:rPr>
          <w:color w:val="000000"/>
          <w:shd w:val="clear" w:color="auto" w:fill="EDEBE9"/>
        </w:rPr>
        <w:br/>
      </w:r>
      <w:r>
        <w:rPr>
          <w:rStyle w:val="normaltextrun"/>
          <w:color w:val="1F2C8F"/>
          <w:position w:val="-1"/>
          <w:shd w:val="clear" w:color="auto" w:fill="EDEBE9"/>
        </w:rPr>
        <w:t>Amina </w:t>
      </w:r>
      <w:proofErr w:type="spellStart"/>
      <w:r>
        <w:rPr>
          <w:rStyle w:val="normaltextrun"/>
          <w:color w:val="1F2C8F"/>
          <w:position w:val="-1"/>
          <w:shd w:val="clear" w:color="auto" w:fill="EDEBE9"/>
        </w:rPr>
        <w:t>Musbah</w:t>
      </w:r>
      <w:proofErr w:type="spellEnd"/>
      <w:r>
        <w:rPr>
          <w:rStyle w:val="normaltextrun"/>
          <w:color w:val="1F2C8F"/>
          <w:position w:val="-1"/>
          <w:shd w:val="clear" w:color="auto" w:fill="EDEBE9"/>
        </w:rPr>
        <w:t>:</w:t>
      </w:r>
      <w:r>
        <w:rPr>
          <w:rStyle w:val="normaltextrun"/>
          <w:color w:val="1F2C8F"/>
          <w:position w:val="-1"/>
          <w:shd w:val="clear" w:color="auto" w:fill="EDEBE9"/>
        </w:rPr>
        <w:t> 2021330071</w:t>
      </w:r>
      <w:r>
        <w:rPr>
          <w:rStyle w:val="scxp118721052"/>
          <w:color w:val="000000"/>
          <w:shd w:val="clear" w:color="auto" w:fill="EDEBE9"/>
        </w:rPr>
        <w:t>​</w:t>
      </w:r>
      <w:r>
        <w:rPr>
          <w:color w:val="000000"/>
          <w:shd w:val="clear" w:color="auto" w:fill="EDEBE9"/>
        </w:rPr>
        <w:br/>
      </w:r>
      <w:proofErr w:type="spellStart"/>
      <w:r>
        <w:rPr>
          <w:rStyle w:val="normaltextrun"/>
          <w:color w:val="1F2C8F"/>
          <w:position w:val="-1"/>
          <w:shd w:val="clear" w:color="auto" w:fill="EDEBE9"/>
        </w:rPr>
        <w:t>Semmie</w:t>
      </w:r>
      <w:proofErr w:type="spellEnd"/>
      <w:r>
        <w:rPr>
          <w:rStyle w:val="normaltextrun"/>
          <w:color w:val="1F2C8F"/>
          <w:position w:val="-1"/>
          <w:shd w:val="clear" w:color="auto" w:fill="EDEBE9"/>
        </w:rPr>
        <w:t> Adeniran </w:t>
      </w:r>
      <w:proofErr w:type="spellStart"/>
      <w:r>
        <w:rPr>
          <w:rStyle w:val="spellingerror"/>
          <w:color w:val="1F2C8F"/>
          <w:position w:val="-1"/>
          <w:shd w:val="clear" w:color="auto" w:fill="EDEBE9"/>
        </w:rPr>
        <w:t>Ogunwolu</w:t>
      </w:r>
      <w:proofErr w:type="spellEnd"/>
      <w:r>
        <w:rPr>
          <w:rStyle w:val="spellingerror"/>
          <w:color w:val="1F2C8F"/>
          <w:position w:val="-1"/>
          <w:shd w:val="clear" w:color="auto" w:fill="EDEBE9"/>
        </w:rPr>
        <w:t>:</w:t>
      </w:r>
      <w:r>
        <w:rPr>
          <w:rStyle w:val="normaltextrun"/>
          <w:color w:val="1F2C8F"/>
          <w:position w:val="-1"/>
          <w:shd w:val="clear" w:color="auto" w:fill="EDEBE9"/>
        </w:rPr>
        <w:t> 2130575</w:t>
      </w:r>
      <w:r>
        <w:rPr>
          <w:rStyle w:val="scxp118721052"/>
          <w:color w:val="000000"/>
          <w:shd w:val="clear" w:color="auto" w:fill="EDEBE9"/>
        </w:rPr>
        <w:t>​</w:t>
      </w:r>
      <w:r>
        <w:rPr>
          <w:color w:val="000000"/>
          <w:shd w:val="clear" w:color="auto" w:fill="EDEBE9"/>
        </w:rPr>
        <w:br/>
      </w:r>
      <w:proofErr w:type="spellStart"/>
      <w:r>
        <w:rPr>
          <w:rStyle w:val="spellingerror"/>
          <w:color w:val="1F2C8F"/>
          <w:position w:val="-1"/>
          <w:shd w:val="clear" w:color="auto" w:fill="EDEBE9"/>
        </w:rPr>
        <w:t>Micheal</w:t>
      </w:r>
      <w:proofErr w:type="spellEnd"/>
      <w:r>
        <w:rPr>
          <w:rStyle w:val="normaltextrun"/>
          <w:color w:val="1F2C8F"/>
          <w:position w:val="-1"/>
          <w:shd w:val="clear" w:color="auto" w:fill="EDEBE9"/>
        </w:rPr>
        <w:t> </w:t>
      </w:r>
      <w:proofErr w:type="spellStart"/>
      <w:r>
        <w:rPr>
          <w:rStyle w:val="normaltextrun"/>
          <w:color w:val="1F2C8F"/>
          <w:position w:val="-1"/>
          <w:shd w:val="clear" w:color="auto" w:fill="EDEBE9"/>
        </w:rPr>
        <w:t>Kisitu</w:t>
      </w:r>
      <w:proofErr w:type="spellEnd"/>
      <w:r>
        <w:rPr>
          <w:rStyle w:val="normaltextrun"/>
          <w:color w:val="1F2C8F"/>
          <w:position w:val="-1"/>
          <w:shd w:val="clear" w:color="auto" w:fill="EDEBE9"/>
        </w:rPr>
        <w:t> </w:t>
      </w:r>
      <w:r>
        <w:rPr>
          <w:rStyle w:val="normaltextrun"/>
          <w:color w:val="1F2C8F"/>
          <w:position w:val="-1"/>
          <w:shd w:val="clear" w:color="auto" w:fill="EDEBE9"/>
        </w:rPr>
        <w:t xml:space="preserve">: </w:t>
      </w:r>
      <w:r>
        <w:rPr>
          <w:rStyle w:val="normaltextrun"/>
          <w:color w:val="1F2C8F"/>
          <w:position w:val="-1"/>
          <w:shd w:val="clear" w:color="auto" w:fill="EDEBE9"/>
        </w:rPr>
        <w:t>2130580</w:t>
      </w:r>
      <w:r>
        <w:rPr>
          <w:rStyle w:val="eop"/>
          <w:color w:val="000000"/>
          <w:shd w:val="clear" w:color="auto" w:fill="EDEBE9"/>
        </w:rPr>
        <w:t>​</w:t>
      </w:r>
    </w:p>
    <w:p w14:paraId="3F64AFF8" w14:textId="77777777" w:rsidR="00E40E33" w:rsidRDefault="00E40E33" w:rsidP="003E3A84">
      <w:pPr>
        <w:pStyle w:val="paragraph"/>
        <w:spacing w:before="0" w:beforeAutospacing="0" w:after="0" w:afterAutospacing="0"/>
        <w:jc w:val="center"/>
        <w:textAlignment w:val="baseline"/>
        <w:rPr>
          <w:rFonts w:ascii="Segoe UI" w:hAnsi="Segoe UI" w:cs="Segoe UI"/>
          <w:sz w:val="18"/>
          <w:szCs w:val="18"/>
        </w:rPr>
      </w:pPr>
    </w:p>
    <w:p w14:paraId="15E7A56A"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069215A5"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316D83AF"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2A2CBDAF"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684C33E8"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44CD6890"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57FCB08F"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043F26DD"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1718C646"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0A353DC4"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0FC5B34C"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6A224918"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7FB7D983"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3488FD61"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261B7A55"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789960D1"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19CC575D"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6EE37F09"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5426FF92"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3F48CFE1"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48575F01"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0BA13288"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5162ED3D"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77CDB365"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19A96422"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68FA12C2"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2FC0C7C6"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13A4C71D"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03A287A8"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25C62A4B"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207824B2"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61C409FE"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42ADBCBF"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03767211" w14:textId="77777777" w:rsidR="003E3A84" w:rsidRDefault="003E3A84" w:rsidP="003B2888">
      <w:pPr>
        <w:pStyle w:val="paragraph"/>
        <w:spacing w:before="0" w:beforeAutospacing="0" w:after="0" w:afterAutospacing="0"/>
        <w:jc w:val="both"/>
        <w:textAlignment w:val="baseline"/>
        <w:rPr>
          <w:rStyle w:val="normaltextrun"/>
          <w:rFonts w:ascii="Arial" w:hAnsi="Arial" w:cs="Arial"/>
          <w:b/>
          <w:bCs/>
          <w:lang w:val="en-US"/>
        </w:rPr>
      </w:pPr>
    </w:p>
    <w:p w14:paraId="5002BDD3" w14:textId="1E2EC634" w:rsidR="003B2888" w:rsidRDefault="003B2888" w:rsidP="003B288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lang w:val="en-US"/>
        </w:rPr>
        <w:t>INTRODUCTION</w:t>
      </w:r>
      <w:r>
        <w:rPr>
          <w:rStyle w:val="eop"/>
          <w:rFonts w:ascii="Arial" w:hAnsi="Arial" w:cs="Arial"/>
        </w:rPr>
        <w:t> </w:t>
      </w:r>
    </w:p>
    <w:p w14:paraId="69BD476D" w14:textId="466DF170" w:rsidR="003B2888" w:rsidRPr="003E3A84" w:rsidRDefault="003B2888" w:rsidP="003B2888">
      <w:pPr>
        <w:pStyle w:val="paragraph"/>
        <w:spacing w:before="0" w:beforeAutospacing="0" w:after="0" w:afterAutospacing="0"/>
        <w:jc w:val="both"/>
        <w:textAlignment w:val="baseline"/>
        <w:rPr>
          <w:rStyle w:val="eop"/>
          <w:rFonts w:ascii="Arial" w:hAnsi="Arial" w:cs="Arial"/>
          <w:sz w:val="22"/>
          <w:szCs w:val="22"/>
        </w:rPr>
      </w:pPr>
      <w:r w:rsidRPr="003E3A84">
        <w:rPr>
          <w:rStyle w:val="normaltextrun"/>
          <w:rFonts w:ascii="Arial" w:hAnsi="Arial" w:cs="Arial"/>
          <w:sz w:val="22"/>
          <w:szCs w:val="22"/>
          <w:lang w:val="en-US"/>
        </w:rPr>
        <w:t xml:space="preserve">Varicella zoster virus (VZV) is the virus that origins chickenpox, which is extremely contagious. </w:t>
      </w:r>
      <w:r w:rsidRPr="003E3A84">
        <w:rPr>
          <w:rStyle w:val="contentcontrolboundarysink"/>
          <w:rFonts w:ascii="Arial" w:hAnsi="Arial" w:cs="Arial"/>
          <w:sz w:val="22"/>
          <w:szCs w:val="22"/>
          <w:lang w:val="en-US"/>
        </w:rPr>
        <w:t>​</w:t>
      </w:r>
      <w:r w:rsidRPr="003E3A84">
        <w:rPr>
          <w:rStyle w:val="normaltextrun"/>
          <w:rFonts w:ascii="Arial" w:hAnsi="Arial" w:cs="Arial"/>
          <w:color w:val="000000"/>
          <w:sz w:val="22"/>
          <w:szCs w:val="22"/>
          <w:shd w:val="clear" w:color="auto" w:fill="E1E3E6"/>
          <w:lang w:val="en-US"/>
        </w:rPr>
        <w:t>( Zhang, et al., 2020)</w:t>
      </w:r>
      <w:r w:rsidRPr="003E3A84">
        <w:rPr>
          <w:rStyle w:val="contentcontrolboundarysink"/>
          <w:rFonts w:ascii="Arial" w:hAnsi="Arial" w:cs="Arial"/>
          <w:sz w:val="22"/>
          <w:szCs w:val="22"/>
          <w:lang w:val="en-US"/>
        </w:rPr>
        <w:t>​</w:t>
      </w:r>
      <w:r w:rsidRPr="003E3A84">
        <w:rPr>
          <w:rStyle w:val="normaltextrun"/>
          <w:rFonts w:ascii="Arial" w:hAnsi="Arial" w:cs="Arial"/>
          <w:sz w:val="22"/>
          <w:szCs w:val="22"/>
          <w:lang w:val="en-US"/>
        </w:rPr>
        <w:t xml:space="preserve"> After somebody who has never had chickenpox is exposed to someone who has the disease, symptoms start to show 10–21 days later. People remain contagious from the day before the rash appears until the spots have crusted over the day before the rash appears until the patches have crusted over, people remain contagious. A high temperature is frequently the first symptom, which normally passes over the following few days. The characteristic chickenpox rash starts to show up around 1 day after the sickness starts. Over the following days, the rash develops in "crops" of new spots, and after five days, the majority of people cease developing new patches and the fever has subsided. If it is caught in the latter stages of pregnancy, it is particularly risky and might even be deadly. Children and adults with compromised immune systems, cancer patients, and anyone with other diseases for which immune-suppressing medications are prescribed may also be at risk for dying from the disease (for example, steroids).</w:t>
      </w:r>
      <w:r w:rsidRPr="003E3A84">
        <w:rPr>
          <w:rStyle w:val="contentcontrolboundarysink"/>
          <w:rFonts w:ascii="Arial" w:hAnsi="Arial" w:cs="Arial"/>
          <w:sz w:val="22"/>
          <w:szCs w:val="22"/>
          <w:lang w:val="en-US"/>
        </w:rPr>
        <w:t>​</w:t>
      </w:r>
      <w:r w:rsidRPr="003E3A84">
        <w:rPr>
          <w:rStyle w:val="normaltextrun"/>
          <w:rFonts w:ascii="Arial" w:hAnsi="Arial" w:cs="Arial"/>
          <w:color w:val="000000"/>
          <w:sz w:val="22"/>
          <w:szCs w:val="22"/>
          <w:shd w:val="clear" w:color="auto" w:fill="E1E3E6"/>
          <w:lang w:val="en-US"/>
        </w:rPr>
        <w:t xml:space="preserve"> ( Pollard, 2016)</w:t>
      </w:r>
      <w:r w:rsidRPr="003E3A84">
        <w:rPr>
          <w:rStyle w:val="contentcontrolboundarysink"/>
          <w:rFonts w:ascii="Arial" w:hAnsi="Arial" w:cs="Arial"/>
          <w:sz w:val="22"/>
          <w:szCs w:val="22"/>
          <w:lang w:val="en-US"/>
        </w:rPr>
        <w:t>​</w:t>
      </w:r>
      <w:r w:rsidRPr="003E3A84">
        <w:rPr>
          <w:rStyle w:val="normaltextrun"/>
          <w:rFonts w:ascii="Arial" w:hAnsi="Arial" w:cs="Arial"/>
          <w:sz w:val="22"/>
          <w:szCs w:val="22"/>
          <w:lang w:val="en-US"/>
        </w:rPr>
        <w:t> </w:t>
      </w:r>
      <w:r w:rsidRPr="003E3A84">
        <w:rPr>
          <w:rStyle w:val="eop"/>
          <w:rFonts w:ascii="Arial" w:hAnsi="Arial" w:cs="Arial"/>
          <w:sz w:val="22"/>
          <w:szCs w:val="22"/>
        </w:rPr>
        <w:t> </w:t>
      </w:r>
    </w:p>
    <w:p w14:paraId="02D4257D" w14:textId="1FAEF10C" w:rsidR="003B2888" w:rsidRPr="003E3A84" w:rsidRDefault="003B2888" w:rsidP="003B2888">
      <w:pPr>
        <w:pStyle w:val="paragraph"/>
        <w:spacing w:before="0" w:beforeAutospacing="0" w:after="0" w:afterAutospacing="0"/>
        <w:jc w:val="both"/>
        <w:textAlignment w:val="baseline"/>
        <w:rPr>
          <w:rStyle w:val="eop"/>
          <w:rFonts w:ascii="Arial" w:hAnsi="Arial" w:cs="Arial"/>
          <w:sz w:val="22"/>
          <w:szCs w:val="22"/>
        </w:rPr>
      </w:pPr>
    </w:p>
    <w:p w14:paraId="15621B87" w14:textId="52FDB131" w:rsidR="003B2888" w:rsidRPr="003E3A84" w:rsidRDefault="003B2888" w:rsidP="003B2888">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r w:rsidRPr="003E3A84">
        <w:rPr>
          <w:rStyle w:val="normaltextrun"/>
          <w:rFonts w:ascii="Arial" w:hAnsi="Arial" w:cs="Arial"/>
          <w:color w:val="000000"/>
          <w:sz w:val="22"/>
          <w:szCs w:val="22"/>
          <w:shd w:val="clear" w:color="auto" w:fill="FFFFFF"/>
          <w:lang w:val="en-US"/>
        </w:rPr>
        <w:t>The regimen childhood vaccination schedule does not include the chickenpox vaccine. Only those in direct contact with an individual who is particularly susceptible to chickenpox or even its complications are currently eligible for it through the NHS. There are currently 2 vaccines for chickenpox.</w:t>
      </w:r>
      <w:r w:rsidRPr="003E3A84">
        <w:rPr>
          <w:rStyle w:val="contentcontrolboundarysink"/>
          <w:rFonts w:ascii="Arial" w:hAnsi="Arial" w:cs="Arial"/>
          <w:color w:val="000000"/>
          <w:sz w:val="22"/>
          <w:szCs w:val="22"/>
          <w:shd w:val="clear" w:color="auto" w:fill="FFFFFF"/>
          <w:lang w:val="en-US"/>
        </w:rPr>
        <w:t>​</w:t>
      </w:r>
      <w:r w:rsidRPr="003E3A84">
        <w:rPr>
          <w:rStyle w:val="normaltextrun"/>
          <w:rFonts w:ascii="Arial" w:hAnsi="Arial" w:cs="Arial"/>
          <w:color w:val="000000"/>
          <w:sz w:val="22"/>
          <w:szCs w:val="22"/>
          <w:shd w:val="clear" w:color="auto" w:fill="E1E3E6"/>
          <w:lang w:val="en-US"/>
        </w:rPr>
        <w:t xml:space="preserve"> (NHS, 2021)</w:t>
      </w:r>
      <w:r w:rsidRPr="003E3A84">
        <w:rPr>
          <w:rStyle w:val="contentcontrolboundarysink"/>
          <w:rFonts w:ascii="Arial" w:hAnsi="Arial" w:cs="Arial"/>
          <w:color w:val="000000"/>
          <w:sz w:val="22"/>
          <w:szCs w:val="22"/>
          <w:shd w:val="clear" w:color="auto" w:fill="FFFFFF"/>
          <w:lang w:val="en-US"/>
        </w:rPr>
        <w:t>​</w:t>
      </w:r>
      <w:r w:rsidRPr="003E3A84">
        <w:rPr>
          <w:rStyle w:val="normaltextrun"/>
          <w:rFonts w:ascii="Arial" w:hAnsi="Arial" w:cs="Arial"/>
          <w:color w:val="000000"/>
          <w:sz w:val="22"/>
          <w:szCs w:val="22"/>
          <w:shd w:val="clear" w:color="auto" w:fill="FFFFFF"/>
          <w:lang w:val="en-US"/>
        </w:rPr>
        <w:t xml:space="preserve"> Since the commencement of 2022, more chickenpox and scarlet fever epidemics involving nurseries and elementary schools have been reported on </w:t>
      </w:r>
      <w:proofErr w:type="spellStart"/>
      <w:r w:rsidRPr="003E3A84">
        <w:rPr>
          <w:rStyle w:val="normaltextrun"/>
          <w:rFonts w:ascii="Arial" w:hAnsi="Arial" w:cs="Arial"/>
          <w:color w:val="000000"/>
          <w:sz w:val="22"/>
          <w:szCs w:val="22"/>
          <w:shd w:val="clear" w:color="auto" w:fill="FFFFFF"/>
          <w:lang w:val="en-US"/>
        </w:rPr>
        <w:t>HPZone</w:t>
      </w:r>
      <w:proofErr w:type="spellEnd"/>
      <w:r w:rsidRPr="003E3A84">
        <w:rPr>
          <w:rStyle w:val="normaltextrun"/>
          <w:rFonts w:ascii="Arial" w:hAnsi="Arial" w:cs="Arial"/>
          <w:color w:val="000000"/>
          <w:sz w:val="22"/>
          <w:szCs w:val="22"/>
          <w:shd w:val="clear" w:color="auto" w:fill="FFFFFF"/>
          <w:lang w:val="en-US"/>
        </w:rPr>
        <w:t>, some of which have both infections co-circulating.</w:t>
      </w:r>
      <w:r w:rsidRPr="003E3A84">
        <w:rPr>
          <w:rStyle w:val="contentcontrolboundarysink"/>
          <w:rFonts w:ascii="Arial" w:hAnsi="Arial" w:cs="Arial"/>
          <w:color w:val="000000"/>
          <w:sz w:val="22"/>
          <w:szCs w:val="22"/>
          <w:shd w:val="clear" w:color="auto" w:fill="FFFFFF"/>
          <w:lang w:val="en-US"/>
        </w:rPr>
        <w:t>​</w:t>
      </w:r>
      <w:r w:rsidRPr="003E3A84">
        <w:rPr>
          <w:rStyle w:val="normaltextrun"/>
          <w:rFonts w:ascii="Arial" w:hAnsi="Arial" w:cs="Arial"/>
          <w:color w:val="000000"/>
          <w:sz w:val="22"/>
          <w:szCs w:val="22"/>
          <w:shd w:val="clear" w:color="auto" w:fill="E1E3E6"/>
          <w:lang w:val="en-US"/>
        </w:rPr>
        <w:t xml:space="preserve"> (Agency, 2022)</w:t>
      </w:r>
      <w:r w:rsidRPr="003E3A84">
        <w:rPr>
          <w:rStyle w:val="contentcontrolboundarysink"/>
          <w:rFonts w:ascii="Arial" w:hAnsi="Arial" w:cs="Arial"/>
          <w:color w:val="000000"/>
          <w:sz w:val="22"/>
          <w:szCs w:val="22"/>
          <w:shd w:val="clear" w:color="auto" w:fill="FFFFFF"/>
          <w:lang w:val="en-US"/>
        </w:rPr>
        <w:t>​</w:t>
      </w:r>
      <w:r w:rsidRPr="003E3A84">
        <w:rPr>
          <w:rStyle w:val="eop"/>
          <w:rFonts w:ascii="Arial" w:hAnsi="Arial" w:cs="Arial"/>
          <w:color w:val="000000"/>
          <w:sz w:val="22"/>
          <w:szCs w:val="22"/>
          <w:shd w:val="clear" w:color="auto" w:fill="FFFFFF"/>
        </w:rPr>
        <w:t> </w:t>
      </w:r>
    </w:p>
    <w:p w14:paraId="6983944B" w14:textId="77DCE5DF" w:rsidR="003B2888" w:rsidRPr="003E3A84" w:rsidRDefault="003B2888" w:rsidP="003B2888">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p>
    <w:p w14:paraId="30BF4069" w14:textId="77777777" w:rsidR="003E3A84" w:rsidRDefault="003B2888" w:rsidP="003B2888">
      <w:pPr>
        <w:pStyle w:val="paragraph"/>
        <w:spacing w:before="0" w:beforeAutospacing="0" w:after="0" w:afterAutospacing="0"/>
        <w:jc w:val="both"/>
        <w:textAlignment w:val="baseline"/>
        <w:rPr>
          <w:rStyle w:val="normaltextrun"/>
          <w:rFonts w:ascii="Arial" w:hAnsi="Arial" w:cs="Arial"/>
          <w:b/>
          <w:bCs/>
          <w:color w:val="000000"/>
          <w:sz w:val="22"/>
          <w:szCs w:val="22"/>
          <w:shd w:val="clear" w:color="auto" w:fill="FFFFFF"/>
          <w:lang w:val="en-US"/>
        </w:rPr>
      </w:pPr>
      <w:r w:rsidRPr="003E3A84">
        <w:rPr>
          <w:rStyle w:val="normaltextrun"/>
          <w:rFonts w:ascii="Arial" w:hAnsi="Arial" w:cs="Arial"/>
          <w:b/>
          <w:bCs/>
          <w:color w:val="000000"/>
          <w:sz w:val="22"/>
          <w:szCs w:val="22"/>
          <w:shd w:val="clear" w:color="auto" w:fill="FFFFFF"/>
          <w:lang w:val="en-US"/>
        </w:rPr>
        <w:t>APPROACHES</w:t>
      </w:r>
      <w:r w:rsidR="003E3A84">
        <w:rPr>
          <w:rStyle w:val="normaltextrun"/>
          <w:rFonts w:ascii="Arial" w:hAnsi="Arial" w:cs="Arial"/>
          <w:b/>
          <w:bCs/>
          <w:color w:val="000000"/>
          <w:sz w:val="22"/>
          <w:szCs w:val="22"/>
          <w:shd w:val="clear" w:color="auto" w:fill="FFFFFF"/>
          <w:lang w:val="en-US"/>
        </w:rPr>
        <w:t xml:space="preserve"> </w:t>
      </w:r>
      <w:r w:rsidRPr="003E3A84">
        <w:rPr>
          <w:rStyle w:val="normaltextrun"/>
          <w:rFonts w:ascii="Arial" w:hAnsi="Arial" w:cs="Arial"/>
          <w:b/>
          <w:bCs/>
          <w:color w:val="000000"/>
          <w:sz w:val="22"/>
          <w:szCs w:val="22"/>
          <w:shd w:val="clear" w:color="auto" w:fill="FFFFFF"/>
          <w:lang w:val="en-US"/>
        </w:rPr>
        <w:t>TO</w:t>
      </w:r>
    </w:p>
    <w:p w14:paraId="706B9A0A" w14:textId="5D5C15DA" w:rsidR="003B2888" w:rsidRPr="003E3A84" w:rsidRDefault="003B2888" w:rsidP="003B2888">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r w:rsidRPr="003E3A84">
        <w:rPr>
          <w:rStyle w:val="normaltextrun"/>
          <w:rFonts w:ascii="Arial" w:hAnsi="Arial" w:cs="Arial"/>
          <w:b/>
          <w:bCs/>
          <w:color w:val="000000"/>
          <w:sz w:val="22"/>
          <w:szCs w:val="22"/>
          <w:shd w:val="clear" w:color="auto" w:fill="FFFFFF"/>
          <w:lang w:val="en-US"/>
        </w:rPr>
        <w:t>MEASURE, MONITOR AND CONTROL THE CHICKENPOX OUTBREAK</w:t>
      </w:r>
      <w:r w:rsidRPr="003E3A84">
        <w:rPr>
          <w:rStyle w:val="eop"/>
          <w:rFonts w:ascii="Arial" w:hAnsi="Arial" w:cs="Arial"/>
          <w:color w:val="000000"/>
          <w:sz w:val="22"/>
          <w:szCs w:val="22"/>
          <w:shd w:val="clear" w:color="auto" w:fill="FFFFFF"/>
        </w:rPr>
        <w:t> </w:t>
      </w:r>
    </w:p>
    <w:p w14:paraId="59979755" w14:textId="3416CB6B" w:rsidR="003B2888" w:rsidRPr="003E3A84" w:rsidRDefault="003B2888" w:rsidP="003B2888">
      <w:pPr>
        <w:pStyle w:val="paragraph"/>
        <w:spacing w:before="0" w:beforeAutospacing="0" w:after="0" w:afterAutospacing="0"/>
        <w:jc w:val="both"/>
        <w:textAlignment w:val="baseline"/>
        <w:rPr>
          <w:rFonts w:ascii="Arial" w:hAnsi="Arial" w:cs="Arial"/>
          <w:sz w:val="22"/>
          <w:szCs w:val="22"/>
        </w:rPr>
      </w:pPr>
      <w:r w:rsidRPr="003E3A84">
        <w:rPr>
          <w:rStyle w:val="normaltextrun"/>
          <w:rFonts w:ascii="Arial" w:hAnsi="Arial" w:cs="Arial"/>
          <w:sz w:val="22"/>
          <w:szCs w:val="22"/>
          <w:lang w:val="en-US"/>
        </w:rPr>
        <w:t>The NHS in the UK employs three strategies to gauge, track and manage the prevalence of chickenpox during the pandemic.</w:t>
      </w:r>
      <w:r w:rsidRPr="003E3A84">
        <w:rPr>
          <w:rStyle w:val="eop"/>
          <w:rFonts w:ascii="Arial" w:hAnsi="Arial" w:cs="Arial"/>
          <w:sz w:val="22"/>
          <w:szCs w:val="22"/>
        </w:rPr>
        <w:t> </w:t>
      </w:r>
    </w:p>
    <w:p w14:paraId="27958BF2" w14:textId="77777777" w:rsidR="003B2888" w:rsidRDefault="003B2888" w:rsidP="003B2888">
      <w:pPr>
        <w:pStyle w:val="paragraph"/>
        <w:numPr>
          <w:ilvl w:val="0"/>
          <w:numId w:val="1"/>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en-US"/>
        </w:rPr>
        <w:t>Epidemiology and data collection</w:t>
      </w:r>
      <w:r>
        <w:rPr>
          <w:rStyle w:val="eop"/>
          <w:rFonts w:ascii="Arial" w:hAnsi="Arial" w:cs="Arial"/>
          <w:sz w:val="22"/>
          <w:szCs w:val="22"/>
        </w:rPr>
        <w:t> </w:t>
      </w:r>
    </w:p>
    <w:p w14:paraId="2F268441" w14:textId="77777777" w:rsidR="003B2888" w:rsidRDefault="003B2888" w:rsidP="003B2888">
      <w:pPr>
        <w:pStyle w:val="paragraph"/>
        <w:numPr>
          <w:ilvl w:val="0"/>
          <w:numId w:val="1"/>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en-US"/>
        </w:rPr>
        <w:t>Clinical management</w:t>
      </w:r>
      <w:r>
        <w:rPr>
          <w:rStyle w:val="eop"/>
          <w:rFonts w:ascii="Arial" w:hAnsi="Arial" w:cs="Arial"/>
          <w:sz w:val="22"/>
          <w:szCs w:val="22"/>
        </w:rPr>
        <w:t> </w:t>
      </w:r>
    </w:p>
    <w:p w14:paraId="73AC7412" w14:textId="77777777" w:rsidR="003B2888" w:rsidRDefault="003B2888" w:rsidP="003B2888">
      <w:pPr>
        <w:pStyle w:val="paragraph"/>
        <w:numPr>
          <w:ilvl w:val="0"/>
          <w:numId w:val="1"/>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en-US"/>
        </w:rPr>
        <w:t>Vaccination</w:t>
      </w:r>
      <w:r>
        <w:rPr>
          <w:rStyle w:val="eop"/>
          <w:rFonts w:ascii="Arial" w:hAnsi="Arial" w:cs="Arial"/>
          <w:sz w:val="22"/>
          <w:szCs w:val="22"/>
        </w:rPr>
        <w:t> </w:t>
      </w:r>
    </w:p>
    <w:p w14:paraId="464C0CF8" w14:textId="40F70790" w:rsidR="003B2888" w:rsidRDefault="003B2888" w:rsidP="003B2888">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rPr>
        <w:t>Data on hospitalizations at National Health Service (NHS) facilities were extracted, and admissions for varicella were located. Between 2004 and 2017, 38% of hospitalizations for varicella were linked to a recognized complication of chickenpox. Over time, both the frequency of hospitalizations for varicella and the percentage of patients with complex varicella rose. Herpes zoster vaccination programs have now been created in the UK and abroad, which may</w:t>
      </w:r>
      <w:r w:rsidR="008C5E36">
        <w:rPr>
          <w:rStyle w:val="normaltextrun"/>
          <w:rFonts w:ascii="Arial" w:hAnsi="Arial" w:cs="Arial"/>
          <w:color w:val="000000"/>
          <w:sz w:val="22"/>
          <w:szCs w:val="22"/>
          <w:shd w:val="clear" w:color="auto" w:fill="FFFFFF"/>
        </w:rPr>
        <w:t xml:space="preserve"> </w:t>
      </w:r>
      <w:r w:rsidR="008C5E36">
        <w:rPr>
          <w:rStyle w:val="normaltextrun"/>
          <w:rFonts w:ascii="Arial" w:hAnsi="Arial" w:cs="Arial"/>
          <w:color w:val="000000"/>
          <w:sz w:val="22"/>
          <w:szCs w:val="22"/>
          <w:shd w:val="clear" w:color="auto" w:fill="FFFFFF"/>
          <w:lang w:val="en-US"/>
        </w:rPr>
        <w:t>guard certain elder persons. Herpes zoster rates after the establishment of varicella immunization programs do not give the idea to have risen in most epidemiological revisions. The argument supporting the adoption of a worldwide varicella immunization program is strengthened by studies that demonstrate the significant health and financial costs of severe complex varicella</w:t>
      </w:r>
      <w:r w:rsidR="008C5E36">
        <w:rPr>
          <w:rStyle w:val="normaltextrun"/>
          <w:rFonts w:ascii="Calibri" w:hAnsi="Calibri" w:cs="Calibri"/>
          <w:color w:val="000000"/>
          <w:sz w:val="22"/>
          <w:szCs w:val="22"/>
          <w:shd w:val="clear" w:color="auto" w:fill="FFFFFF"/>
          <w:lang w:val="en-US"/>
        </w:rPr>
        <w:t xml:space="preserve"> </w:t>
      </w:r>
      <w:r w:rsidR="008C5E36">
        <w:rPr>
          <w:rStyle w:val="normaltextrun"/>
          <w:rFonts w:ascii="Arial" w:hAnsi="Arial" w:cs="Arial"/>
          <w:color w:val="000000"/>
          <w:sz w:val="22"/>
          <w:szCs w:val="22"/>
          <w:shd w:val="clear" w:color="auto" w:fill="FFFFFF"/>
          <w:lang w:val="en-US"/>
        </w:rPr>
        <w:t xml:space="preserve">British Joint Committee of Vaccines &amp; Immunizations (JCVI), the UK's universal immunization technical advisory group, has recognized the burden of complex varicella as a crucial factor that could influence the determination of whether vaccination is deemed cost-effective. </w:t>
      </w:r>
      <w:r w:rsidR="008C5E36">
        <w:rPr>
          <w:rStyle w:val="contentcontrolboundarysink"/>
          <w:rFonts w:ascii="Calibri" w:hAnsi="Calibri" w:cs="Calibri"/>
          <w:color w:val="000000"/>
          <w:sz w:val="22"/>
          <w:szCs w:val="22"/>
          <w:shd w:val="clear" w:color="auto" w:fill="FFFFFF"/>
          <w:lang w:val="en-US"/>
        </w:rPr>
        <w:t>​</w:t>
      </w:r>
      <w:r w:rsidR="008C5E36">
        <w:rPr>
          <w:rStyle w:val="normaltextrun"/>
          <w:rFonts w:ascii="Arial" w:hAnsi="Arial" w:cs="Arial"/>
          <w:color w:val="000000"/>
          <w:sz w:val="22"/>
          <w:szCs w:val="22"/>
          <w:shd w:val="clear" w:color="auto" w:fill="E1E3E6"/>
          <w:lang w:val="en-US"/>
        </w:rPr>
        <w:t xml:space="preserve"> (Bernal, </w:t>
      </w:r>
      <w:proofErr w:type="spellStart"/>
      <w:r w:rsidR="008C5E36">
        <w:rPr>
          <w:rStyle w:val="normaltextrun"/>
          <w:rFonts w:ascii="Arial" w:hAnsi="Arial" w:cs="Arial"/>
          <w:color w:val="000000"/>
          <w:sz w:val="22"/>
          <w:szCs w:val="22"/>
          <w:shd w:val="clear" w:color="auto" w:fill="E1E3E6"/>
          <w:lang w:val="en-US"/>
        </w:rPr>
        <w:t>Hobbelen</w:t>
      </w:r>
      <w:proofErr w:type="spellEnd"/>
      <w:r w:rsidR="008C5E36">
        <w:rPr>
          <w:rStyle w:val="normaltextrun"/>
          <w:rFonts w:ascii="Arial" w:hAnsi="Arial" w:cs="Arial"/>
          <w:color w:val="000000"/>
          <w:sz w:val="22"/>
          <w:szCs w:val="22"/>
          <w:shd w:val="clear" w:color="auto" w:fill="E1E3E6"/>
          <w:lang w:val="en-US"/>
        </w:rPr>
        <w:t>, &amp; Amirthalingam, 2019)</w:t>
      </w:r>
      <w:r w:rsidR="008C5E36">
        <w:rPr>
          <w:rStyle w:val="contentcontrolboundarysink"/>
          <w:rFonts w:ascii="Calibri" w:hAnsi="Calibri" w:cs="Calibri"/>
          <w:color w:val="000000"/>
          <w:sz w:val="22"/>
          <w:szCs w:val="22"/>
          <w:shd w:val="clear" w:color="auto" w:fill="FFFFFF"/>
          <w:lang w:val="en-US"/>
        </w:rPr>
        <w:t>​</w:t>
      </w:r>
      <w:r w:rsidR="008C5E36">
        <w:rPr>
          <w:rStyle w:val="normaltextrun"/>
          <w:rFonts w:ascii="Arial" w:hAnsi="Arial" w:cs="Arial"/>
          <w:color w:val="000000"/>
          <w:sz w:val="22"/>
          <w:szCs w:val="22"/>
          <w:shd w:val="clear" w:color="auto" w:fill="FFFFFF"/>
          <w:lang w:val="en-US"/>
        </w:rPr>
        <w:t xml:space="preserve"> Despite the prevalence of varicella, the United Kingdom (UK) does not have a program for a universal varicella vaccine (UVV) due to worries that it would raise the incidence of herpes zoster (HZ). It has been shown that a 2-dose UVV regimen is more affordable than getting no immunization. GSK VCV might be more cost-effective than MSD VCV while also being more affordable.</w:t>
      </w:r>
      <w:r w:rsidR="008C5E36">
        <w:rPr>
          <w:rStyle w:val="contentcontrolboundarysink"/>
          <w:rFonts w:ascii="Calibri" w:hAnsi="Calibri" w:cs="Calibri"/>
          <w:color w:val="000000"/>
          <w:sz w:val="22"/>
          <w:szCs w:val="22"/>
          <w:shd w:val="clear" w:color="auto" w:fill="FFFFFF"/>
          <w:lang w:val="en-US"/>
        </w:rPr>
        <w:t>​</w:t>
      </w:r>
      <w:r w:rsidR="008C5E36">
        <w:rPr>
          <w:rStyle w:val="normaltextrun"/>
          <w:rFonts w:ascii="Arial" w:hAnsi="Arial" w:cs="Arial"/>
          <w:color w:val="000000"/>
          <w:sz w:val="22"/>
          <w:szCs w:val="22"/>
          <w:shd w:val="clear" w:color="auto" w:fill="E1E3E6"/>
          <w:lang w:val="en-US"/>
        </w:rPr>
        <w:t xml:space="preserve"> ( </w:t>
      </w:r>
      <w:proofErr w:type="spellStart"/>
      <w:r w:rsidR="008C5E36">
        <w:rPr>
          <w:rStyle w:val="normaltextrun"/>
          <w:rFonts w:ascii="Arial" w:hAnsi="Arial" w:cs="Arial"/>
          <w:color w:val="000000"/>
          <w:sz w:val="22"/>
          <w:szCs w:val="22"/>
          <w:shd w:val="clear" w:color="auto" w:fill="E1E3E6"/>
          <w:lang w:val="en-US"/>
        </w:rPr>
        <w:t>Akpo</w:t>
      </w:r>
      <w:proofErr w:type="spellEnd"/>
      <w:r w:rsidR="008C5E36">
        <w:rPr>
          <w:rStyle w:val="normaltextrun"/>
          <w:rFonts w:ascii="Arial" w:hAnsi="Arial" w:cs="Arial"/>
          <w:color w:val="000000"/>
          <w:sz w:val="22"/>
          <w:szCs w:val="22"/>
          <w:shd w:val="clear" w:color="auto" w:fill="E1E3E6"/>
          <w:lang w:val="en-US"/>
        </w:rPr>
        <w:t xml:space="preserve">, </w:t>
      </w:r>
      <w:proofErr w:type="spellStart"/>
      <w:r w:rsidR="008C5E36">
        <w:rPr>
          <w:rStyle w:val="normaltextrun"/>
          <w:rFonts w:ascii="Arial" w:hAnsi="Arial" w:cs="Arial"/>
          <w:color w:val="000000"/>
          <w:sz w:val="22"/>
          <w:szCs w:val="22"/>
          <w:shd w:val="clear" w:color="auto" w:fill="E1E3E6"/>
          <w:lang w:val="en-US"/>
        </w:rPr>
        <w:t>Cristeau</w:t>
      </w:r>
      <w:proofErr w:type="spellEnd"/>
      <w:r w:rsidR="008C5E36">
        <w:rPr>
          <w:rStyle w:val="normaltextrun"/>
          <w:rFonts w:ascii="Arial" w:hAnsi="Arial" w:cs="Arial"/>
          <w:color w:val="000000"/>
          <w:sz w:val="22"/>
          <w:szCs w:val="22"/>
          <w:shd w:val="clear" w:color="auto" w:fill="E1E3E6"/>
          <w:lang w:val="en-US"/>
        </w:rPr>
        <w:t xml:space="preserve">, </w:t>
      </w:r>
      <w:proofErr w:type="spellStart"/>
      <w:r w:rsidR="008C5E36">
        <w:rPr>
          <w:rStyle w:val="normaltextrun"/>
          <w:rFonts w:ascii="Arial" w:hAnsi="Arial" w:cs="Arial"/>
          <w:color w:val="000000"/>
          <w:sz w:val="22"/>
          <w:szCs w:val="22"/>
          <w:shd w:val="clear" w:color="auto" w:fill="E1E3E6"/>
          <w:lang w:val="en-US"/>
        </w:rPr>
        <w:t>Hunjan</w:t>
      </w:r>
      <w:proofErr w:type="spellEnd"/>
      <w:r w:rsidR="008C5E36">
        <w:rPr>
          <w:rStyle w:val="normaltextrun"/>
          <w:rFonts w:ascii="Arial" w:hAnsi="Arial" w:cs="Arial"/>
          <w:color w:val="000000"/>
          <w:sz w:val="22"/>
          <w:szCs w:val="22"/>
          <w:shd w:val="clear" w:color="auto" w:fill="E1E3E6"/>
          <w:lang w:val="en-US"/>
        </w:rPr>
        <w:t xml:space="preserve">, &amp; </w:t>
      </w:r>
      <w:proofErr w:type="spellStart"/>
      <w:r w:rsidR="008C5E36">
        <w:rPr>
          <w:rStyle w:val="normaltextrun"/>
          <w:rFonts w:ascii="Arial" w:hAnsi="Arial" w:cs="Arial"/>
          <w:color w:val="000000"/>
          <w:sz w:val="22"/>
          <w:szCs w:val="22"/>
          <w:shd w:val="clear" w:color="auto" w:fill="E1E3E6"/>
          <w:lang w:val="en-US"/>
        </w:rPr>
        <w:t>Casabona</w:t>
      </w:r>
      <w:proofErr w:type="spellEnd"/>
      <w:r w:rsidR="008C5E36">
        <w:rPr>
          <w:rStyle w:val="normaltextrun"/>
          <w:rFonts w:ascii="Arial" w:hAnsi="Arial" w:cs="Arial"/>
          <w:color w:val="000000"/>
          <w:sz w:val="22"/>
          <w:szCs w:val="22"/>
          <w:shd w:val="clear" w:color="auto" w:fill="E1E3E6"/>
          <w:lang w:val="en-US"/>
        </w:rPr>
        <w:t>, 2021)</w:t>
      </w:r>
      <w:r w:rsidR="008C5E36">
        <w:rPr>
          <w:rStyle w:val="contentcontrolboundarysink"/>
          <w:rFonts w:ascii="Calibri" w:hAnsi="Calibri" w:cs="Calibri"/>
          <w:color w:val="000000"/>
          <w:sz w:val="22"/>
          <w:szCs w:val="22"/>
          <w:shd w:val="clear" w:color="auto" w:fill="FFFFFF"/>
          <w:lang w:val="en-US"/>
        </w:rPr>
        <w:t>​</w:t>
      </w:r>
      <w:r w:rsidR="008C5E36">
        <w:rPr>
          <w:rStyle w:val="eop"/>
          <w:rFonts w:ascii="Arial" w:hAnsi="Arial" w:cs="Arial"/>
          <w:color w:val="000000"/>
          <w:sz w:val="22"/>
          <w:szCs w:val="22"/>
          <w:shd w:val="clear" w:color="auto" w:fill="FFFFFF"/>
        </w:rPr>
        <w:t>.</w:t>
      </w:r>
    </w:p>
    <w:p w14:paraId="5FE9F8ED" w14:textId="2DFF7F3B" w:rsidR="008C5E36" w:rsidRDefault="008C5E36" w:rsidP="003B2888">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p>
    <w:p w14:paraId="0BEEE0A1" w14:textId="3BD05260" w:rsidR="008C5E36" w:rsidRDefault="008C5E36" w:rsidP="008C5E36">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lang w:val="en-US"/>
        </w:rPr>
        <w:t xml:space="preserve">The typical course of chickenpox in those who have received the vaccine is milder and shorter. Low temperature and a lesser rash that frequently doesn't turn into blisters are possible symptoms. Those who run the risk of contracting a serious illness from chickenpox may be given antiviral drugs or a varicella-zoster immune globulin injection. In addition to receiving a vaccination, maintaining excellent cleanliness and minimizing contact with those who already </w:t>
      </w:r>
      <w:r>
        <w:rPr>
          <w:rStyle w:val="normaltextrun"/>
          <w:rFonts w:ascii="Arial" w:hAnsi="Arial" w:cs="Arial"/>
          <w:sz w:val="22"/>
          <w:szCs w:val="22"/>
          <w:lang w:val="en-US"/>
        </w:rPr>
        <w:lastRenderedPageBreak/>
        <w:t>have the illness can aid in the prevention of chickenpox. Rarely, vaccination-related symptoms in vaccinated persons can resemble those in vaccinated people. Scientific proof of cost efficiency is necessary before vaccination is approved for inclusion in the UK regular schedule. This cost-effectiveness must be based on an effective evaluation of the disease burden.</w:t>
      </w:r>
      <w:r>
        <w:rPr>
          <w:rStyle w:val="eop"/>
          <w:rFonts w:ascii="Arial" w:hAnsi="Arial" w:cs="Arial"/>
          <w:sz w:val="22"/>
          <w:szCs w:val="22"/>
        </w:rPr>
        <w:t> </w:t>
      </w:r>
    </w:p>
    <w:p w14:paraId="41F500CB" w14:textId="77777777" w:rsidR="008C5E36" w:rsidRDefault="008C5E36" w:rsidP="008C5E36">
      <w:pPr>
        <w:pStyle w:val="paragraph"/>
        <w:spacing w:before="0" w:beforeAutospacing="0" w:after="0" w:afterAutospacing="0"/>
        <w:jc w:val="both"/>
        <w:textAlignment w:val="baseline"/>
        <w:rPr>
          <w:rFonts w:ascii="Segoe UI" w:hAnsi="Segoe UI" w:cs="Segoe UI"/>
          <w:sz w:val="18"/>
          <w:szCs w:val="18"/>
        </w:rPr>
      </w:pPr>
    </w:p>
    <w:p w14:paraId="662C3DB4" w14:textId="6F2C565E" w:rsidR="008C5E36" w:rsidRDefault="008C5E36" w:rsidP="008C5E36">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lang w:val="en-US"/>
        </w:rPr>
        <w:t>The national immunization program (NIP) for individuals aged 70 to 79 includes the Zoster Vaccine Live (ZVL), a licensed vaccine immunization for the control of shingles inside the United Kingdom (UK). According to Public Health England (PHE) data, coverage of the shingles vaccination varies but is normally between 50% and 60% among eligible cohorts. An aged population's shingles risk was lowered with ZVL. The advantages of immunization are obvious given the detrimental effects of PHN and shingles on quality of life. This population in the UK requires better adoption.</w:t>
      </w:r>
      <w:r>
        <w:rPr>
          <w:rStyle w:val="contentcontrolboundarysink"/>
          <w:rFonts w:ascii="Calibri" w:hAnsi="Calibri" w:cs="Calibri"/>
          <w:sz w:val="22"/>
          <w:szCs w:val="22"/>
          <w:lang w:val="en-US"/>
        </w:rPr>
        <w:t>​</w:t>
      </w:r>
      <w:r>
        <w:rPr>
          <w:rStyle w:val="normaltextrun"/>
          <w:rFonts w:ascii="Arial" w:hAnsi="Arial" w:cs="Arial"/>
          <w:color w:val="000000"/>
          <w:sz w:val="22"/>
          <w:szCs w:val="22"/>
          <w:shd w:val="clear" w:color="auto" w:fill="E1E3E6"/>
          <w:lang w:val="en-US"/>
        </w:rPr>
        <w:t xml:space="preserve"> (Matthews, et al., 2018)</w:t>
      </w:r>
      <w:r>
        <w:rPr>
          <w:rStyle w:val="contentcontrolboundarysink"/>
          <w:rFonts w:ascii="Calibri" w:hAnsi="Calibri" w:cs="Calibri"/>
          <w:sz w:val="22"/>
          <w:szCs w:val="22"/>
          <w:lang w:val="en-US"/>
        </w:rPr>
        <w:t>​</w:t>
      </w:r>
      <w:r>
        <w:rPr>
          <w:rStyle w:val="eop"/>
          <w:rFonts w:ascii="Arial" w:hAnsi="Arial" w:cs="Arial"/>
          <w:sz w:val="22"/>
          <w:szCs w:val="22"/>
        </w:rPr>
        <w:t> </w:t>
      </w:r>
    </w:p>
    <w:p w14:paraId="12FA4033" w14:textId="257D954F" w:rsidR="008C5E36" w:rsidRDefault="008C5E36" w:rsidP="008C5E36">
      <w:pPr>
        <w:pStyle w:val="paragraph"/>
        <w:spacing w:before="0" w:beforeAutospacing="0" w:after="0" w:afterAutospacing="0"/>
        <w:jc w:val="both"/>
        <w:textAlignment w:val="baseline"/>
        <w:rPr>
          <w:rStyle w:val="eop"/>
          <w:rFonts w:ascii="Arial" w:hAnsi="Arial" w:cs="Arial"/>
          <w:sz w:val="22"/>
          <w:szCs w:val="22"/>
        </w:rPr>
      </w:pPr>
    </w:p>
    <w:p w14:paraId="5DD5B4B0" w14:textId="00D17E1B" w:rsidR="008C5E36" w:rsidRDefault="008C5E36" w:rsidP="008C5E36">
      <w:pPr>
        <w:pStyle w:val="paragraph"/>
        <w:spacing w:before="0" w:beforeAutospacing="0" w:after="0" w:afterAutospacing="0"/>
        <w:jc w:val="both"/>
        <w:textAlignment w:val="baseline"/>
        <w:rPr>
          <w:rStyle w:val="normaltextrun"/>
          <w:rFonts w:ascii="Arial" w:hAnsi="Arial" w:cs="Arial"/>
          <w:color w:val="000000"/>
          <w:sz w:val="22"/>
          <w:szCs w:val="22"/>
          <w:bdr w:val="none" w:sz="0" w:space="0" w:color="auto" w:frame="1"/>
          <w:lang w:val="en-US"/>
        </w:rPr>
      </w:pPr>
      <w:r>
        <w:rPr>
          <w:rStyle w:val="normaltextrun"/>
          <w:rFonts w:ascii="Arial" w:hAnsi="Arial" w:cs="Arial"/>
          <w:color w:val="000000"/>
          <w:sz w:val="22"/>
          <w:szCs w:val="22"/>
          <w:shd w:val="clear" w:color="auto" w:fill="FFFFFF"/>
        </w:rPr>
        <w:t>When two or more related instances of chickenpox have been identified within the UK, an incident, IRC, or other authorized location of confinement will be deemed an epidemic. When two varicella incubation cycles (42 days) have occurred since the first case, the outbreak is deemed to be officially over. National guidelines released via Public Health England (PHE)</w:t>
      </w:r>
      <w:r>
        <w:rPr>
          <w:rStyle w:val="normaltextrun"/>
          <w:rFonts w:ascii="Arial" w:hAnsi="Arial" w:cs="Arial"/>
          <w:color w:val="000000"/>
          <w:sz w:val="22"/>
          <w:szCs w:val="22"/>
          <w:shd w:val="clear" w:color="auto" w:fill="FFFFFF"/>
        </w:rPr>
        <w:t xml:space="preserve"> </w:t>
      </w:r>
      <w:r>
        <w:rPr>
          <w:rStyle w:val="normaltextrun"/>
          <w:rFonts w:ascii="Arial" w:hAnsi="Arial" w:cs="Arial"/>
          <w:color w:val="000000"/>
          <w:sz w:val="22"/>
          <w:szCs w:val="22"/>
          <w:bdr w:val="none" w:sz="0" w:space="0" w:color="auto" w:frame="1"/>
          <w:lang w:val="en-US"/>
        </w:rPr>
        <w:t>expressly for detention settings served as the basis for outbreak control and inquiry. On receiving word of the second case, an outbreak control team (OCT) became established. The new case was immediately isolated, susceptible close staff and client relationships were identified, and limits on mobility between and within the holding facilities were put in place.</w:t>
      </w:r>
    </w:p>
    <w:p w14:paraId="7FDF7C4A" w14:textId="3BB022B6" w:rsidR="008C5E36" w:rsidRDefault="008C5E36" w:rsidP="008C5E36">
      <w:pPr>
        <w:pStyle w:val="paragraph"/>
        <w:spacing w:before="0" w:beforeAutospacing="0" w:after="0" w:afterAutospacing="0"/>
        <w:jc w:val="both"/>
        <w:textAlignment w:val="baseline"/>
        <w:rPr>
          <w:rStyle w:val="normaltextrun"/>
          <w:rFonts w:ascii="Arial" w:hAnsi="Arial" w:cs="Arial"/>
          <w:color w:val="000000"/>
          <w:sz w:val="22"/>
          <w:szCs w:val="22"/>
          <w:bdr w:val="none" w:sz="0" w:space="0" w:color="auto" w:frame="1"/>
          <w:lang w:val="en-US"/>
        </w:rPr>
      </w:pPr>
    </w:p>
    <w:p w14:paraId="6F3080D9" w14:textId="5CEA97F7" w:rsidR="008C5E36"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lang w:val="en-US"/>
        </w:rPr>
        <w:t xml:space="preserve">To assist PHE Field Epidemiology Service in managing the outbreak, a comprehensive epidemiological investigation was done. Information gathered for instances included: demographics, </w:t>
      </w:r>
      <w:r>
        <w:rPr>
          <w:rStyle w:val="normaltextrun"/>
          <w:rFonts w:ascii="Arial" w:hAnsi="Arial" w:cs="Arial"/>
          <w:color w:val="000000"/>
          <w:sz w:val="22"/>
          <w:szCs w:val="22"/>
          <w:shd w:val="clear" w:color="auto" w:fill="FFFFFF"/>
          <w:lang w:val="en-US"/>
        </w:rPr>
        <w:t>one</w:t>
      </w:r>
      <w:r>
        <w:rPr>
          <w:rStyle w:val="normaltextrun"/>
          <w:rFonts w:ascii="Arial" w:hAnsi="Arial" w:cs="Arial"/>
          <w:color w:val="000000"/>
          <w:sz w:val="22"/>
          <w:szCs w:val="22"/>
          <w:shd w:val="clear" w:color="auto" w:fill="FFFFFF"/>
          <w:lang w:val="en-US"/>
        </w:rPr>
        <w:t xml:space="preserve"> month into the outbreak, mathematical modeling was carried out to support OCT decision-making by permitting an assessment and evaluation of the impact of several potential control strategy scenarios. By contrasting how different VZV immunity screening scenarios affected the outbreak, three scenarios were tested: Condition 1 (no testing); All detainees in Centre B must be tested, and those who test negative must be quarantined and </w:t>
      </w:r>
      <w:proofErr w:type="spellStart"/>
      <w:r>
        <w:rPr>
          <w:rStyle w:val="normaltextrun"/>
          <w:rFonts w:ascii="Arial" w:hAnsi="Arial" w:cs="Arial"/>
          <w:color w:val="000000"/>
          <w:sz w:val="22"/>
          <w:szCs w:val="22"/>
          <w:shd w:val="clear" w:color="auto" w:fill="FFFFFF"/>
          <w:lang w:val="en-US"/>
        </w:rPr>
        <w:t>cohorted</w:t>
      </w:r>
      <w:proofErr w:type="spellEnd"/>
      <w:r>
        <w:rPr>
          <w:rStyle w:val="normaltextrun"/>
          <w:rFonts w:ascii="Arial" w:hAnsi="Arial" w:cs="Arial"/>
          <w:color w:val="000000"/>
          <w:sz w:val="22"/>
          <w:szCs w:val="22"/>
          <w:shd w:val="clear" w:color="auto" w:fill="FFFFFF"/>
          <w:lang w:val="en-US"/>
        </w:rPr>
        <w:t xml:space="preserve"> for 21 days. In Condition 2 (full testing), only those who test negative must be quarantined and </w:t>
      </w:r>
      <w:proofErr w:type="spellStart"/>
      <w:r>
        <w:rPr>
          <w:rStyle w:val="normaltextrun"/>
          <w:rFonts w:ascii="Arial" w:hAnsi="Arial" w:cs="Arial"/>
          <w:color w:val="000000"/>
          <w:sz w:val="22"/>
          <w:szCs w:val="22"/>
          <w:shd w:val="clear" w:color="auto" w:fill="FFFFFF"/>
          <w:lang w:val="en-US"/>
        </w:rPr>
        <w:t>cohorted</w:t>
      </w:r>
      <w:proofErr w:type="spellEnd"/>
      <w:r>
        <w:rPr>
          <w:rStyle w:val="normaltextrun"/>
          <w:rFonts w:ascii="Arial" w:hAnsi="Arial" w:cs="Arial"/>
          <w:color w:val="000000"/>
          <w:sz w:val="22"/>
          <w:szCs w:val="22"/>
          <w:shd w:val="clear" w:color="auto" w:fill="FFFFFF"/>
          <w:lang w:val="en-US"/>
        </w:rPr>
        <w:t>. In Condition 3, it was difficult to continue pervasive immunity testing of inmates because of resource limitations.</w:t>
      </w:r>
      <w:r>
        <w:rPr>
          <w:rStyle w:val="eop"/>
          <w:rFonts w:ascii="Arial" w:hAnsi="Arial" w:cs="Arial"/>
          <w:color w:val="000000"/>
          <w:sz w:val="22"/>
          <w:szCs w:val="22"/>
          <w:shd w:val="clear" w:color="auto" w:fill="FFFFFF"/>
        </w:rPr>
        <w:t> </w:t>
      </w:r>
    </w:p>
    <w:p w14:paraId="2ED4D378" w14:textId="35C17C49" w:rsidR="009B6542"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p>
    <w:p w14:paraId="5AC9C041" w14:textId="7DBAF9EE" w:rsidR="009B6542"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lang w:val="en-US"/>
        </w:rPr>
        <w:t>The PHE guidelines on infection prevention and control in jails and other places of detention were followed, and the IRC employees put these recommendations into practice. Healthcare professionals were instructed to treat any detainees who displayed symptoms consistent with chickenpox with low probability and to isolate them as soon as possible. One of the many possible controls for an outbreak in jail or IRC is the varicella vaccine.</w:t>
      </w:r>
      <w:r>
        <w:rPr>
          <w:rStyle w:val="contentcontrolboundarysink"/>
          <w:rFonts w:ascii="Calibri" w:hAnsi="Calibri" w:cs="Calibri"/>
          <w:color w:val="000000"/>
          <w:sz w:val="22"/>
          <w:szCs w:val="22"/>
          <w:shd w:val="clear" w:color="auto" w:fill="FFFFFF"/>
          <w:lang w:val="en-US"/>
        </w:rPr>
        <w:t>​</w:t>
      </w:r>
      <w:r>
        <w:rPr>
          <w:rStyle w:val="normaltextrun"/>
          <w:rFonts w:ascii="Arial" w:hAnsi="Arial" w:cs="Arial"/>
          <w:color w:val="000000"/>
          <w:sz w:val="22"/>
          <w:szCs w:val="22"/>
          <w:shd w:val="clear" w:color="auto" w:fill="E1E3E6"/>
          <w:lang w:val="en-US"/>
        </w:rPr>
        <w:t xml:space="preserve"> ( Zhang, et al., 2020)</w:t>
      </w:r>
      <w:r>
        <w:rPr>
          <w:rStyle w:val="contentcontrolboundarysink"/>
          <w:rFonts w:ascii="Calibri" w:hAnsi="Calibri" w:cs="Calibri"/>
          <w:color w:val="000000"/>
          <w:sz w:val="22"/>
          <w:szCs w:val="22"/>
          <w:shd w:val="clear" w:color="auto" w:fill="FFFFFF"/>
          <w:lang w:val="en-US"/>
        </w:rPr>
        <w:t>​</w:t>
      </w:r>
      <w:r>
        <w:rPr>
          <w:rStyle w:val="eop"/>
          <w:rFonts w:ascii="Arial" w:hAnsi="Arial" w:cs="Arial"/>
          <w:color w:val="000000"/>
          <w:sz w:val="22"/>
          <w:szCs w:val="22"/>
          <w:shd w:val="clear" w:color="auto" w:fill="FFFFFF"/>
        </w:rPr>
        <w:t>.</w:t>
      </w:r>
    </w:p>
    <w:p w14:paraId="09132CB4" w14:textId="3FA6B801" w:rsidR="009B6542"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p>
    <w:p w14:paraId="79EDC431" w14:textId="36569839" w:rsidR="009B6542" w:rsidRDefault="009B6542" w:rsidP="008C5E36">
      <w:pPr>
        <w:pStyle w:val="paragraph"/>
        <w:spacing w:before="0" w:beforeAutospacing="0" w:after="0" w:afterAutospacing="0"/>
        <w:jc w:val="both"/>
        <w:textAlignment w:val="baseline"/>
        <w:rPr>
          <w:rStyle w:val="eop"/>
          <w:rFonts w:ascii="Arial" w:hAnsi="Arial" w:cs="Arial"/>
          <w:color w:val="000000"/>
          <w:shd w:val="clear" w:color="auto" w:fill="FFFFFF"/>
        </w:rPr>
      </w:pPr>
      <w:r>
        <w:rPr>
          <w:rStyle w:val="normaltextrun"/>
          <w:rFonts w:ascii="Arial" w:hAnsi="Arial" w:cs="Arial"/>
          <w:b/>
          <w:bCs/>
          <w:color w:val="000000"/>
          <w:shd w:val="clear" w:color="auto" w:fill="FFFFFF"/>
          <w:lang w:val="en-US"/>
        </w:rPr>
        <w:t>CONCLUSIONS</w:t>
      </w:r>
      <w:r>
        <w:rPr>
          <w:rStyle w:val="eop"/>
          <w:rFonts w:ascii="Arial" w:hAnsi="Arial" w:cs="Arial"/>
          <w:color w:val="000000"/>
          <w:shd w:val="clear" w:color="auto" w:fill="FFFFFF"/>
        </w:rPr>
        <w:t> </w:t>
      </w:r>
    </w:p>
    <w:p w14:paraId="331A9CB2" w14:textId="2BF3CABE" w:rsidR="009B6542"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lang w:val="en-US"/>
        </w:rPr>
        <w:t>In order to contain the outbreak, it is important to use mathematical modeling to help guide decision-making and serology testing to determine vulnerability to VZV infection. It should be given thought to revise the current UK guidelines for controlling varicella outbreaks in detention settings, which make far lower assumptions about VZV immunity among people who weren't born in the UK. Screening of contacts to varicella cases, diagnosis of non-immune or vulnerable individuals, and effective management of these contacts should all still be part of control strategies for managing chickenpox outbreaks. Lessons from this epidemic will also be used to inform current policy conversations about detention center medical screening procedures for inmates and workplace health requirements for non-medical personnel working in supervised environments.</w:t>
      </w:r>
      <w:r>
        <w:rPr>
          <w:rStyle w:val="eop"/>
          <w:rFonts w:ascii="Arial" w:hAnsi="Arial" w:cs="Arial"/>
          <w:color w:val="000000"/>
          <w:sz w:val="22"/>
          <w:szCs w:val="22"/>
          <w:shd w:val="clear" w:color="auto" w:fill="FFFFFF"/>
        </w:rPr>
        <w:t> </w:t>
      </w:r>
    </w:p>
    <w:p w14:paraId="42B5B829" w14:textId="5066CE44" w:rsidR="009B6542"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p>
    <w:p w14:paraId="65DEA52E" w14:textId="77777777" w:rsidR="00E40E33" w:rsidRDefault="009B6542" w:rsidP="008C5E36">
      <w:pPr>
        <w:pStyle w:val="paragraph"/>
        <w:spacing w:before="0" w:beforeAutospacing="0" w:after="0" w:afterAutospacing="0"/>
        <w:jc w:val="both"/>
        <w:textAlignment w:val="baseline"/>
        <w:rPr>
          <w:rStyle w:val="contentcontrolboundarysink"/>
          <w:rFonts w:ascii="Calibri" w:hAnsi="Calibri" w:cs="Calibri"/>
          <w:sz w:val="22"/>
          <w:szCs w:val="22"/>
          <w:shd w:val="clear" w:color="auto" w:fill="FFFFFF"/>
          <w:lang w:val="en-US"/>
        </w:rPr>
      </w:pPr>
      <w:r>
        <w:rPr>
          <w:rStyle w:val="contentcontrolboundarysink"/>
          <w:rFonts w:ascii="Calibri" w:hAnsi="Calibri" w:cs="Calibri"/>
          <w:sz w:val="22"/>
          <w:szCs w:val="22"/>
          <w:shd w:val="clear" w:color="auto" w:fill="FFFFFF"/>
          <w:lang w:val="en-US"/>
        </w:rPr>
        <w:t>​​</w:t>
      </w:r>
    </w:p>
    <w:p w14:paraId="5B5E09A1" w14:textId="77777777" w:rsidR="00E40E33" w:rsidRDefault="00E40E33" w:rsidP="008C5E36">
      <w:pPr>
        <w:pStyle w:val="paragraph"/>
        <w:spacing w:before="0" w:beforeAutospacing="0" w:after="0" w:afterAutospacing="0"/>
        <w:jc w:val="both"/>
        <w:textAlignment w:val="baseline"/>
        <w:rPr>
          <w:rStyle w:val="contentcontrolboundarysink"/>
          <w:rFonts w:ascii="Calibri" w:hAnsi="Calibri" w:cs="Calibri"/>
          <w:sz w:val="22"/>
          <w:szCs w:val="22"/>
          <w:shd w:val="clear" w:color="auto" w:fill="FFFFFF"/>
          <w:lang w:val="en-US"/>
        </w:rPr>
      </w:pPr>
    </w:p>
    <w:p w14:paraId="54B6CFD8" w14:textId="77777777" w:rsidR="00E40E33" w:rsidRDefault="00E40E33" w:rsidP="008C5E36">
      <w:pPr>
        <w:pStyle w:val="paragraph"/>
        <w:spacing w:before="0" w:beforeAutospacing="0" w:after="0" w:afterAutospacing="0"/>
        <w:jc w:val="both"/>
        <w:textAlignment w:val="baseline"/>
        <w:rPr>
          <w:rStyle w:val="contentcontrolboundarysink"/>
          <w:rFonts w:ascii="Calibri" w:hAnsi="Calibri" w:cs="Calibri"/>
          <w:sz w:val="22"/>
          <w:szCs w:val="22"/>
          <w:shd w:val="clear" w:color="auto" w:fill="FFFFFF"/>
          <w:lang w:val="en-US"/>
        </w:rPr>
      </w:pPr>
    </w:p>
    <w:p w14:paraId="1B5CD0F2" w14:textId="77777777" w:rsidR="00E40E33" w:rsidRDefault="00E40E33" w:rsidP="008C5E36">
      <w:pPr>
        <w:pStyle w:val="paragraph"/>
        <w:spacing w:before="0" w:beforeAutospacing="0" w:after="0" w:afterAutospacing="0"/>
        <w:jc w:val="both"/>
        <w:textAlignment w:val="baseline"/>
        <w:rPr>
          <w:rStyle w:val="contentcontrolboundarysink"/>
          <w:rFonts w:ascii="Calibri" w:hAnsi="Calibri" w:cs="Calibri"/>
          <w:sz w:val="22"/>
          <w:szCs w:val="22"/>
          <w:shd w:val="clear" w:color="auto" w:fill="FFFFFF"/>
          <w:lang w:val="en-US"/>
        </w:rPr>
      </w:pPr>
    </w:p>
    <w:p w14:paraId="1303EA96" w14:textId="045065C4" w:rsidR="009B6542" w:rsidRDefault="009B6542" w:rsidP="008C5E36">
      <w:pPr>
        <w:pStyle w:val="paragraph"/>
        <w:spacing w:before="0" w:beforeAutospacing="0" w:after="0" w:afterAutospacing="0"/>
        <w:jc w:val="both"/>
        <w:textAlignment w:val="baseline"/>
        <w:rPr>
          <w:rStyle w:val="eop"/>
          <w:rFonts w:ascii="Arial" w:hAnsi="Arial" w:cs="Arial"/>
          <w:b/>
          <w:bCs/>
          <w:sz w:val="28"/>
          <w:szCs w:val="28"/>
          <w:shd w:val="clear" w:color="auto" w:fill="FFFFFF"/>
        </w:rPr>
      </w:pPr>
      <w:r>
        <w:rPr>
          <w:rStyle w:val="normaltextrun"/>
          <w:rFonts w:ascii="Arial" w:hAnsi="Arial" w:cs="Arial"/>
          <w:b/>
          <w:bCs/>
          <w:sz w:val="28"/>
          <w:szCs w:val="28"/>
          <w:shd w:val="clear" w:color="auto" w:fill="FFFFFF"/>
          <w:lang w:val="en-US"/>
        </w:rPr>
        <w:t>References</w:t>
      </w:r>
    </w:p>
    <w:p w14:paraId="4C5ACCEE" w14:textId="060EB813" w:rsidR="009B6542"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r>
        <w:rPr>
          <w:rStyle w:val="contentcontrolboundarysink"/>
          <w:rFonts w:ascii="Arial" w:hAnsi="Arial" w:cs="Arial"/>
          <w:color w:val="000000"/>
          <w:sz w:val="22"/>
          <w:szCs w:val="22"/>
          <w:shd w:val="clear" w:color="auto" w:fill="FFFFFF"/>
          <w:lang w:val="en-US"/>
        </w:rPr>
        <w:t>​</w:t>
      </w:r>
      <w:proofErr w:type="spellStart"/>
      <w:r>
        <w:rPr>
          <w:rStyle w:val="normaltextrun"/>
          <w:rFonts w:ascii="Arial" w:hAnsi="Arial" w:cs="Arial"/>
          <w:color w:val="000000"/>
          <w:sz w:val="22"/>
          <w:szCs w:val="22"/>
          <w:shd w:val="clear" w:color="auto" w:fill="E1E3E6"/>
          <w:lang w:val="en-US"/>
        </w:rPr>
        <w:t>Akpo</w:t>
      </w:r>
      <w:proofErr w:type="spellEnd"/>
      <w:r>
        <w:rPr>
          <w:rStyle w:val="normaltextrun"/>
          <w:rFonts w:ascii="Arial" w:hAnsi="Arial" w:cs="Arial"/>
          <w:color w:val="000000"/>
          <w:sz w:val="22"/>
          <w:szCs w:val="22"/>
          <w:shd w:val="clear" w:color="auto" w:fill="E1E3E6"/>
          <w:lang w:val="en-US"/>
        </w:rPr>
        <w:t xml:space="preserve">, E. I., </w:t>
      </w:r>
      <w:proofErr w:type="spellStart"/>
      <w:r>
        <w:rPr>
          <w:rStyle w:val="normaltextrun"/>
          <w:rFonts w:ascii="Arial" w:hAnsi="Arial" w:cs="Arial"/>
          <w:color w:val="000000"/>
          <w:sz w:val="22"/>
          <w:szCs w:val="22"/>
          <w:shd w:val="clear" w:color="auto" w:fill="E1E3E6"/>
          <w:lang w:val="en-US"/>
        </w:rPr>
        <w:t>Cristeau</w:t>
      </w:r>
      <w:proofErr w:type="spellEnd"/>
      <w:r>
        <w:rPr>
          <w:rStyle w:val="normaltextrun"/>
          <w:rFonts w:ascii="Arial" w:hAnsi="Arial" w:cs="Arial"/>
          <w:color w:val="000000"/>
          <w:sz w:val="22"/>
          <w:szCs w:val="22"/>
          <w:shd w:val="clear" w:color="auto" w:fill="E1E3E6"/>
          <w:lang w:val="en-US"/>
        </w:rPr>
        <w:t xml:space="preserve">, O., </w:t>
      </w:r>
      <w:proofErr w:type="spellStart"/>
      <w:r>
        <w:rPr>
          <w:rStyle w:val="normaltextrun"/>
          <w:rFonts w:ascii="Arial" w:hAnsi="Arial" w:cs="Arial"/>
          <w:color w:val="000000"/>
          <w:sz w:val="22"/>
          <w:szCs w:val="22"/>
          <w:shd w:val="clear" w:color="auto" w:fill="E1E3E6"/>
          <w:lang w:val="en-US"/>
        </w:rPr>
        <w:t>Hunjan</w:t>
      </w:r>
      <w:proofErr w:type="spellEnd"/>
      <w:r>
        <w:rPr>
          <w:rStyle w:val="normaltextrun"/>
          <w:rFonts w:ascii="Arial" w:hAnsi="Arial" w:cs="Arial"/>
          <w:color w:val="000000"/>
          <w:sz w:val="22"/>
          <w:szCs w:val="22"/>
          <w:shd w:val="clear" w:color="auto" w:fill="E1E3E6"/>
          <w:lang w:val="en-US"/>
        </w:rPr>
        <w:t xml:space="preserve">, M., &amp; </w:t>
      </w:r>
      <w:proofErr w:type="spellStart"/>
      <w:r>
        <w:rPr>
          <w:rStyle w:val="normaltextrun"/>
          <w:rFonts w:ascii="Arial" w:hAnsi="Arial" w:cs="Arial"/>
          <w:color w:val="000000"/>
          <w:sz w:val="22"/>
          <w:szCs w:val="22"/>
          <w:shd w:val="clear" w:color="auto" w:fill="E1E3E6"/>
          <w:lang w:val="en-US"/>
        </w:rPr>
        <w:t>Casabona</w:t>
      </w:r>
      <w:proofErr w:type="spellEnd"/>
      <w:r>
        <w:rPr>
          <w:rStyle w:val="normaltextrun"/>
          <w:rFonts w:ascii="Arial" w:hAnsi="Arial" w:cs="Arial"/>
          <w:color w:val="000000"/>
          <w:sz w:val="22"/>
          <w:szCs w:val="22"/>
          <w:shd w:val="clear" w:color="auto" w:fill="E1E3E6"/>
          <w:lang w:val="en-US"/>
        </w:rPr>
        <w:t xml:space="preserve">, G. (2021). Epidemiological Impact and Cost-Effectiveness of Varicella Vaccination Strategies in the United Kingdom. </w:t>
      </w:r>
      <w:r>
        <w:rPr>
          <w:rStyle w:val="normaltextrun"/>
          <w:rFonts w:ascii="Arial" w:hAnsi="Arial" w:cs="Arial"/>
          <w:i/>
          <w:iCs/>
          <w:color w:val="000000"/>
          <w:sz w:val="22"/>
          <w:szCs w:val="22"/>
          <w:shd w:val="clear" w:color="auto" w:fill="E1E3E6"/>
          <w:lang w:val="en-US"/>
        </w:rPr>
        <w:t>Clinical Infectious Diseases</w:t>
      </w:r>
      <w:r>
        <w:rPr>
          <w:rStyle w:val="normaltextrun"/>
          <w:rFonts w:ascii="Arial" w:hAnsi="Arial" w:cs="Arial"/>
          <w:color w:val="000000"/>
          <w:sz w:val="22"/>
          <w:szCs w:val="22"/>
          <w:shd w:val="clear" w:color="auto" w:fill="E1E3E6"/>
          <w:lang w:val="en-US"/>
        </w:rPr>
        <w:t>, e3617–e3626.</w:t>
      </w:r>
      <w:r>
        <w:rPr>
          <w:rStyle w:val="eop"/>
          <w:rFonts w:ascii="Arial" w:hAnsi="Arial" w:cs="Arial"/>
          <w:color w:val="000000"/>
          <w:sz w:val="22"/>
          <w:szCs w:val="22"/>
          <w:shd w:val="clear" w:color="auto" w:fill="FFFFFF"/>
        </w:rPr>
        <w:t> </w:t>
      </w:r>
    </w:p>
    <w:p w14:paraId="7DB85F48" w14:textId="6DCF7F1F" w:rsidR="009B6542"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r>
        <w:rPr>
          <w:rStyle w:val="contentcontrolboundarysink"/>
          <w:rFonts w:ascii="Arial" w:hAnsi="Arial" w:cs="Arial"/>
          <w:color w:val="000000"/>
          <w:sz w:val="22"/>
          <w:szCs w:val="22"/>
          <w:shd w:val="clear" w:color="auto" w:fill="FFFFFF"/>
          <w:lang w:val="en-US"/>
        </w:rPr>
        <w:t>​</w:t>
      </w:r>
      <w:r>
        <w:rPr>
          <w:rStyle w:val="normaltextrun"/>
          <w:rFonts w:ascii="Arial" w:hAnsi="Arial" w:cs="Arial"/>
          <w:color w:val="000000"/>
          <w:sz w:val="22"/>
          <w:szCs w:val="22"/>
          <w:shd w:val="clear" w:color="auto" w:fill="E1E3E6"/>
          <w:lang w:val="en-US"/>
        </w:rPr>
        <w:t xml:space="preserve">Pollard, A. (2016, August 4). Everything you need to know about chickenpox and why more countries don’t use the vaccine. </w:t>
      </w:r>
      <w:r>
        <w:rPr>
          <w:rStyle w:val="normaltextrun"/>
          <w:rFonts w:ascii="Arial" w:hAnsi="Arial" w:cs="Arial"/>
          <w:i/>
          <w:iCs/>
          <w:color w:val="000000"/>
          <w:sz w:val="22"/>
          <w:szCs w:val="22"/>
          <w:shd w:val="clear" w:color="auto" w:fill="E1E3E6"/>
          <w:lang w:val="en-US"/>
        </w:rPr>
        <w:t>The Conversation</w:t>
      </w:r>
      <w:r>
        <w:rPr>
          <w:rStyle w:val="normaltextrun"/>
          <w:rFonts w:ascii="Arial" w:hAnsi="Arial" w:cs="Arial"/>
          <w:color w:val="000000"/>
          <w:sz w:val="22"/>
          <w:szCs w:val="22"/>
          <w:shd w:val="clear" w:color="auto" w:fill="E1E3E6"/>
          <w:lang w:val="en-US"/>
        </w:rPr>
        <w:t>.</w:t>
      </w:r>
      <w:r>
        <w:rPr>
          <w:rStyle w:val="eop"/>
          <w:rFonts w:ascii="Arial" w:hAnsi="Arial" w:cs="Arial"/>
          <w:color w:val="000000"/>
          <w:sz w:val="22"/>
          <w:szCs w:val="22"/>
          <w:shd w:val="clear" w:color="auto" w:fill="FFFFFF"/>
        </w:rPr>
        <w:t> </w:t>
      </w:r>
    </w:p>
    <w:p w14:paraId="4C4CC47E" w14:textId="381AF5E8" w:rsidR="009B6542"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p>
    <w:p w14:paraId="7D58A0D7" w14:textId="395A7886" w:rsidR="009B6542"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r>
        <w:rPr>
          <w:rStyle w:val="contentcontrolboundarysink"/>
          <w:rFonts w:ascii="Arial" w:hAnsi="Arial" w:cs="Arial"/>
          <w:color w:val="000000"/>
          <w:sz w:val="22"/>
          <w:szCs w:val="22"/>
          <w:shd w:val="clear" w:color="auto" w:fill="FFFFFF"/>
          <w:lang w:val="en-US"/>
        </w:rPr>
        <w:t>​</w:t>
      </w:r>
      <w:r>
        <w:rPr>
          <w:rStyle w:val="normaltextrun"/>
          <w:rFonts w:ascii="Arial" w:hAnsi="Arial" w:cs="Arial"/>
          <w:color w:val="000000"/>
          <w:sz w:val="22"/>
          <w:szCs w:val="22"/>
          <w:shd w:val="clear" w:color="auto" w:fill="E1E3E6"/>
          <w:lang w:val="en-US"/>
        </w:rPr>
        <w:t xml:space="preserve">Zhang, X.-S., Smith, A., Patel, B., Anderson, C., Pomeroy, L., Higgins, G., et al. (2020). New approaches to controlling an outbreak of chickenpox in a large immigration detention setting in England: the role of serological testing and mathematical modelling. In X.-S. Zhang, A. Smith, B. Patel, C. Anderson, L. Pomeroy, G. Higgins, et al., </w:t>
      </w:r>
      <w:r>
        <w:rPr>
          <w:rStyle w:val="normaltextrun"/>
          <w:rFonts w:ascii="Arial" w:hAnsi="Arial" w:cs="Arial"/>
          <w:i/>
          <w:iCs/>
          <w:color w:val="000000"/>
          <w:sz w:val="22"/>
          <w:szCs w:val="22"/>
          <w:shd w:val="clear" w:color="auto" w:fill="E1E3E6"/>
          <w:lang w:val="en-US"/>
        </w:rPr>
        <w:t>Epidemiology &amp; Infection</w:t>
      </w:r>
      <w:r>
        <w:rPr>
          <w:rStyle w:val="normaltextrun"/>
          <w:rFonts w:ascii="Arial" w:hAnsi="Arial" w:cs="Arial"/>
          <w:color w:val="000000"/>
          <w:sz w:val="22"/>
          <w:szCs w:val="22"/>
          <w:shd w:val="clear" w:color="auto" w:fill="E1E3E6"/>
          <w:lang w:val="en-US"/>
        </w:rPr>
        <w:t xml:space="preserve"> (p. 148). London: Cambridge University Press.</w:t>
      </w:r>
      <w:r>
        <w:rPr>
          <w:rStyle w:val="eop"/>
          <w:rFonts w:ascii="Arial" w:hAnsi="Arial" w:cs="Arial"/>
          <w:color w:val="000000"/>
          <w:sz w:val="22"/>
          <w:szCs w:val="22"/>
          <w:shd w:val="clear" w:color="auto" w:fill="FFFFFF"/>
        </w:rPr>
        <w:t> </w:t>
      </w:r>
    </w:p>
    <w:p w14:paraId="5ECE77FB" w14:textId="31DDC714" w:rsidR="009B6542"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p>
    <w:p w14:paraId="01D837A9" w14:textId="5DCFC15C" w:rsidR="009B6542"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r>
        <w:rPr>
          <w:rStyle w:val="contentcontrolboundarysink"/>
          <w:rFonts w:ascii="Arial" w:hAnsi="Arial" w:cs="Arial"/>
          <w:color w:val="000000"/>
          <w:sz w:val="22"/>
          <w:szCs w:val="22"/>
          <w:shd w:val="clear" w:color="auto" w:fill="FFFFFF"/>
          <w:lang w:val="en-US"/>
        </w:rPr>
        <w:t>​​</w:t>
      </w:r>
      <w:r>
        <w:rPr>
          <w:rStyle w:val="normaltextrun"/>
          <w:rFonts w:ascii="Arial" w:hAnsi="Arial" w:cs="Arial"/>
          <w:color w:val="000000"/>
          <w:sz w:val="22"/>
          <w:szCs w:val="22"/>
          <w:shd w:val="clear" w:color="auto" w:fill="E1E3E6"/>
          <w:lang w:val="en-US"/>
        </w:rPr>
        <w:t xml:space="preserve">Agency, U. H. (2022). </w:t>
      </w:r>
      <w:r>
        <w:rPr>
          <w:rStyle w:val="normaltextrun"/>
          <w:rFonts w:ascii="Arial" w:hAnsi="Arial" w:cs="Arial"/>
          <w:i/>
          <w:iCs/>
          <w:color w:val="000000"/>
          <w:sz w:val="22"/>
          <w:szCs w:val="22"/>
          <w:shd w:val="clear" w:color="auto" w:fill="E1E3E6"/>
          <w:lang w:val="en-US"/>
        </w:rPr>
        <w:t>Increase in scarlet fever and chickenpox incidence and outbreaks in England.</w:t>
      </w:r>
      <w:r>
        <w:rPr>
          <w:rStyle w:val="normaltextrun"/>
          <w:rFonts w:ascii="Arial" w:hAnsi="Arial" w:cs="Arial"/>
          <w:color w:val="000000"/>
          <w:sz w:val="22"/>
          <w:szCs w:val="22"/>
          <w:shd w:val="clear" w:color="auto" w:fill="E1E3E6"/>
          <w:lang w:val="en-US"/>
        </w:rPr>
        <w:t xml:space="preserve"> England: UK Health Security Agency.</w:t>
      </w:r>
      <w:r>
        <w:rPr>
          <w:rStyle w:val="eop"/>
          <w:rFonts w:ascii="Arial" w:hAnsi="Arial" w:cs="Arial"/>
          <w:color w:val="000000"/>
          <w:sz w:val="22"/>
          <w:szCs w:val="22"/>
          <w:shd w:val="clear" w:color="auto" w:fill="FFFFFF"/>
        </w:rPr>
        <w:t> </w:t>
      </w:r>
    </w:p>
    <w:p w14:paraId="0639E1D5" w14:textId="75996212" w:rsidR="009B6542"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p>
    <w:p w14:paraId="18544780" w14:textId="19CE7324" w:rsidR="009B6542"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r>
        <w:rPr>
          <w:rStyle w:val="contentcontrolboundarysink"/>
          <w:rFonts w:ascii="Arial" w:hAnsi="Arial" w:cs="Arial"/>
          <w:color w:val="000000"/>
          <w:sz w:val="22"/>
          <w:szCs w:val="22"/>
          <w:shd w:val="clear" w:color="auto" w:fill="FFFFFF"/>
          <w:lang w:val="en-US"/>
        </w:rPr>
        <w:t>​</w:t>
      </w:r>
      <w:r>
        <w:rPr>
          <w:rStyle w:val="normaltextrun"/>
          <w:rFonts w:ascii="Arial" w:hAnsi="Arial" w:cs="Arial"/>
          <w:color w:val="000000"/>
          <w:sz w:val="22"/>
          <w:szCs w:val="22"/>
          <w:shd w:val="clear" w:color="auto" w:fill="E1E3E6"/>
          <w:lang w:val="en-US"/>
        </w:rPr>
        <w:t xml:space="preserve">Bernal, J. L., </w:t>
      </w:r>
      <w:proofErr w:type="spellStart"/>
      <w:r>
        <w:rPr>
          <w:rStyle w:val="normaltextrun"/>
          <w:rFonts w:ascii="Arial" w:hAnsi="Arial" w:cs="Arial"/>
          <w:color w:val="000000"/>
          <w:sz w:val="22"/>
          <w:szCs w:val="22"/>
          <w:shd w:val="clear" w:color="auto" w:fill="E1E3E6"/>
          <w:lang w:val="en-US"/>
        </w:rPr>
        <w:t>Hobbelen</w:t>
      </w:r>
      <w:proofErr w:type="spellEnd"/>
      <w:r>
        <w:rPr>
          <w:rStyle w:val="normaltextrun"/>
          <w:rFonts w:ascii="Arial" w:hAnsi="Arial" w:cs="Arial"/>
          <w:color w:val="000000"/>
          <w:sz w:val="22"/>
          <w:szCs w:val="22"/>
          <w:shd w:val="clear" w:color="auto" w:fill="E1E3E6"/>
          <w:lang w:val="en-US"/>
        </w:rPr>
        <w:t xml:space="preserve">, P., &amp; Amirthalingam, G. (2019). Burden of varicella complications in secondary care, England, 2004 to 2017. </w:t>
      </w:r>
      <w:proofErr w:type="spellStart"/>
      <w:r>
        <w:rPr>
          <w:rStyle w:val="normaltextrun"/>
          <w:rFonts w:ascii="Arial" w:hAnsi="Arial" w:cs="Arial"/>
          <w:i/>
          <w:iCs/>
          <w:color w:val="000000"/>
          <w:sz w:val="22"/>
          <w:szCs w:val="22"/>
          <w:shd w:val="clear" w:color="auto" w:fill="E1E3E6"/>
          <w:lang w:val="en-US"/>
        </w:rPr>
        <w:t>EuroSurveillance</w:t>
      </w:r>
      <w:proofErr w:type="spellEnd"/>
      <w:r>
        <w:rPr>
          <w:rStyle w:val="normaltextrun"/>
          <w:rFonts w:ascii="Arial" w:hAnsi="Arial" w:cs="Arial"/>
          <w:color w:val="000000"/>
          <w:sz w:val="22"/>
          <w:szCs w:val="22"/>
          <w:shd w:val="clear" w:color="auto" w:fill="E1E3E6"/>
          <w:lang w:val="en-US"/>
        </w:rPr>
        <w:t>, 1900233.</w:t>
      </w:r>
      <w:r>
        <w:rPr>
          <w:rStyle w:val="eop"/>
          <w:rFonts w:ascii="Arial" w:hAnsi="Arial" w:cs="Arial"/>
          <w:color w:val="000000"/>
          <w:sz w:val="22"/>
          <w:szCs w:val="22"/>
          <w:shd w:val="clear" w:color="auto" w:fill="FFFFFF"/>
        </w:rPr>
        <w:t> </w:t>
      </w:r>
    </w:p>
    <w:p w14:paraId="2023F4B0" w14:textId="1E6EB7CA" w:rsidR="009B6542"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p>
    <w:p w14:paraId="188D8E89" w14:textId="4D565DC1" w:rsidR="009B6542"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r>
        <w:rPr>
          <w:rStyle w:val="contentcontrolboundarysink"/>
          <w:rFonts w:ascii="Arial" w:hAnsi="Arial" w:cs="Arial"/>
          <w:color w:val="000000"/>
          <w:sz w:val="22"/>
          <w:szCs w:val="22"/>
          <w:shd w:val="clear" w:color="auto" w:fill="FFFFFF"/>
          <w:lang w:val="en-US"/>
        </w:rPr>
        <w:t>​</w:t>
      </w:r>
      <w:r>
        <w:rPr>
          <w:rStyle w:val="normaltextrun"/>
          <w:rFonts w:ascii="Arial" w:hAnsi="Arial" w:cs="Arial"/>
          <w:color w:val="000000"/>
          <w:sz w:val="22"/>
          <w:szCs w:val="22"/>
          <w:shd w:val="clear" w:color="auto" w:fill="E1E3E6"/>
          <w:lang w:val="en-US"/>
        </w:rPr>
        <w:t xml:space="preserve">Matthews, I., Lu, X., Dawson, H., </w:t>
      </w:r>
      <w:proofErr w:type="spellStart"/>
      <w:r>
        <w:rPr>
          <w:rStyle w:val="normaltextrun"/>
          <w:rFonts w:ascii="Arial" w:hAnsi="Arial" w:cs="Arial"/>
          <w:color w:val="000000"/>
          <w:sz w:val="22"/>
          <w:szCs w:val="22"/>
          <w:shd w:val="clear" w:color="auto" w:fill="E1E3E6"/>
          <w:lang w:val="en-US"/>
        </w:rPr>
        <w:t>Bricout</w:t>
      </w:r>
      <w:proofErr w:type="spellEnd"/>
      <w:r>
        <w:rPr>
          <w:rStyle w:val="normaltextrun"/>
          <w:rFonts w:ascii="Arial" w:hAnsi="Arial" w:cs="Arial"/>
          <w:color w:val="000000"/>
          <w:sz w:val="22"/>
          <w:szCs w:val="22"/>
          <w:shd w:val="clear" w:color="auto" w:fill="E1E3E6"/>
          <w:lang w:val="en-US"/>
        </w:rPr>
        <w:t xml:space="preserve">, H., O'Hanlon, H., Yu, E., et al. (2018). Assessing the effectiveness of zoster vaccine live: A retrospective cohort study using primary care data in the United Kingdom. </w:t>
      </w:r>
      <w:r>
        <w:rPr>
          <w:rStyle w:val="normaltextrun"/>
          <w:rFonts w:ascii="Arial" w:hAnsi="Arial" w:cs="Arial"/>
          <w:i/>
          <w:iCs/>
          <w:color w:val="000000"/>
          <w:sz w:val="22"/>
          <w:szCs w:val="22"/>
          <w:shd w:val="clear" w:color="auto" w:fill="E1E3E6"/>
          <w:lang w:val="en-US"/>
        </w:rPr>
        <w:t>Vaccine</w:t>
      </w:r>
      <w:r>
        <w:rPr>
          <w:rStyle w:val="normaltextrun"/>
          <w:rFonts w:ascii="Arial" w:hAnsi="Arial" w:cs="Arial"/>
          <w:color w:val="000000"/>
          <w:sz w:val="22"/>
          <w:szCs w:val="22"/>
          <w:shd w:val="clear" w:color="auto" w:fill="E1E3E6"/>
          <w:lang w:val="en-US"/>
        </w:rPr>
        <w:t>, 7105-7111.</w:t>
      </w:r>
      <w:r>
        <w:rPr>
          <w:rStyle w:val="eop"/>
          <w:rFonts w:ascii="Arial" w:hAnsi="Arial" w:cs="Arial"/>
          <w:color w:val="000000"/>
          <w:sz w:val="22"/>
          <w:szCs w:val="22"/>
          <w:shd w:val="clear" w:color="auto" w:fill="FFFFFF"/>
        </w:rPr>
        <w:t> </w:t>
      </w:r>
    </w:p>
    <w:p w14:paraId="05578AC3" w14:textId="0A72FF8F" w:rsidR="009B6542" w:rsidRDefault="009B6542" w:rsidP="008C5E36">
      <w:pPr>
        <w:pStyle w:val="paragraph"/>
        <w:spacing w:before="0" w:beforeAutospacing="0" w:after="0" w:afterAutospacing="0"/>
        <w:jc w:val="both"/>
        <w:textAlignment w:val="baseline"/>
        <w:rPr>
          <w:rStyle w:val="eop"/>
          <w:rFonts w:ascii="Arial" w:hAnsi="Arial" w:cs="Arial"/>
          <w:color w:val="000000"/>
          <w:sz w:val="22"/>
          <w:szCs w:val="22"/>
          <w:shd w:val="clear" w:color="auto" w:fill="FFFFFF"/>
        </w:rPr>
      </w:pPr>
    </w:p>
    <w:p w14:paraId="78C2C492" w14:textId="24BFE7AD" w:rsidR="009B6542" w:rsidRDefault="009B6542" w:rsidP="008C5E36">
      <w:pPr>
        <w:pStyle w:val="paragraph"/>
        <w:spacing w:before="0" w:beforeAutospacing="0" w:after="0" w:afterAutospacing="0"/>
        <w:jc w:val="both"/>
        <w:textAlignment w:val="baseline"/>
        <w:rPr>
          <w:rStyle w:val="normaltextrun"/>
          <w:rFonts w:ascii="Arial" w:hAnsi="Arial" w:cs="Arial"/>
          <w:color w:val="000000"/>
          <w:sz w:val="22"/>
          <w:szCs w:val="22"/>
          <w:shd w:val="clear" w:color="auto" w:fill="FFFFFF"/>
        </w:rPr>
      </w:pPr>
      <w:r>
        <w:rPr>
          <w:rStyle w:val="contentcontrolboundarysink"/>
          <w:rFonts w:ascii="Arial" w:hAnsi="Arial" w:cs="Arial"/>
          <w:color w:val="000000"/>
          <w:sz w:val="22"/>
          <w:szCs w:val="22"/>
          <w:shd w:val="clear" w:color="auto" w:fill="FFFFFF"/>
          <w:lang w:val="en-US"/>
        </w:rPr>
        <w:t>​</w:t>
      </w:r>
      <w:r>
        <w:rPr>
          <w:rStyle w:val="normaltextrun"/>
          <w:rFonts w:ascii="Arial" w:hAnsi="Arial" w:cs="Arial"/>
          <w:color w:val="000000"/>
          <w:sz w:val="22"/>
          <w:szCs w:val="22"/>
          <w:shd w:val="clear" w:color="auto" w:fill="E1E3E6"/>
          <w:lang w:val="en-US"/>
        </w:rPr>
        <w:t xml:space="preserve">NHS. (2021, November 12). </w:t>
      </w:r>
      <w:r>
        <w:rPr>
          <w:rStyle w:val="normaltextrun"/>
          <w:rFonts w:ascii="Arial" w:hAnsi="Arial" w:cs="Arial"/>
          <w:i/>
          <w:iCs/>
          <w:color w:val="000000"/>
          <w:sz w:val="22"/>
          <w:szCs w:val="22"/>
          <w:shd w:val="clear" w:color="auto" w:fill="E1E3E6"/>
          <w:lang w:val="en-US"/>
        </w:rPr>
        <w:t>Chickenpox</w:t>
      </w:r>
      <w:r>
        <w:rPr>
          <w:rStyle w:val="normaltextrun"/>
          <w:rFonts w:ascii="Arial" w:hAnsi="Arial" w:cs="Arial"/>
          <w:color w:val="000000"/>
          <w:sz w:val="22"/>
          <w:szCs w:val="22"/>
          <w:shd w:val="clear" w:color="auto" w:fill="E1E3E6"/>
          <w:lang w:val="en-US"/>
        </w:rPr>
        <w:t>. Retrieved from National Health Services UK: https://www.nhs.uk/conditions/chickenpox/</w:t>
      </w:r>
      <w:r>
        <w:rPr>
          <w:rStyle w:val="eop"/>
          <w:rFonts w:ascii="Arial" w:hAnsi="Arial" w:cs="Arial"/>
          <w:color w:val="000000"/>
          <w:sz w:val="22"/>
          <w:szCs w:val="22"/>
          <w:shd w:val="clear" w:color="auto" w:fill="FFFFFF"/>
        </w:rPr>
        <w:t> </w:t>
      </w:r>
    </w:p>
    <w:p w14:paraId="76A42A0C" w14:textId="12EE038D" w:rsidR="008C5E36" w:rsidRDefault="008C5E36" w:rsidP="008C5E36">
      <w:pPr>
        <w:pStyle w:val="paragraph"/>
        <w:spacing w:before="0" w:beforeAutospacing="0" w:after="0" w:afterAutospacing="0"/>
        <w:jc w:val="both"/>
        <w:textAlignment w:val="baseline"/>
        <w:rPr>
          <w:rStyle w:val="normaltextrun"/>
          <w:rFonts w:ascii="Arial" w:hAnsi="Arial" w:cs="Arial"/>
          <w:color w:val="000000"/>
          <w:sz w:val="22"/>
          <w:szCs w:val="22"/>
          <w:shd w:val="clear" w:color="auto" w:fill="FFFFFF"/>
        </w:rPr>
      </w:pPr>
    </w:p>
    <w:p w14:paraId="500AEEFF" w14:textId="77777777" w:rsidR="008C5E36" w:rsidRDefault="008C5E36" w:rsidP="008C5E36">
      <w:pPr>
        <w:pStyle w:val="paragraph"/>
        <w:spacing w:before="0" w:beforeAutospacing="0" w:after="0" w:afterAutospacing="0"/>
        <w:jc w:val="both"/>
        <w:textAlignment w:val="baseline"/>
        <w:rPr>
          <w:rFonts w:ascii="Segoe UI" w:hAnsi="Segoe UI" w:cs="Segoe UI"/>
          <w:sz w:val="18"/>
          <w:szCs w:val="18"/>
        </w:rPr>
      </w:pPr>
    </w:p>
    <w:p w14:paraId="3DC0B9D3" w14:textId="77777777" w:rsidR="008C5E36" w:rsidRPr="003B2888" w:rsidRDefault="008C5E36" w:rsidP="003B2888">
      <w:pPr>
        <w:pStyle w:val="paragraph"/>
        <w:spacing w:before="0" w:beforeAutospacing="0" w:after="0" w:afterAutospacing="0"/>
        <w:jc w:val="both"/>
        <w:textAlignment w:val="baseline"/>
        <w:rPr>
          <w:rFonts w:ascii="Segoe UI" w:hAnsi="Segoe UI" w:cs="Segoe UI"/>
          <w:sz w:val="18"/>
          <w:szCs w:val="18"/>
        </w:rPr>
      </w:pPr>
    </w:p>
    <w:sectPr w:rsidR="008C5E36" w:rsidRPr="003B288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6E9E2" w14:textId="77777777" w:rsidR="003127B9" w:rsidRDefault="003127B9" w:rsidP="00704BCB">
      <w:pPr>
        <w:spacing w:after="0" w:line="240" w:lineRule="auto"/>
      </w:pPr>
      <w:r>
        <w:separator/>
      </w:r>
    </w:p>
  </w:endnote>
  <w:endnote w:type="continuationSeparator" w:id="0">
    <w:p w14:paraId="2C0C032B" w14:textId="77777777" w:rsidR="003127B9" w:rsidRDefault="003127B9" w:rsidP="00704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abon Next LT">
    <w:charset w:val="00"/>
    <w:family w:val="auto"/>
    <w:pitch w:val="variable"/>
    <w:sig w:usb0="A11526FF" w:usb1="D000000B" w:usb2="0001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34136" w14:textId="77777777" w:rsidR="00704BCB" w:rsidRDefault="00704BCB">
    <w:pPr>
      <w:pStyle w:val="Footer"/>
    </w:pPr>
    <w:r>
      <w:t xml:space="preserve">CHARLENE ILANGALA </w:t>
    </w:r>
  </w:p>
  <w:p w14:paraId="726A8678" w14:textId="0A01591B" w:rsidR="00704BCB" w:rsidRDefault="00704BCB">
    <w:pPr>
      <w:pStyle w:val="Footer"/>
    </w:pPr>
    <w:r>
      <w:t>ID: 2134122</w:t>
    </w:r>
  </w:p>
  <w:p w14:paraId="5B558ED1" w14:textId="77777777" w:rsidR="00704BCB" w:rsidRDefault="00704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27A55" w14:textId="77777777" w:rsidR="003127B9" w:rsidRDefault="003127B9" w:rsidP="00704BCB">
      <w:pPr>
        <w:spacing w:after="0" w:line="240" w:lineRule="auto"/>
      </w:pPr>
      <w:r>
        <w:separator/>
      </w:r>
    </w:p>
  </w:footnote>
  <w:footnote w:type="continuationSeparator" w:id="0">
    <w:p w14:paraId="0E8B3C71" w14:textId="77777777" w:rsidR="003127B9" w:rsidRDefault="003127B9" w:rsidP="00704B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118A6"/>
    <w:multiLevelType w:val="multilevel"/>
    <w:tmpl w:val="BECE7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1863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888"/>
    <w:rsid w:val="00096778"/>
    <w:rsid w:val="003127B9"/>
    <w:rsid w:val="003B2888"/>
    <w:rsid w:val="003E3A84"/>
    <w:rsid w:val="006E54EE"/>
    <w:rsid w:val="00704BCB"/>
    <w:rsid w:val="008C5E36"/>
    <w:rsid w:val="009B6542"/>
    <w:rsid w:val="00E40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9FD8C"/>
  <w15:chartTrackingRefBased/>
  <w15:docId w15:val="{C066373D-B903-47CB-A3F4-826F2A34C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B28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3B2888"/>
  </w:style>
  <w:style w:type="character" w:customStyle="1" w:styleId="eop">
    <w:name w:val="eop"/>
    <w:basedOn w:val="DefaultParagraphFont"/>
    <w:rsid w:val="003B2888"/>
  </w:style>
  <w:style w:type="character" w:customStyle="1" w:styleId="normaltextrun">
    <w:name w:val="normaltextrun"/>
    <w:basedOn w:val="DefaultParagraphFont"/>
    <w:rsid w:val="003B2888"/>
  </w:style>
  <w:style w:type="paragraph" w:styleId="Header">
    <w:name w:val="header"/>
    <w:basedOn w:val="Normal"/>
    <w:link w:val="HeaderChar"/>
    <w:uiPriority w:val="99"/>
    <w:unhideWhenUsed/>
    <w:rsid w:val="00704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BCB"/>
  </w:style>
  <w:style w:type="paragraph" w:styleId="Footer">
    <w:name w:val="footer"/>
    <w:basedOn w:val="Normal"/>
    <w:link w:val="FooterChar"/>
    <w:uiPriority w:val="99"/>
    <w:unhideWhenUsed/>
    <w:rsid w:val="00704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BCB"/>
  </w:style>
  <w:style w:type="character" w:customStyle="1" w:styleId="spellingerror">
    <w:name w:val="spellingerror"/>
    <w:basedOn w:val="DefaultParagraphFont"/>
    <w:rsid w:val="003E3A84"/>
  </w:style>
  <w:style w:type="character" w:customStyle="1" w:styleId="scxp118721052">
    <w:name w:val="scxp118721052"/>
    <w:basedOn w:val="DefaultParagraphFont"/>
    <w:rsid w:val="003E3A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673769">
      <w:bodyDiv w:val="1"/>
      <w:marLeft w:val="0"/>
      <w:marRight w:val="0"/>
      <w:marTop w:val="0"/>
      <w:marBottom w:val="0"/>
      <w:divBdr>
        <w:top w:val="none" w:sz="0" w:space="0" w:color="auto"/>
        <w:left w:val="none" w:sz="0" w:space="0" w:color="auto"/>
        <w:bottom w:val="none" w:sz="0" w:space="0" w:color="auto"/>
        <w:right w:val="none" w:sz="0" w:space="0" w:color="auto"/>
      </w:divBdr>
      <w:divsChild>
        <w:div w:id="1648244769">
          <w:marLeft w:val="0"/>
          <w:marRight w:val="0"/>
          <w:marTop w:val="0"/>
          <w:marBottom w:val="0"/>
          <w:divBdr>
            <w:top w:val="none" w:sz="0" w:space="0" w:color="auto"/>
            <w:left w:val="none" w:sz="0" w:space="0" w:color="auto"/>
            <w:bottom w:val="none" w:sz="0" w:space="0" w:color="auto"/>
            <w:right w:val="none" w:sz="0" w:space="0" w:color="auto"/>
          </w:divBdr>
        </w:div>
        <w:div w:id="1565800674">
          <w:marLeft w:val="0"/>
          <w:marRight w:val="0"/>
          <w:marTop w:val="0"/>
          <w:marBottom w:val="0"/>
          <w:divBdr>
            <w:top w:val="none" w:sz="0" w:space="0" w:color="auto"/>
            <w:left w:val="none" w:sz="0" w:space="0" w:color="auto"/>
            <w:bottom w:val="none" w:sz="0" w:space="0" w:color="auto"/>
            <w:right w:val="none" w:sz="0" w:space="0" w:color="auto"/>
          </w:divBdr>
        </w:div>
      </w:divsChild>
    </w:div>
    <w:div w:id="1380083157">
      <w:bodyDiv w:val="1"/>
      <w:marLeft w:val="0"/>
      <w:marRight w:val="0"/>
      <w:marTop w:val="0"/>
      <w:marBottom w:val="0"/>
      <w:divBdr>
        <w:top w:val="none" w:sz="0" w:space="0" w:color="auto"/>
        <w:left w:val="none" w:sz="0" w:space="0" w:color="auto"/>
        <w:bottom w:val="none" w:sz="0" w:space="0" w:color="auto"/>
        <w:right w:val="none" w:sz="0" w:space="0" w:color="auto"/>
      </w:divBdr>
      <w:divsChild>
        <w:div w:id="237978645">
          <w:marLeft w:val="0"/>
          <w:marRight w:val="0"/>
          <w:marTop w:val="0"/>
          <w:marBottom w:val="0"/>
          <w:divBdr>
            <w:top w:val="none" w:sz="0" w:space="0" w:color="auto"/>
            <w:left w:val="none" w:sz="0" w:space="0" w:color="auto"/>
            <w:bottom w:val="none" w:sz="0" w:space="0" w:color="auto"/>
            <w:right w:val="none" w:sz="0" w:space="0" w:color="auto"/>
          </w:divBdr>
        </w:div>
        <w:div w:id="1833836918">
          <w:marLeft w:val="0"/>
          <w:marRight w:val="0"/>
          <w:marTop w:val="0"/>
          <w:marBottom w:val="0"/>
          <w:divBdr>
            <w:top w:val="none" w:sz="0" w:space="0" w:color="auto"/>
            <w:left w:val="none" w:sz="0" w:space="0" w:color="auto"/>
            <w:bottom w:val="none" w:sz="0" w:space="0" w:color="auto"/>
            <w:right w:val="none" w:sz="0" w:space="0" w:color="auto"/>
          </w:divBdr>
        </w:div>
        <w:div w:id="976951183">
          <w:marLeft w:val="0"/>
          <w:marRight w:val="0"/>
          <w:marTop w:val="0"/>
          <w:marBottom w:val="0"/>
          <w:divBdr>
            <w:top w:val="none" w:sz="0" w:space="0" w:color="auto"/>
            <w:left w:val="none" w:sz="0" w:space="0" w:color="auto"/>
            <w:bottom w:val="none" w:sz="0" w:space="0" w:color="auto"/>
            <w:right w:val="none" w:sz="0" w:space="0" w:color="auto"/>
          </w:divBdr>
        </w:div>
      </w:divsChild>
    </w:div>
    <w:div w:id="1407264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1450</Words>
  <Characters>8269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kitoko</dc:creator>
  <cp:keywords/>
  <dc:description/>
  <cp:lastModifiedBy>rebecca kitoko</cp:lastModifiedBy>
  <cp:revision>2</cp:revision>
  <dcterms:created xsi:type="dcterms:W3CDTF">2023-01-04T10:05:00Z</dcterms:created>
  <dcterms:modified xsi:type="dcterms:W3CDTF">2023-01-04T10:05:00Z</dcterms:modified>
</cp:coreProperties>
</file>