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19D01" w14:textId="55CA646C" w:rsidR="001C5785" w:rsidRDefault="001C5785" w:rsidP="00CB5846">
      <w:r>
        <w:t>Charlotte Halls – Criminal Law</w:t>
      </w:r>
    </w:p>
    <w:p w14:paraId="239BEAE0" w14:textId="77777777" w:rsidR="001C5785" w:rsidRDefault="001C5785" w:rsidP="00CB5846"/>
    <w:p w14:paraId="65B08E26" w14:textId="0E2103D0" w:rsidR="00816E7C" w:rsidRDefault="00E5709B" w:rsidP="00CB5846">
      <w:r>
        <w:t xml:space="preserve">The criminal damage act 1971 </w:t>
      </w:r>
      <w:r w:rsidR="00EF3A07">
        <w:t>defines Criminal damage as “A person who, without lawful excuse, destroys or damages an</w:t>
      </w:r>
      <w:r w:rsidR="00476E42">
        <w:t>y property belonging to another</w:t>
      </w:r>
      <w:r w:rsidR="00380817">
        <w:t xml:space="preserve"> intending to destroy or damage any such pro</w:t>
      </w:r>
      <w:r w:rsidR="00C3241C">
        <w:t>perty or being reckless as to whether any such property would be destroyed or damaged shall be guilty of an offence</w:t>
      </w:r>
      <w:r w:rsidR="00DB3F89">
        <w:t>”</w:t>
      </w:r>
      <w:r w:rsidR="00476E42">
        <w:t>.</w:t>
      </w:r>
      <w:r w:rsidR="00DB3F89">
        <w:t xml:space="preserve"> There are specific elements to the offence of criminal damage. It must include a property belonging to another</w:t>
      </w:r>
      <w:r w:rsidR="006E20F6">
        <w:t xml:space="preserve"> where the defendant’s conduct results in the damage of the property</w:t>
      </w:r>
      <w:r w:rsidR="00D60A51">
        <w:t>(Laver, N).</w:t>
      </w:r>
      <w:r w:rsidR="006E20F6">
        <w:t>.</w:t>
      </w:r>
      <w:r w:rsidR="00AC246A">
        <w:t xml:space="preserve"> </w:t>
      </w:r>
      <w:r w:rsidR="00D907F4">
        <w:t>The two aspects which need to be considere</w:t>
      </w:r>
      <w:r w:rsidR="00D9101A">
        <w:t>d when looking at crimes are the actus reus and the mens rea.</w:t>
      </w:r>
      <w:r w:rsidR="00816E7C">
        <w:t xml:space="preserve"> The actus reus refers to the guilty act I.e. smashing the window and the mens rea refers to the guilty mind when committing that crime I.e. the intention of participating in those actions. </w:t>
      </w:r>
    </w:p>
    <w:p w14:paraId="2E61306B" w14:textId="2556D618" w:rsidR="000E0957" w:rsidRDefault="00D9101A" w:rsidP="00CB5846">
      <w:r>
        <w:t xml:space="preserve"> The actus reus of criminal damage is ‘destroyed or damaged property belonging to another without lawful excuse</w:t>
      </w:r>
      <w:r w:rsidR="00F01883">
        <w:t>’ and then intention to destroy or damage, is the mens rea.</w:t>
      </w:r>
      <w:r w:rsidR="00692473">
        <w:t xml:space="preserve"> Both of these are present. The actus reus was Christine smashing the window of the house. The mens rea</w:t>
      </w:r>
      <w:r w:rsidR="00F01883">
        <w:t xml:space="preserve"> </w:t>
      </w:r>
      <w:r w:rsidR="00692473">
        <w:t xml:space="preserve">is difficult to determine because Christine was experiencing hallucinations. </w:t>
      </w:r>
      <w:r w:rsidR="006E20F6">
        <w:t>The defendant will not had a lawful excuse and they intend to destroy the property</w:t>
      </w:r>
      <w:r w:rsidR="00D60A51">
        <w:t xml:space="preserve">(Law Explore). </w:t>
      </w:r>
      <w:r w:rsidR="00D07900">
        <w:t>Harriet smashed the windows of Christine’s hous</w:t>
      </w:r>
      <w:r w:rsidR="00677A10">
        <w:t xml:space="preserve">e. </w:t>
      </w:r>
      <w:r w:rsidR="00787F4A">
        <w:t>Harriet was involuntarily intoxicated due to Leon spiking her drink with vodka. Harriet was no longer in control of her actions and as result of her hallucinations, she smashed the window in an attempt to ‘escape the fire’.</w:t>
      </w:r>
      <w:r w:rsidR="00F218DF">
        <w:t xml:space="preserve"> In this instance, the Actus reus was present because Harriet did smash the windows.</w:t>
      </w:r>
      <w:r w:rsidR="00B1104C">
        <w:t xml:space="preserve"> Leon had the actus reus, the mens rea </w:t>
      </w:r>
      <w:r w:rsidR="00BD1328">
        <w:t>but no defence to the crime he committed. This means Leon had criminal liability and his actions were entirely down to his own personal choice to commit this crime.</w:t>
      </w:r>
      <w:r w:rsidR="00F218DF">
        <w:t xml:space="preserve"> </w:t>
      </w:r>
      <w:r w:rsidR="00A952DE">
        <w:t xml:space="preserve">A defence to criminal damage in this instance would be involuntary intoxication and automatism. </w:t>
      </w:r>
      <w:r w:rsidR="00647424">
        <w:t xml:space="preserve">This is because Harriet was unable to control her conduct due to the external factor of alcohol. </w:t>
      </w:r>
      <w:r w:rsidR="00A7644B">
        <w:t>Harriet a</w:t>
      </w:r>
      <w:r w:rsidR="00B608CD">
        <w:t xml:space="preserve">lso hit a guest in the face, causing him to have broken cheek bone. </w:t>
      </w:r>
    </w:p>
    <w:p w14:paraId="0EBB09C5" w14:textId="24B3634D" w:rsidR="006C057B" w:rsidRDefault="006C057B" w:rsidP="00CB5846">
      <w:r>
        <w:t xml:space="preserve">An example of criminal damage would be </w:t>
      </w:r>
      <w:r w:rsidR="002D2811">
        <w:t>Gayford v Chouler. This is where the defendant trespassed on someone else’s land and trampled on the grass. The defendant was</w:t>
      </w:r>
      <w:r w:rsidR="000442C8">
        <w:t xml:space="preserve"> charged for criminal damage.</w:t>
      </w:r>
      <w:r w:rsidR="00567BE6">
        <w:t xml:space="preserve"> (Gayford v Chouler [189</w:t>
      </w:r>
      <w:r w:rsidR="0081627B">
        <w:t>8] 1 QB 316)</w:t>
      </w:r>
      <w:r w:rsidR="0012071A">
        <w:t>.</w:t>
      </w:r>
    </w:p>
    <w:p w14:paraId="2380F203" w14:textId="6B21B1E8" w:rsidR="00325C9A" w:rsidRDefault="00325C9A" w:rsidP="00CB5846">
      <w:r>
        <w:t>A defence</w:t>
      </w:r>
      <w:r w:rsidR="00557A47">
        <w:t xml:space="preserve"> Harriet</w:t>
      </w:r>
      <w:r>
        <w:t xml:space="preserve"> would be able to use is Mistake. This is when a defendant commits a crime under a mistaken belief. </w:t>
      </w:r>
      <w:r w:rsidR="00557A47">
        <w:t>Harriet</w:t>
      </w:r>
      <w:r>
        <w:t xml:space="preserve"> believed the house was on fire due to the hallucinations, hence the smashing of the windows, ordinarily she would not have done this. When a defendant attempts to claim the defence of Mistake, it normally comes alongside intoxication. </w:t>
      </w:r>
      <w:r w:rsidR="00557A47">
        <w:t>Using the defence of mistake denies and rejects the mens rea of the crime. (Justia) Harriet</w:t>
      </w:r>
      <w:r>
        <w:t xml:space="preserve"> can relate to this because she is also able to use involuntary intoxication as a defence for her actions. </w:t>
      </w:r>
    </w:p>
    <w:p w14:paraId="2B26968B" w14:textId="5AA4BE88" w:rsidR="00126E8E" w:rsidRDefault="00126E8E" w:rsidP="00CB5846">
      <w:r>
        <w:t xml:space="preserve">An example of Mistake </w:t>
      </w:r>
      <w:r w:rsidR="00E77E0D">
        <w:t xml:space="preserve">was first shown in the case of R v tolson (1889) 23 QBD 168. </w:t>
      </w:r>
      <w:r w:rsidR="006B495D">
        <w:t>The defendant was told her husband has been lost o</w:t>
      </w:r>
      <w:r w:rsidR="00821EFF">
        <w:t xml:space="preserve">n a ship at sea and was presumed dead. She married another man and then her husband showed up. The defendant was charged with the offence of bigamy, using this defence of mistake. </w:t>
      </w:r>
    </w:p>
    <w:p w14:paraId="27E61EC3" w14:textId="77777777" w:rsidR="00761247" w:rsidRDefault="00761247" w:rsidP="00CB5846"/>
    <w:p w14:paraId="45549E5F" w14:textId="0DD1AF99" w:rsidR="00A73D5C" w:rsidRDefault="00557A47" w:rsidP="00CB5846">
      <w:r>
        <w:t xml:space="preserve">Harriet </w:t>
      </w:r>
      <w:r w:rsidR="00A73D5C">
        <w:t xml:space="preserve">hit Daniel in the face and caused a broken cheek bone, this is </w:t>
      </w:r>
      <w:r w:rsidR="00574F04">
        <w:t xml:space="preserve">comes under the offences against the Person Act 1861 (OAPA), section 20. This best describes unlawful and malicious wounding or inflicting grievous bodily harm without intent. </w:t>
      </w:r>
      <w:r w:rsidR="00A244EC">
        <w:t xml:space="preserve">It is defined as “Whosoever shall unlawfully and maliciously wound or inflict any grievous bodily harm upon any other person, either </w:t>
      </w:r>
      <w:r w:rsidR="00A244EC">
        <w:lastRenderedPageBreak/>
        <w:t>with or without any weapon or instrument, shall be guilty of a misdemeanour, and be convicted thereof shall… Be liable to imprisonment for not more than five years”</w:t>
      </w:r>
      <w:r w:rsidR="00821E77">
        <w:t>(</w:t>
      </w:r>
      <w:r w:rsidR="00040F09">
        <w:t>Hill, B</w:t>
      </w:r>
      <w:r w:rsidR="00821E77">
        <w:t>)</w:t>
      </w:r>
      <w:r w:rsidR="00040F09">
        <w:t xml:space="preserve">. </w:t>
      </w:r>
      <w:r w:rsidR="00574F04">
        <w:t>The elements of this crime are: there was an unlawful conduct on the part of the defendant, another person suffered a wound or GBH and the defendant maliciously inflicted the wound or GBH.</w:t>
      </w:r>
      <w:r w:rsidR="00040F09">
        <w:t xml:space="preserve"> The actus reus</w:t>
      </w:r>
      <w:r w:rsidR="00AC128B">
        <w:t xml:space="preserve"> elements are unlawfully wounding or inflicting GBH on another person. The Mens rea elements</w:t>
      </w:r>
      <w:r w:rsidR="00DB0135">
        <w:t xml:space="preserve"> is the direct intention to do so.</w:t>
      </w:r>
    </w:p>
    <w:p w14:paraId="155636D3" w14:textId="77777777" w:rsidR="00CB5846" w:rsidRDefault="00CB5846" w:rsidP="00CB5846"/>
    <w:p w14:paraId="4B08F682" w14:textId="77777777" w:rsidR="00A40CA8" w:rsidRDefault="008951EB" w:rsidP="00CB5846">
      <w:r>
        <w:t>Harriet’s actions can be put down to intoxication. There are two types of intoxication: voluntary and involuntary</w:t>
      </w:r>
      <w:r w:rsidR="002C48CD">
        <w:t>.</w:t>
      </w:r>
      <w:r w:rsidR="00AA5940">
        <w:t xml:space="preserve"> Voluntary intoxication is the </w:t>
      </w:r>
      <w:r w:rsidR="00827868">
        <w:t>consumption of drink or drugs, purposely.</w:t>
      </w:r>
      <w:r w:rsidR="00805CDC">
        <w:t xml:space="preserve"> Voluntary intoxication cannot be a defence </w:t>
      </w:r>
      <w:r w:rsidR="00866ED7">
        <w:t>when it comes to specific intent crimes. Case law to back this up would be DPP v bear (1920) AC 479. In this case, the defendant was drunk and raped a 13 year old girl, he put his hand over</w:t>
      </w:r>
      <w:r w:rsidR="002E2988">
        <w:t xml:space="preserve"> her mouth to stop her from screaming. The 13 year old later died of suffocation.</w:t>
      </w:r>
      <w:r w:rsidR="002C48CD">
        <w:t xml:space="preserve"> </w:t>
      </w:r>
    </w:p>
    <w:p w14:paraId="4681CD98" w14:textId="0ED8A105" w:rsidR="00B604E6" w:rsidRDefault="00B604E6" w:rsidP="00CB5846">
      <w:r>
        <w:t xml:space="preserve">Due to Harriet having </w:t>
      </w:r>
      <w:r w:rsidR="00476A5E">
        <w:t>the defenced of involuntary intoxication</w:t>
      </w:r>
      <w:r>
        <w:t xml:space="preserve"> to the crime, it could me</w:t>
      </w:r>
      <w:r w:rsidR="006B02D2">
        <w:t xml:space="preserve">an that she does not have any criminal liability. </w:t>
      </w:r>
      <w:r w:rsidR="00476A5E">
        <w:t>This is because in order to establish criminal liability, the mens rea, actus reus and a defence all need to be present.</w:t>
      </w:r>
    </w:p>
    <w:p w14:paraId="41139A92" w14:textId="3B190CB3" w:rsidR="00CB5846" w:rsidRDefault="002C48CD" w:rsidP="00CB5846">
      <w:r>
        <w:t xml:space="preserve">Involuntary intoxication is when the </w:t>
      </w:r>
      <w:r w:rsidR="000F176C">
        <w:t xml:space="preserve">defendant is unaware that they have partaken in the consumption of drink or drugs. </w:t>
      </w:r>
      <w:r w:rsidR="00C13A69">
        <w:t xml:space="preserve">This means they </w:t>
      </w:r>
      <w:r w:rsidR="00D26D6D">
        <w:t>are not aware of the affects this will have on them.</w:t>
      </w:r>
      <w:r w:rsidR="008A26B4">
        <w:t xml:space="preserve"> It will not </w:t>
      </w:r>
      <w:r w:rsidR="006E3473">
        <w:t xml:space="preserve">always </w:t>
      </w:r>
      <w:r w:rsidR="008A26B4">
        <w:t xml:space="preserve">be possible to prove the mens rea in a situation like this, </w:t>
      </w:r>
      <w:r w:rsidR="006E3473">
        <w:t xml:space="preserve">if it is not present then the person in question is able to use this as a defence. </w:t>
      </w:r>
    </w:p>
    <w:p w14:paraId="38B472E2" w14:textId="269DC4BD" w:rsidR="006349D5" w:rsidRDefault="00276FBE" w:rsidP="00CB5846">
      <w:r>
        <w:t xml:space="preserve">An example of this is Kingston 1995 s AC 355, in this case Barry Kingston was </w:t>
      </w:r>
      <w:r w:rsidR="00DA7110">
        <w:t>involuntarily drugged by his frien</w:t>
      </w:r>
      <w:r w:rsidR="00112FFC">
        <w:t xml:space="preserve">d who encouraged to perform sexual acts on a 15 year old boy. </w:t>
      </w:r>
      <w:r w:rsidR="00653620">
        <w:t>This incident had been entirely set up by his friend. Kingston was convicted of indece</w:t>
      </w:r>
      <w:r w:rsidR="000C0AE5">
        <w:t>nt assault. Kingston used the defence that if he hasn’t been drugged, he wouldn’t have acted in such a way.</w:t>
      </w:r>
      <w:r w:rsidR="00F86699">
        <w:t xml:space="preserve"> The court concluded that </w:t>
      </w:r>
      <w:r w:rsidR="00FB7A6F">
        <w:t>although the drugs played a significant part in this</w:t>
      </w:r>
      <w:r w:rsidR="003B5FCE">
        <w:t>, it</w:t>
      </w:r>
      <w:r w:rsidR="00EE2E97">
        <w:t xml:space="preserve"> did not negative the necessary mental element which was found to be present in Kingston’s conduct</w:t>
      </w:r>
      <w:r w:rsidR="00AE3F4D">
        <w:t xml:space="preserve"> (LawNet)</w:t>
      </w:r>
    </w:p>
    <w:p w14:paraId="79EA9688" w14:textId="69EB70E3" w:rsidR="00BC7CAB" w:rsidRDefault="00C46CED">
      <w:r>
        <w:t>Another defence would be automatism. This is defined by Fenwick (1990) as “An involuntary piece of behaviour over which an individual has no control. The behaviour itself is usually inappropriate to the circumstances, and may be out of character for the individual… Afterwards, the individual may have no recollection, or only partial and confused memory, of his actions”. Harriet may be able to use this as a defence as she was hallucinating</w:t>
      </w:r>
      <w:r w:rsidR="00632630">
        <w:t xml:space="preserve"> when she thought the house was on fire. It is likely that Harriet had no recollection of the events. </w:t>
      </w:r>
    </w:p>
    <w:p w14:paraId="085696B3" w14:textId="1A1D1079" w:rsidR="00632630" w:rsidRDefault="00632630">
      <w:r>
        <w:t>An example of automatism would be R v Quick</w:t>
      </w:r>
      <w:r w:rsidR="00C17104">
        <w:t xml:space="preserve">. The defendant was a diabetic and was in a state of hypo-glycaemia and injured someone whilst blacked out. </w:t>
      </w:r>
      <w:r w:rsidR="00CB14BA">
        <w:t xml:space="preserve">Quick collapsed and couldn’t remember what had happened. Quick had taken a dose of insulin earlier on in the day and did not eat enough. Quick was also drinking. His doctor testified that there had been several times where Quick was admitted to hospital in an unconscious state due to hypoglycaemia. The Judge at the trial ruled that the evidence meant that there was a defence of insanity. (lawteacher.net) </w:t>
      </w:r>
    </w:p>
    <w:p w14:paraId="28F5EFA9" w14:textId="234ED80E" w:rsidR="00A952DE" w:rsidRDefault="00A952DE" w:rsidP="00C17104">
      <w:pPr>
        <w:jc w:val="center"/>
      </w:pPr>
    </w:p>
    <w:p w14:paraId="12BDEEF1" w14:textId="09B50D9F" w:rsidR="00517D79" w:rsidRDefault="00A952DE">
      <w:r>
        <w:t>Paula</w:t>
      </w:r>
      <w:r w:rsidR="00B608CD">
        <w:t xml:space="preserve"> stole a handbag from </w:t>
      </w:r>
      <w:r w:rsidR="006561E4">
        <w:t>Christine’s house</w:t>
      </w:r>
      <w:r w:rsidR="003D3C9B">
        <w:t xml:space="preserve">, this can be classed as theft. </w:t>
      </w:r>
      <w:r w:rsidR="006B018E">
        <w:t>This is because Paul</w:t>
      </w:r>
      <w:r w:rsidR="00993DCA">
        <w:t xml:space="preserve">a was not a trespasser, she was a guest. If she was a trespasser it could be considered burglary. </w:t>
      </w:r>
      <w:r w:rsidR="003D3C9B">
        <w:t xml:space="preserve">Section 1 (1) of the Theft act 1968 (TA 1968) defines theft as “ A person is guilty of theft if he dishonestly appropriates property belonging to another with the intention of permanently depriving the other of </w:t>
      </w:r>
      <w:r w:rsidR="003D3C9B">
        <w:lastRenderedPageBreak/>
        <w:t>it</w:t>
      </w:r>
      <w:r w:rsidR="00E1460E">
        <w:t xml:space="preserve">”. </w:t>
      </w:r>
      <w:r w:rsidR="003D3C9B">
        <w:t xml:space="preserve"> In order for a crime to be considered theft, it needs to meet the correct elements. These are</w:t>
      </w:r>
      <w:r w:rsidR="00E1460E">
        <w:t>:</w:t>
      </w:r>
      <w:r w:rsidR="003D3C9B">
        <w:t xml:space="preserve"> the defendant appropriates property belonging to another with the intention of permanently depriving the other of it.</w:t>
      </w:r>
      <w:r w:rsidR="00B10F7F">
        <w:t xml:space="preserve"> (Theft Act 1968 (extracts) 1968 Chapter 60). </w:t>
      </w:r>
      <w:r w:rsidR="00E1460E">
        <w:t>The actus</w:t>
      </w:r>
      <w:r w:rsidR="003B772E">
        <w:t xml:space="preserve"> reus of theft is the appropriation of property belonging to another. The Mens rea is the dishonesty and the intention to permanently deprive the other of it. Both of these elements are present in Paula’s case. </w:t>
      </w:r>
      <w:r w:rsidR="00591400">
        <w:t>Th</w:t>
      </w:r>
      <w:r w:rsidR="001316A4">
        <w:t>e actus reus in this case would be Paula stealing the handbag from Christine</w:t>
      </w:r>
      <w:r w:rsidR="00E1460E">
        <w:t xml:space="preserve">, hiding it underneath her car </w:t>
      </w:r>
      <w:r w:rsidR="001316A4">
        <w:t xml:space="preserve">and </w:t>
      </w:r>
      <w:r w:rsidR="00E1460E">
        <w:t xml:space="preserve">proceeding to </w:t>
      </w:r>
      <w:r w:rsidR="001316A4">
        <w:t>tak</w:t>
      </w:r>
      <w:r w:rsidR="00E1460E">
        <w:t>e</w:t>
      </w:r>
      <w:r w:rsidR="001316A4">
        <w:t xml:space="preserve"> it home with her. The mens rea would be Paula’s intention to steal</w:t>
      </w:r>
      <w:r w:rsidR="00E42C6D">
        <w:t xml:space="preserve">. This is </w:t>
      </w:r>
      <w:r w:rsidR="005060C9">
        <w:t>due to the long-lasting jealousy she had for Christine.</w:t>
      </w:r>
      <w:r w:rsidR="007B78ED">
        <w:t>86</w:t>
      </w:r>
    </w:p>
    <w:p w14:paraId="0DB94F4D" w14:textId="56115E02" w:rsidR="00AF0474" w:rsidRDefault="00AF0474">
      <w:r>
        <w:t>In the case o</w:t>
      </w:r>
      <w:r w:rsidR="00251CCA">
        <w:t xml:space="preserve">f R v Hall [1973] 1 QB 496, the defendant </w:t>
      </w:r>
      <w:r w:rsidR="008270A5">
        <w:t xml:space="preserve">was travelling and had taken money for securing plane tickets for customers and not booked them. </w:t>
      </w:r>
      <w:r w:rsidR="00332A3B">
        <w:t>He then tra</w:t>
      </w:r>
      <w:r w:rsidR="00190885">
        <w:t xml:space="preserve">nsferred the money into his business account and then the account collapsed. </w:t>
      </w:r>
    </w:p>
    <w:p w14:paraId="043BE8EF" w14:textId="77777777" w:rsidR="001C5785" w:rsidRDefault="001C5785"/>
    <w:p w14:paraId="7DC8F980" w14:textId="77777777" w:rsidR="00BE0BB6" w:rsidRPr="0057373D" w:rsidRDefault="00BE0BB6" w:rsidP="00BE0BB6">
      <w:r w:rsidRPr="0057373D">
        <w:t>Ass</w:t>
      </w:r>
      <w:r>
        <w:t xml:space="preserve">ault &amp; Grievous Bodily Harm, Olliers Solicitors Law Firm, July 12, 2020 </w:t>
      </w:r>
      <w:hyperlink r:id="rId5" w:history="1">
        <w:r w:rsidRPr="005C2CDA">
          <w:rPr>
            <w:rStyle w:val="Hyperlink"/>
          </w:rPr>
          <w:t>https://www.olliers.com/criminal-law/assault-grievous-bodily-harm/</w:t>
        </w:r>
      </w:hyperlink>
      <w:r>
        <w:t xml:space="preserve"> accessed December 29</w:t>
      </w:r>
      <w:r w:rsidRPr="0057373D">
        <w:rPr>
          <w:vertAlign w:val="superscript"/>
        </w:rPr>
        <w:t>th</w:t>
      </w:r>
      <w:r>
        <w:t xml:space="preserve"> 2021. </w:t>
      </w:r>
    </w:p>
    <w:p w14:paraId="62166B38" w14:textId="77777777" w:rsidR="00BE0BB6" w:rsidRDefault="00BE0BB6" w:rsidP="00BE0BB6"/>
    <w:p w14:paraId="08A021E9" w14:textId="544B26A5" w:rsidR="00BE0BB6" w:rsidRDefault="00BE0BB6" w:rsidP="00BE0BB6">
      <w:r w:rsidRPr="00AE1C10">
        <w:t>Automatism Cases</w:t>
      </w:r>
      <w:r>
        <w:t xml:space="preserve"> | Law Teacher, accessed 28/12/21</w:t>
      </w:r>
      <w:r w:rsidRPr="00AE1C10">
        <w:t xml:space="preserve"> </w:t>
      </w:r>
      <w:hyperlink r:id="rId6" w:history="1">
        <w:r w:rsidRPr="00AE1C10">
          <w:rPr>
            <w:rStyle w:val="Hyperlink"/>
          </w:rPr>
          <w:t>https://www.lawteacher.net/cases/automatism-cases.php</w:t>
        </w:r>
      </w:hyperlink>
      <w:r w:rsidRPr="00AE1C10">
        <w:t xml:space="preserve"> </w:t>
      </w:r>
      <w:r>
        <w:t xml:space="preserve"> </w:t>
      </w:r>
      <w:r w:rsidRPr="00462254">
        <w:t xml:space="preserve">Kingston </w:t>
      </w:r>
    </w:p>
    <w:p w14:paraId="351ADBE3" w14:textId="77777777" w:rsidR="00D03FFE" w:rsidRDefault="00D03FFE" w:rsidP="00BE0BB6"/>
    <w:p w14:paraId="676BAB27" w14:textId="77777777" w:rsidR="00D03FFE" w:rsidRDefault="00BE0BB6" w:rsidP="00D03FFE">
      <w:r w:rsidRPr="00AE1C10">
        <w:t>Automatism Cases</w:t>
      </w:r>
      <w:r>
        <w:t xml:space="preserve"> | Law Teacher, accessed 28/12/21</w:t>
      </w:r>
      <w:r w:rsidRPr="00AE1C10">
        <w:t xml:space="preserve"> </w:t>
      </w:r>
      <w:hyperlink r:id="rId7" w:history="1">
        <w:r w:rsidRPr="00AE1C10">
          <w:rPr>
            <w:rStyle w:val="Hyperlink"/>
          </w:rPr>
          <w:t>https://www.lawteacher.net/cases/automatism-cases.php</w:t>
        </w:r>
      </w:hyperlink>
    </w:p>
    <w:p w14:paraId="02199135" w14:textId="77777777" w:rsidR="00D03FFE" w:rsidRDefault="00D03FFE" w:rsidP="00D03FFE"/>
    <w:p w14:paraId="05B3DF41" w14:textId="03448CF1" w:rsidR="00D03FFE" w:rsidRDefault="00BE0BB6" w:rsidP="00D03FFE">
      <w:r w:rsidRPr="00AE1C10">
        <w:t xml:space="preserve"> </w:t>
      </w:r>
      <w:r w:rsidR="00D03FFE">
        <w:t xml:space="preserve">Definition of theft, Theft Act 1968 (Extracts) accessed 28/12/21 </w:t>
      </w:r>
      <w:hyperlink r:id="rId8" w:history="1">
        <w:r w:rsidR="00B9629D" w:rsidRPr="002E5370">
          <w:rPr>
            <w:rStyle w:val="Hyperlink"/>
          </w:rPr>
          <w:t>https://fr.unesco.org/sites/default/files/gb_theftact1968_engorof.pdf</w:t>
        </w:r>
      </w:hyperlink>
      <w:r w:rsidR="00D03FFE">
        <w:t xml:space="preserve"> </w:t>
      </w:r>
    </w:p>
    <w:p w14:paraId="6B34068C" w14:textId="77777777" w:rsidR="00D03FFE" w:rsidRDefault="00D03FFE" w:rsidP="00D03FFE">
      <w:r>
        <w:t>Elements of theft, Theft Act 1968 (Extracts), accessed 28/12/21</w:t>
      </w:r>
      <w:hyperlink r:id="rId9" w:history="1">
        <w:r w:rsidRPr="005C2CDA">
          <w:rPr>
            <w:rStyle w:val="Hyperlink"/>
          </w:rPr>
          <w:t>https://fr.unesco.org/sites/default/files/gb_theftact1968_engorof.pdf</w:t>
        </w:r>
      </w:hyperlink>
      <w:r>
        <w:t xml:space="preserve">  </w:t>
      </w:r>
    </w:p>
    <w:p w14:paraId="1F68B0C0" w14:textId="7376F8D5" w:rsidR="00D66677" w:rsidRDefault="0012071A" w:rsidP="00D66677">
      <w:r>
        <w:t xml:space="preserve">Gayford v  Choler – Case Sumars – IPSA LOQUITUR, </w:t>
      </w:r>
      <w:r w:rsidR="00761247">
        <w:t xml:space="preserve">IPSA LOUQUITR </w:t>
      </w:r>
      <w:hyperlink r:id="rId10" w:history="1">
        <w:r w:rsidR="00761247" w:rsidRPr="002E5370">
          <w:rPr>
            <w:rStyle w:val="Hyperlink"/>
          </w:rPr>
          <w:t>https://ipsaloquitur.com/criminal-law/cases/gayford-v-chouler/</w:t>
        </w:r>
      </w:hyperlink>
      <w:r>
        <w:t xml:space="preserve"> </w:t>
      </w:r>
      <w:r w:rsidR="00761247">
        <w:t>accessed 2/1/22</w:t>
      </w:r>
    </w:p>
    <w:p w14:paraId="121D172B" w14:textId="21AA5AC3" w:rsidR="00D66677" w:rsidRPr="00234048" w:rsidRDefault="00D66677" w:rsidP="00D66677">
      <w:r w:rsidRPr="00234048">
        <w:t>Fenwick 1990, Of</w:t>
      </w:r>
      <w:r>
        <w:t>fice Practice of Neurology (Second edition), 2003, accessed 18/12/21</w:t>
      </w:r>
      <w:r w:rsidRPr="00234048">
        <w:t xml:space="preserve"> </w:t>
      </w:r>
      <w:hyperlink r:id="rId11" w:history="1">
        <w:r w:rsidRPr="00234048">
          <w:rPr>
            <w:rStyle w:val="Hyperlink"/>
          </w:rPr>
          <w:t>https://www.sciencedirect.com/topics/medicine-and-dentistry/automatism</w:t>
        </w:r>
      </w:hyperlink>
      <w:r w:rsidRPr="00234048">
        <w:t xml:space="preserve"> </w:t>
      </w:r>
    </w:p>
    <w:p w14:paraId="010E7529" w14:textId="77777777" w:rsidR="00D66677" w:rsidRPr="00462254" w:rsidRDefault="00D66677" w:rsidP="00D66677"/>
    <w:p w14:paraId="22B163A3" w14:textId="77777777" w:rsidR="00D66677" w:rsidRPr="00040F09" w:rsidRDefault="00D66677" w:rsidP="00D66677">
      <w:r w:rsidRPr="00040F09">
        <w:t>Hill</w:t>
      </w:r>
      <w:r>
        <w:t xml:space="preserve">, B, Learn the differenced between the terms ABH and GBH, which is most serious and the maximum penalties, The Sun, accessed 28/12/21 </w:t>
      </w:r>
      <w:hyperlink r:id="rId12" w:history="1">
        <w:r w:rsidRPr="005C2CDA">
          <w:rPr>
            <w:rStyle w:val="Hyperlink"/>
          </w:rPr>
          <w:t>https://www.thesun.co.uk/news/3937038/gbh-abh-difference-crime-maximum-penalty/</w:t>
        </w:r>
      </w:hyperlink>
      <w:r>
        <w:t xml:space="preserve"> written 15/4/21</w:t>
      </w:r>
    </w:p>
    <w:p w14:paraId="315E84E5" w14:textId="77777777" w:rsidR="00D66677" w:rsidRDefault="00D66677" w:rsidP="00D03FFE"/>
    <w:p w14:paraId="31EBC7AA" w14:textId="77777777" w:rsidR="00D66677" w:rsidRDefault="00D66677" w:rsidP="00D66677">
      <w:r w:rsidRPr="005024A5">
        <w:t xml:space="preserve">Laver, N. Criminal Damage, </w:t>
      </w:r>
      <w:hyperlink r:id="rId13" w:history="1">
        <w:r w:rsidRPr="005024A5">
          <w:rPr>
            <w:rStyle w:val="Hyperlink"/>
          </w:rPr>
          <w:t>https://www.inbrief.co.uk/offences/criminal-damage/</w:t>
        </w:r>
      </w:hyperlink>
      <w:r w:rsidRPr="005024A5">
        <w:t xml:space="preserve">  date published </w:t>
      </w:r>
      <w:r>
        <w:t>23/2/17, date accessed 14/12/21</w:t>
      </w:r>
    </w:p>
    <w:p w14:paraId="3D5782F3" w14:textId="77777777" w:rsidR="00D66677" w:rsidRDefault="00D66677" w:rsidP="00D66677"/>
    <w:p w14:paraId="614774F9" w14:textId="77777777" w:rsidR="00D66677" w:rsidRDefault="00D66677" w:rsidP="00D66677">
      <w:r>
        <w:lastRenderedPageBreak/>
        <w:t xml:space="preserve">Law Explorer, Criminal damage </w:t>
      </w:r>
      <w:hyperlink r:id="rId14" w:history="1">
        <w:r w:rsidRPr="005C2CDA">
          <w:rPr>
            <w:rStyle w:val="Hyperlink"/>
          </w:rPr>
          <w:t>https://lawexplores.com/criminal-damage/</w:t>
        </w:r>
      </w:hyperlink>
      <w:r>
        <w:t xml:space="preserve"> date published 7/10/21, date accessed 14/12/21</w:t>
      </w:r>
    </w:p>
    <w:p w14:paraId="0C713C16" w14:textId="77777777" w:rsidR="00D66677" w:rsidRDefault="00D66677" w:rsidP="00D66677"/>
    <w:p w14:paraId="6F1AC552" w14:textId="77777777" w:rsidR="00D66677" w:rsidRDefault="00D66677" w:rsidP="00D66677">
      <w:r>
        <w:t xml:space="preserve">Mistake or Fact or Law defence in criminal cases, Justia, accessed 30/12/21 </w:t>
      </w:r>
      <w:hyperlink r:id="rId15" w:history="1">
        <w:r w:rsidRPr="005C2CDA">
          <w:rPr>
            <w:rStyle w:val="Hyperlink"/>
          </w:rPr>
          <w:t>https://www.justia.com/criminal/defenses/mistake/</w:t>
        </w:r>
      </w:hyperlink>
      <w:r>
        <w:t xml:space="preserve"> </w:t>
      </w:r>
    </w:p>
    <w:p w14:paraId="55CBF48A" w14:textId="77777777" w:rsidR="00D66677" w:rsidRDefault="00D66677" w:rsidP="00D66677"/>
    <w:p w14:paraId="27B63D12" w14:textId="77777777" w:rsidR="00D66677" w:rsidRDefault="00D66677" w:rsidP="00D66677">
      <w:r>
        <w:t xml:space="preserve">Offences against the Person Act 1861, 1861 CHAPTER 100 24 and 25 Vict </w:t>
      </w:r>
      <w:hyperlink r:id="rId16" w:history="1">
        <w:r w:rsidRPr="005C2CDA">
          <w:rPr>
            <w:rStyle w:val="Hyperlink"/>
          </w:rPr>
          <w:t>https://www.legislation.gov.uk/ukpga/Vict/24-25/100 accessed 28/12/21</w:t>
        </w:r>
      </w:hyperlink>
    </w:p>
    <w:p w14:paraId="68E272BC" w14:textId="6D5741A3" w:rsidR="002D006D" w:rsidRDefault="002D006D" w:rsidP="00B9629D">
      <w:r>
        <w:t>R v Hall [1973] 1 QB 496,</w:t>
      </w:r>
      <w:r>
        <w:t xml:space="preserve"> </w:t>
      </w:r>
      <w:r w:rsidR="00F551A0">
        <w:t xml:space="preserve">Theft Case Summaries 7/9/21 </w:t>
      </w:r>
      <w:hyperlink r:id="rId17" w:history="1">
        <w:r w:rsidR="00F551A0" w:rsidRPr="002E5370">
          <w:rPr>
            <w:rStyle w:val="Hyperlink"/>
          </w:rPr>
          <w:t>https://www.lawteacher.net/cases/theft-cases.php</w:t>
        </w:r>
      </w:hyperlink>
      <w:r>
        <w:t xml:space="preserve"> </w:t>
      </w:r>
      <w:r w:rsidR="00F551A0">
        <w:t>accessed 4/1/22</w:t>
      </w:r>
    </w:p>
    <w:p w14:paraId="15061466" w14:textId="4118A0ED" w:rsidR="00B9629D" w:rsidRPr="00B9629D" w:rsidRDefault="00B9629D" w:rsidP="00B9629D">
      <w:r w:rsidRPr="00B9629D">
        <w:t>R</w:t>
      </w:r>
      <w:r>
        <w:t xml:space="preserve"> v Tolson, the defence of Mistake </w:t>
      </w:r>
      <w:hyperlink r:id="rId18" w:history="1">
        <w:r w:rsidRPr="002E5370">
          <w:rPr>
            <w:rStyle w:val="Hyperlink"/>
          </w:rPr>
          <w:t>http://www.e-lawresources.co.uk/R-v-Tolson.php</w:t>
        </w:r>
      </w:hyperlink>
      <w:r w:rsidRPr="00B9629D">
        <w:t xml:space="preserve"> </w:t>
      </w:r>
      <w:r>
        <w:t>accessed 4/1/22</w:t>
      </w:r>
    </w:p>
    <w:p w14:paraId="36243FF4" w14:textId="77777777" w:rsidR="00D66677" w:rsidRDefault="00D66677" w:rsidP="00D66677"/>
    <w:p w14:paraId="2AB86F35" w14:textId="77777777" w:rsidR="00D66677" w:rsidRDefault="00D66677" w:rsidP="00D66677">
      <w:r>
        <w:t xml:space="preserve">Section 1 (1) of the theft act 1968 </w:t>
      </w:r>
      <w:hyperlink r:id="rId19" w:history="1">
        <w:r w:rsidRPr="005C2CDA">
          <w:rPr>
            <w:rStyle w:val="Hyperlink"/>
          </w:rPr>
          <w:t>https://www.noblesolicitors.co.uk/about/indepth-theft.html</w:t>
        </w:r>
      </w:hyperlink>
      <w:r>
        <w:t xml:space="preserve"> </w:t>
      </w:r>
    </w:p>
    <w:p w14:paraId="008F1CC0" w14:textId="77777777" w:rsidR="00D66677" w:rsidRDefault="00D66677" w:rsidP="00D66677"/>
    <w:p w14:paraId="0D4E92B9" w14:textId="77777777" w:rsidR="00D66677" w:rsidRDefault="00D66677" w:rsidP="00D66677">
      <w:r>
        <w:t xml:space="preserve">The criminal damage act 1971, </w:t>
      </w:r>
      <w:hyperlink r:id="rId20" w:history="1">
        <w:r w:rsidRPr="005C2CDA">
          <w:rPr>
            <w:rStyle w:val="Hyperlink"/>
          </w:rPr>
          <w:t>https://www.po</w:t>
        </w:r>
        <w:r w:rsidRPr="005C2CDA">
          <w:rPr>
            <w:rStyle w:val="Hyperlink"/>
          </w:rPr>
          <w:t>l</w:t>
        </w:r>
        <w:r w:rsidRPr="005C2CDA">
          <w:rPr>
            <w:rStyle w:val="Hyperlink"/>
          </w:rPr>
          <w:t>iceoracle.com</w:t>
        </w:r>
      </w:hyperlink>
      <w:r>
        <w:t xml:space="preserve"> accessed 27/12/21</w:t>
      </w:r>
    </w:p>
    <w:p w14:paraId="0C78C0A4" w14:textId="77777777" w:rsidR="00D66677" w:rsidRDefault="00D66677" w:rsidP="00D03FFE"/>
    <w:p w14:paraId="01E2E954" w14:textId="45EC0FBC" w:rsidR="00BE0BB6" w:rsidRPr="00AE1C10" w:rsidRDefault="00BE0BB6" w:rsidP="00BE0BB6"/>
    <w:p w14:paraId="296A0BB9" w14:textId="77777777" w:rsidR="00BE0BB6" w:rsidRPr="00462254" w:rsidRDefault="00BE0BB6" w:rsidP="00BE0BB6"/>
    <w:p w14:paraId="3328D644" w14:textId="77777777" w:rsidR="00BE0BB6" w:rsidRDefault="00BE0BB6"/>
    <w:p w14:paraId="5E3E0C16" w14:textId="124BAB0D" w:rsidR="00321238" w:rsidRDefault="00321238"/>
    <w:p w14:paraId="69DBDD14" w14:textId="77777777" w:rsidR="00C32D34" w:rsidRDefault="00C32D34"/>
    <w:p w14:paraId="2DCDE86B" w14:textId="4F5A2491" w:rsidR="000C6E8E" w:rsidRPr="00040F09" w:rsidRDefault="000C6E8E"/>
    <w:p w14:paraId="7F9AD3A3" w14:textId="56866B23" w:rsidR="00821E77" w:rsidRPr="0057373D" w:rsidRDefault="00821E77"/>
    <w:sectPr w:rsidR="00821E77" w:rsidRPr="00573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717642"/>
    <w:multiLevelType w:val="hybridMultilevel"/>
    <w:tmpl w:val="686C6D90"/>
    <w:lvl w:ilvl="0" w:tplc="2F22B87E">
      <w:start w:val="29"/>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CAB"/>
    <w:rsid w:val="00040F09"/>
    <w:rsid w:val="000442C8"/>
    <w:rsid w:val="000734CC"/>
    <w:rsid w:val="00076B06"/>
    <w:rsid w:val="000C0AE5"/>
    <w:rsid w:val="000C6E8E"/>
    <w:rsid w:val="000E0957"/>
    <w:rsid w:val="000F176C"/>
    <w:rsid w:val="00112FFC"/>
    <w:rsid w:val="0012071A"/>
    <w:rsid w:val="00126E8E"/>
    <w:rsid w:val="00130405"/>
    <w:rsid w:val="001316A4"/>
    <w:rsid w:val="00190885"/>
    <w:rsid w:val="001C5785"/>
    <w:rsid w:val="001E2C45"/>
    <w:rsid w:val="00234048"/>
    <w:rsid w:val="00251CCA"/>
    <w:rsid w:val="00257D4B"/>
    <w:rsid w:val="00276FBE"/>
    <w:rsid w:val="00280076"/>
    <w:rsid w:val="002C48CD"/>
    <w:rsid w:val="002D006D"/>
    <w:rsid w:val="002D2811"/>
    <w:rsid w:val="002E2988"/>
    <w:rsid w:val="003076A2"/>
    <w:rsid w:val="00321238"/>
    <w:rsid w:val="00325C9A"/>
    <w:rsid w:val="00332A3B"/>
    <w:rsid w:val="00341156"/>
    <w:rsid w:val="00344781"/>
    <w:rsid w:val="00380817"/>
    <w:rsid w:val="003B5FCE"/>
    <w:rsid w:val="003B772E"/>
    <w:rsid w:val="003D3C9B"/>
    <w:rsid w:val="003E7149"/>
    <w:rsid w:val="00404F8F"/>
    <w:rsid w:val="00462254"/>
    <w:rsid w:val="00476A5E"/>
    <w:rsid w:val="00476E42"/>
    <w:rsid w:val="00494F64"/>
    <w:rsid w:val="004E617D"/>
    <w:rsid w:val="005002B8"/>
    <w:rsid w:val="005024A5"/>
    <w:rsid w:val="005060C9"/>
    <w:rsid w:val="0050703D"/>
    <w:rsid w:val="00515640"/>
    <w:rsid w:val="00517D79"/>
    <w:rsid w:val="00536490"/>
    <w:rsid w:val="00557A47"/>
    <w:rsid w:val="00565CED"/>
    <w:rsid w:val="00567BE6"/>
    <w:rsid w:val="0057373D"/>
    <w:rsid w:val="00574F04"/>
    <w:rsid w:val="00575723"/>
    <w:rsid w:val="00591400"/>
    <w:rsid w:val="005A6DB8"/>
    <w:rsid w:val="00632630"/>
    <w:rsid w:val="006349D5"/>
    <w:rsid w:val="00647424"/>
    <w:rsid w:val="00653620"/>
    <w:rsid w:val="006561E4"/>
    <w:rsid w:val="00677A10"/>
    <w:rsid w:val="00692473"/>
    <w:rsid w:val="006975A8"/>
    <w:rsid w:val="006B018E"/>
    <w:rsid w:val="006B02D2"/>
    <w:rsid w:val="006B495D"/>
    <w:rsid w:val="006C057B"/>
    <w:rsid w:val="006E20F6"/>
    <w:rsid w:val="006E2582"/>
    <w:rsid w:val="006E3473"/>
    <w:rsid w:val="00710EF5"/>
    <w:rsid w:val="00761247"/>
    <w:rsid w:val="00787F4A"/>
    <w:rsid w:val="00791012"/>
    <w:rsid w:val="007A7842"/>
    <w:rsid w:val="007B78ED"/>
    <w:rsid w:val="007E79D7"/>
    <w:rsid w:val="00805CDC"/>
    <w:rsid w:val="0081627B"/>
    <w:rsid w:val="00816E7C"/>
    <w:rsid w:val="00821E77"/>
    <w:rsid w:val="00821EFF"/>
    <w:rsid w:val="008270A5"/>
    <w:rsid w:val="00827868"/>
    <w:rsid w:val="00866ED7"/>
    <w:rsid w:val="008734E2"/>
    <w:rsid w:val="008951EB"/>
    <w:rsid w:val="008A26B4"/>
    <w:rsid w:val="008D514D"/>
    <w:rsid w:val="009075E7"/>
    <w:rsid w:val="00990467"/>
    <w:rsid w:val="00993DCA"/>
    <w:rsid w:val="009942CA"/>
    <w:rsid w:val="009C6661"/>
    <w:rsid w:val="00A244EC"/>
    <w:rsid w:val="00A40CA8"/>
    <w:rsid w:val="00A73D5C"/>
    <w:rsid w:val="00A7644B"/>
    <w:rsid w:val="00A94A7C"/>
    <w:rsid w:val="00A94E7D"/>
    <w:rsid w:val="00A952DE"/>
    <w:rsid w:val="00AA5940"/>
    <w:rsid w:val="00AC128B"/>
    <w:rsid w:val="00AC246A"/>
    <w:rsid w:val="00AC729E"/>
    <w:rsid w:val="00AE1C10"/>
    <w:rsid w:val="00AE3F4D"/>
    <w:rsid w:val="00AF0474"/>
    <w:rsid w:val="00B021A6"/>
    <w:rsid w:val="00B10F7F"/>
    <w:rsid w:val="00B1104C"/>
    <w:rsid w:val="00B45066"/>
    <w:rsid w:val="00B604E6"/>
    <w:rsid w:val="00B608CD"/>
    <w:rsid w:val="00B9629D"/>
    <w:rsid w:val="00BC7CAB"/>
    <w:rsid w:val="00BD1328"/>
    <w:rsid w:val="00BE0BB6"/>
    <w:rsid w:val="00BE56C4"/>
    <w:rsid w:val="00C13A69"/>
    <w:rsid w:val="00C17104"/>
    <w:rsid w:val="00C3241C"/>
    <w:rsid w:val="00C32D34"/>
    <w:rsid w:val="00C46CED"/>
    <w:rsid w:val="00CB14BA"/>
    <w:rsid w:val="00CB5846"/>
    <w:rsid w:val="00D03FFE"/>
    <w:rsid w:val="00D07900"/>
    <w:rsid w:val="00D26D6D"/>
    <w:rsid w:val="00D60A51"/>
    <w:rsid w:val="00D66677"/>
    <w:rsid w:val="00D907F4"/>
    <w:rsid w:val="00D9101A"/>
    <w:rsid w:val="00DA6918"/>
    <w:rsid w:val="00DA7110"/>
    <w:rsid w:val="00DB0135"/>
    <w:rsid w:val="00DB02AF"/>
    <w:rsid w:val="00DB3F89"/>
    <w:rsid w:val="00E1460E"/>
    <w:rsid w:val="00E42C6D"/>
    <w:rsid w:val="00E5709B"/>
    <w:rsid w:val="00E77E0D"/>
    <w:rsid w:val="00EB54B3"/>
    <w:rsid w:val="00ED6720"/>
    <w:rsid w:val="00EE2E97"/>
    <w:rsid w:val="00EF3A07"/>
    <w:rsid w:val="00F01883"/>
    <w:rsid w:val="00F03019"/>
    <w:rsid w:val="00F218DF"/>
    <w:rsid w:val="00F525E2"/>
    <w:rsid w:val="00F551A0"/>
    <w:rsid w:val="00F86699"/>
    <w:rsid w:val="00FB7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485FB"/>
  <w15:chartTrackingRefBased/>
  <w15:docId w15:val="{7FF1A9A8-13B7-4D3D-9781-D84839140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5846"/>
    <w:pPr>
      <w:ind w:left="720"/>
      <w:contextualSpacing/>
    </w:pPr>
  </w:style>
  <w:style w:type="character" w:styleId="Hyperlink">
    <w:name w:val="Hyperlink"/>
    <w:basedOn w:val="DefaultParagraphFont"/>
    <w:uiPriority w:val="99"/>
    <w:unhideWhenUsed/>
    <w:rsid w:val="008D514D"/>
    <w:rPr>
      <w:color w:val="0563C1" w:themeColor="hyperlink"/>
      <w:u w:val="single"/>
    </w:rPr>
  </w:style>
  <w:style w:type="character" w:styleId="UnresolvedMention">
    <w:name w:val="Unresolved Mention"/>
    <w:basedOn w:val="DefaultParagraphFont"/>
    <w:uiPriority w:val="99"/>
    <w:semiHidden/>
    <w:unhideWhenUsed/>
    <w:rsid w:val="008D514D"/>
    <w:rPr>
      <w:color w:val="605E5C"/>
      <w:shd w:val="clear" w:color="auto" w:fill="E1DFDD"/>
    </w:rPr>
  </w:style>
  <w:style w:type="character" w:styleId="FollowedHyperlink">
    <w:name w:val="FollowedHyperlink"/>
    <w:basedOn w:val="DefaultParagraphFont"/>
    <w:uiPriority w:val="99"/>
    <w:semiHidden/>
    <w:unhideWhenUsed/>
    <w:rsid w:val="00EB54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130154">
      <w:bodyDiv w:val="1"/>
      <w:marLeft w:val="0"/>
      <w:marRight w:val="0"/>
      <w:marTop w:val="0"/>
      <w:marBottom w:val="0"/>
      <w:divBdr>
        <w:top w:val="none" w:sz="0" w:space="0" w:color="auto"/>
        <w:left w:val="none" w:sz="0" w:space="0" w:color="auto"/>
        <w:bottom w:val="none" w:sz="0" w:space="0" w:color="auto"/>
        <w:right w:val="none" w:sz="0" w:space="0" w:color="auto"/>
      </w:divBdr>
    </w:div>
    <w:div w:id="1501461195">
      <w:bodyDiv w:val="1"/>
      <w:marLeft w:val="0"/>
      <w:marRight w:val="0"/>
      <w:marTop w:val="0"/>
      <w:marBottom w:val="0"/>
      <w:divBdr>
        <w:top w:val="none" w:sz="0" w:space="0" w:color="auto"/>
        <w:left w:val="none" w:sz="0" w:space="0" w:color="auto"/>
        <w:bottom w:val="none" w:sz="0" w:space="0" w:color="auto"/>
        <w:right w:val="none" w:sz="0" w:space="0" w:color="auto"/>
      </w:divBdr>
      <w:divsChild>
        <w:div w:id="1419641141">
          <w:marLeft w:val="0"/>
          <w:marRight w:val="0"/>
          <w:marTop w:val="0"/>
          <w:marBottom w:val="0"/>
          <w:divBdr>
            <w:top w:val="none" w:sz="0" w:space="0" w:color="auto"/>
            <w:left w:val="none" w:sz="0" w:space="0" w:color="auto"/>
            <w:bottom w:val="none" w:sz="0" w:space="0" w:color="auto"/>
            <w:right w:val="none" w:sz="0" w:space="0" w:color="auto"/>
          </w:divBdr>
        </w:div>
        <w:div w:id="1622418111">
          <w:marLeft w:val="0"/>
          <w:marRight w:val="0"/>
          <w:marTop w:val="0"/>
          <w:marBottom w:val="0"/>
          <w:divBdr>
            <w:top w:val="none" w:sz="0" w:space="0" w:color="auto"/>
            <w:left w:val="none" w:sz="0" w:space="0" w:color="auto"/>
            <w:bottom w:val="none" w:sz="0" w:space="0" w:color="auto"/>
            <w:right w:val="none" w:sz="0" w:space="0" w:color="auto"/>
          </w:divBdr>
        </w:div>
        <w:div w:id="2037460000">
          <w:marLeft w:val="0"/>
          <w:marRight w:val="0"/>
          <w:marTop w:val="0"/>
          <w:marBottom w:val="0"/>
          <w:divBdr>
            <w:top w:val="none" w:sz="0" w:space="0" w:color="auto"/>
            <w:left w:val="none" w:sz="0" w:space="0" w:color="auto"/>
            <w:bottom w:val="none" w:sz="0" w:space="0" w:color="auto"/>
            <w:right w:val="none" w:sz="0" w:space="0" w:color="auto"/>
          </w:divBdr>
        </w:div>
        <w:div w:id="1456555470">
          <w:marLeft w:val="0"/>
          <w:marRight w:val="0"/>
          <w:marTop w:val="0"/>
          <w:marBottom w:val="0"/>
          <w:divBdr>
            <w:top w:val="none" w:sz="0" w:space="0" w:color="auto"/>
            <w:left w:val="none" w:sz="0" w:space="0" w:color="auto"/>
            <w:bottom w:val="none" w:sz="0" w:space="0" w:color="auto"/>
            <w:right w:val="none" w:sz="0" w:space="0" w:color="auto"/>
          </w:divBdr>
        </w:div>
        <w:div w:id="200438587">
          <w:marLeft w:val="0"/>
          <w:marRight w:val="0"/>
          <w:marTop w:val="0"/>
          <w:marBottom w:val="0"/>
          <w:divBdr>
            <w:top w:val="none" w:sz="0" w:space="0" w:color="auto"/>
            <w:left w:val="none" w:sz="0" w:space="0" w:color="auto"/>
            <w:bottom w:val="none" w:sz="0" w:space="0" w:color="auto"/>
            <w:right w:val="none" w:sz="0" w:space="0" w:color="auto"/>
          </w:divBdr>
        </w:div>
        <w:div w:id="1068263094">
          <w:marLeft w:val="0"/>
          <w:marRight w:val="0"/>
          <w:marTop w:val="0"/>
          <w:marBottom w:val="0"/>
          <w:divBdr>
            <w:top w:val="none" w:sz="0" w:space="0" w:color="auto"/>
            <w:left w:val="none" w:sz="0" w:space="0" w:color="auto"/>
            <w:bottom w:val="none" w:sz="0" w:space="0" w:color="auto"/>
            <w:right w:val="none" w:sz="0" w:space="0" w:color="auto"/>
          </w:divBdr>
        </w:div>
        <w:div w:id="1928728781">
          <w:marLeft w:val="0"/>
          <w:marRight w:val="0"/>
          <w:marTop w:val="0"/>
          <w:marBottom w:val="0"/>
          <w:divBdr>
            <w:top w:val="none" w:sz="0" w:space="0" w:color="auto"/>
            <w:left w:val="none" w:sz="0" w:space="0" w:color="auto"/>
            <w:bottom w:val="none" w:sz="0" w:space="0" w:color="auto"/>
            <w:right w:val="none" w:sz="0" w:space="0" w:color="auto"/>
          </w:divBdr>
        </w:div>
        <w:div w:id="409085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unesco.org/sites/default/files/gb_theftact1968_engorof.pdf" TargetMode="External"/><Relationship Id="rId13" Type="http://schemas.openxmlformats.org/officeDocument/2006/relationships/hyperlink" Target="https://www.inbrief.co.uk/offences/criminal-damage/" TargetMode="External"/><Relationship Id="rId18" Type="http://schemas.openxmlformats.org/officeDocument/2006/relationships/hyperlink" Target="http://www.e-lawresources.co.uk/R-v-Tolson.php"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awteacher.net/cases/automatism-cases.php" TargetMode="External"/><Relationship Id="rId12" Type="http://schemas.openxmlformats.org/officeDocument/2006/relationships/hyperlink" Target="https://www.thesun.co.uk/news/3937038/gbh-abh-difference-crime-maximum-penalty/" TargetMode="External"/><Relationship Id="rId17" Type="http://schemas.openxmlformats.org/officeDocument/2006/relationships/hyperlink" Target="https://www.lawteacher.net/cases/theft-cases.php" TargetMode="External"/><Relationship Id="rId2" Type="http://schemas.openxmlformats.org/officeDocument/2006/relationships/styles" Target="styles.xml"/><Relationship Id="rId16" Type="http://schemas.openxmlformats.org/officeDocument/2006/relationships/hyperlink" Target="https://www.legislation.gov.uk/ukpga/Vict/24-25/100%20accessed%2028/12/21" TargetMode="External"/><Relationship Id="rId20" Type="http://schemas.openxmlformats.org/officeDocument/2006/relationships/hyperlink" Target="https://www.policeoracle.com" TargetMode="External"/><Relationship Id="rId1" Type="http://schemas.openxmlformats.org/officeDocument/2006/relationships/numbering" Target="numbering.xml"/><Relationship Id="rId6" Type="http://schemas.openxmlformats.org/officeDocument/2006/relationships/hyperlink" Target="https://www.lawteacher.net/cases/automatism-cases.php" TargetMode="External"/><Relationship Id="rId11" Type="http://schemas.openxmlformats.org/officeDocument/2006/relationships/hyperlink" Target="https://www.sciencedirect.com/topics/medicine-and-dentistry/automatism" TargetMode="External"/><Relationship Id="rId5" Type="http://schemas.openxmlformats.org/officeDocument/2006/relationships/hyperlink" Target="https://www.olliers.com/criminal-law/assault-grievous-bodily-harm/" TargetMode="External"/><Relationship Id="rId15" Type="http://schemas.openxmlformats.org/officeDocument/2006/relationships/hyperlink" Target="https://www.justia.com/criminal/defenses/mistake/" TargetMode="External"/><Relationship Id="rId10" Type="http://schemas.openxmlformats.org/officeDocument/2006/relationships/hyperlink" Target="https://ipsaloquitur.com/criminal-law/cases/gayford-v-chouler/" TargetMode="External"/><Relationship Id="rId19" Type="http://schemas.openxmlformats.org/officeDocument/2006/relationships/hyperlink" Target="https://www.noblesolicitors.co.uk/about/indepth-theft.html" TargetMode="External"/><Relationship Id="rId4" Type="http://schemas.openxmlformats.org/officeDocument/2006/relationships/webSettings" Target="webSettings.xml"/><Relationship Id="rId9" Type="http://schemas.openxmlformats.org/officeDocument/2006/relationships/hyperlink" Target="https://fr.unesco.org/sites/default/files/gb_theftact1968_engorof.pdf" TargetMode="External"/><Relationship Id="rId14" Type="http://schemas.openxmlformats.org/officeDocument/2006/relationships/hyperlink" Target="https://lawexplores.com/criminal-dam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1727</Words>
  <Characters>9845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3</cp:revision>
  <dcterms:created xsi:type="dcterms:W3CDTF">2022-01-05T13:14:00Z</dcterms:created>
  <dcterms:modified xsi:type="dcterms:W3CDTF">2022-01-05T13:15:00Z</dcterms:modified>
</cp:coreProperties>
</file>