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2C70" w:rsidRPr="00AF5DEA" w:rsidRDefault="00702C70" w:rsidP="00702C70">
      <w:pPr>
        <w:pStyle w:val="NormalWeb"/>
        <w:spacing w:line="360" w:lineRule="auto"/>
        <w:jc w:val="center"/>
        <w:rPr>
          <w:rFonts w:ascii="Arial" w:hAnsi="Arial" w:cs="Arial"/>
          <w:u w:val="single"/>
        </w:rPr>
      </w:pPr>
      <w:r w:rsidRPr="00AF5DEA">
        <w:rPr>
          <w:rFonts w:ascii="Arial" w:hAnsi="Arial" w:cs="Arial"/>
          <w:u w:val="single"/>
        </w:rPr>
        <w:t>A critical analysis of the relationship between teacher subject knowledge and effective learning and teaching in the primary school.</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rPr>
      </w:pPr>
      <w:r w:rsidRPr="00AF5DEA">
        <w:rPr>
          <w:rFonts w:ascii="Arial" w:hAnsi="Arial" w:cs="Arial"/>
        </w:rPr>
        <w:t>This essay will first review the literature based around the notion of subject knowledge within teachers in the primary teaching setting. Leading on from this I will focus on my own experiences of subject knowledge as a primary teacher. I will analyse and evaluate my Professional Teaching Experience (PTE) within my first placement s</w:t>
      </w:r>
      <w:bookmarkStart w:id="0" w:name="_GoBack"/>
      <w:bookmarkEnd w:id="0"/>
      <w:r w:rsidRPr="00AF5DEA">
        <w:rPr>
          <w:rFonts w:ascii="Arial" w:hAnsi="Arial" w:cs="Arial"/>
        </w:rPr>
        <w:t xml:space="preserve">chool. In accordance to guidance provided by </w:t>
      </w:r>
      <w:r w:rsidRPr="00702C70">
        <w:rPr>
          <w:rFonts w:ascii="Arial" w:hAnsi="Arial" w:cs="Arial"/>
        </w:rPr>
        <w:t>BERA (2018)</w:t>
      </w:r>
      <w:r w:rsidRPr="00702C70">
        <w:rPr>
          <w:rFonts w:ascii="Arial" w:hAnsi="Arial" w:cs="Arial"/>
          <w:b/>
        </w:rPr>
        <w:t xml:space="preserve"> </w:t>
      </w:r>
      <w:r w:rsidRPr="00AF5DEA">
        <w:rPr>
          <w:rFonts w:ascii="Arial" w:hAnsi="Arial" w:cs="Arial"/>
        </w:rPr>
        <w:t xml:space="preserve">I will keep the PTE1 placement school anonymous and the identities of staff and pupils confidential. During this essay I will refer to PTE1 school as School X. </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b/>
          <w:i/>
          <w:color w:val="7030A0"/>
        </w:rPr>
      </w:pPr>
      <w:r w:rsidRPr="00AF5DEA">
        <w:rPr>
          <w:rFonts w:ascii="Arial" w:hAnsi="Arial" w:cs="Arial"/>
        </w:rPr>
        <w:t xml:space="preserve">My first PTE was based in School X, a large primary school located in West Wales. It is an English medium school which caters for a deprived area in West Wales. </w:t>
      </w:r>
      <w:r>
        <w:rPr>
          <w:rFonts w:ascii="Arial" w:hAnsi="Arial" w:cs="Arial"/>
        </w:rPr>
        <w:t xml:space="preserve">The school is a three-form entry, with a flying start facility and a Learning Resource Centre for pupils who are diagnosed with autistic spectrum conditions. </w:t>
      </w:r>
      <w:r w:rsidRPr="00702C70">
        <w:rPr>
          <w:rFonts w:ascii="Arial" w:hAnsi="Arial" w:cs="Arial"/>
          <w:i/>
        </w:rPr>
        <w:t xml:space="preserve">The school is a “pioneer school, working with the Welsh Government and other </w:t>
      </w:r>
      <w:proofErr w:type="spellStart"/>
      <w:r w:rsidRPr="00702C70">
        <w:rPr>
          <w:rFonts w:ascii="Arial" w:hAnsi="Arial" w:cs="Arial"/>
          <w:i/>
        </w:rPr>
        <w:t>pinoneer</w:t>
      </w:r>
      <w:proofErr w:type="spellEnd"/>
      <w:r w:rsidRPr="00702C70">
        <w:rPr>
          <w:rFonts w:ascii="Arial" w:hAnsi="Arial" w:cs="Arial"/>
          <w:i/>
        </w:rPr>
        <w:t xml:space="preserve"> schools to develop a national model of professional learning and to develop and pilot a new curriculum for Wales”. (Estyn, 2016) </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u w:val="single"/>
        </w:rPr>
      </w:pPr>
      <w:r w:rsidRPr="00AF5DEA">
        <w:rPr>
          <w:rFonts w:ascii="Arial" w:hAnsi="Arial" w:cs="Arial"/>
          <w:u w:val="single"/>
        </w:rPr>
        <w:t>Literature Review</w:t>
      </w:r>
    </w:p>
    <w:p w:rsidR="00702C70" w:rsidRPr="00AF5DEA" w:rsidRDefault="00702C70" w:rsidP="00702C70">
      <w:pPr>
        <w:spacing w:line="360" w:lineRule="auto"/>
        <w:rPr>
          <w:rFonts w:ascii="Arial" w:hAnsi="Arial" w:cs="Arial"/>
          <w:u w:val="single"/>
        </w:rPr>
      </w:pPr>
    </w:p>
    <w:p w:rsidR="00702C70" w:rsidRPr="00702C70" w:rsidRDefault="00702C70" w:rsidP="00702C70">
      <w:pPr>
        <w:spacing w:line="360" w:lineRule="auto"/>
        <w:rPr>
          <w:rFonts w:ascii="Arial" w:hAnsi="Arial" w:cs="Arial"/>
        </w:rPr>
      </w:pPr>
      <w:r w:rsidRPr="00702C70">
        <w:rPr>
          <w:rFonts w:ascii="Arial" w:hAnsi="Arial" w:cs="Arial"/>
        </w:rPr>
        <w:t xml:space="preserve">The consideration of teacher subject knowledge and its importance notably began with Shulmans (1987) article analysing teaching reform and developing the theoretical framework of </w:t>
      </w:r>
      <w:r w:rsidRPr="00702C70">
        <w:rPr>
          <w:rFonts w:ascii="Arial" w:hAnsi="Arial" w:cs="Arial"/>
          <w:i/>
        </w:rPr>
        <w:t xml:space="preserve">The Knowledge Base </w:t>
      </w:r>
      <w:r w:rsidRPr="00702C70">
        <w:rPr>
          <w:rFonts w:ascii="Arial" w:hAnsi="Arial" w:cs="Arial"/>
        </w:rPr>
        <w:t xml:space="preserve">for teaching. Rowland et </w:t>
      </w:r>
      <w:proofErr w:type="spellStart"/>
      <w:r w:rsidRPr="00702C70">
        <w:rPr>
          <w:rFonts w:ascii="Arial" w:hAnsi="Arial" w:cs="Arial"/>
        </w:rPr>
        <w:t>al’s</w:t>
      </w:r>
      <w:proofErr w:type="spellEnd"/>
      <w:r w:rsidRPr="00702C70">
        <w:rPr>
          <w:rFonts w:ascii="Arial" w:hAnsi="Arial" w:cs="Arial"/>
        </w:rPr>
        <w:t xml:space="preserve"> (2003) paper on the concept of the Knowledge Quartet was based on research carried out studying Shulman’s (1987) ideas on Subject Matter Knowledge and Pedagogical Content Knowledge, in particular focusing on mathematics. This essay will consider both literatures and their influences on effective learning and teaching in the Primary school.  </w:t>
      </w:r>
    </w:p>
    <w:p w:rsidR="00702C70" w:rsidRPr="00BE0CB3" w:rsidRDefault="00702C70" w:rsidP="00702C70">
      <w:pPr>
        <w:spacing w:line="360" w:lineRule="auto"/>
        <w:rPr>
          <w:rFonts w:ascii="Arial" w:hAnsi="Arial" w:cs="Arial"/>
        </w:rPr>
      </w:pPr>
    </w:p>
    <w:p w:rsidR="00702C70" w:rsidRDefault="00702C70" w:rsidP="00702C70">
      <w:pPr>
        <w:spacing w:line="360" w:lineRule="auto"/>
        <w:rPr>
          <w:rFonts w:ascii="Arial" w:hAnsi="Arial" w:cs="Arial"/>
        </w:rPr>
      </w:pPr>
      <w:r w:rsidRPr="00702C70">
        <w:rPr>
          <w:rFonts w:ascii="Arial" w:hAnsi="Arial" w:cs="Arial"/>
        </w:rPr>
        <w:t xml:space="preserve">Rowland et al (2003) provided a study on what Warburton (2015) described as, considering knowledge in practice rather than categories and forms of knowledge. (pg. 13) This study provided the creation of the Knowledge Quartet. (Rowland et al, </w:t>
      </w:r>
      <w:r w:rsidRPr="00702C70">
        <w:rPr>
          <w:rFonts w:ascii="Arial" w:hAnsi="Arial" w:cs="Arial"/>
        </w:rPr>
        <w:lastRenderedPageBreak/>
        <w:t xml:space="preserve">2003) The study was based on the notion that often trainee primary teachers are observed by their mentors and provided with very little feedback regarding the mathematical content of the lesson. </w:t>
      </w:r>
      <w:r w:rsidRPr="00AF5DEA">
        <w:rPr>
          <w:rFonts w:ascii="Arial" w:hAnsi="Arial" w:cs="Arial"/>
        </w:rPr>
        <w:t>Emphasis is placed during</w:t>
      </w:r>
      <w:r>
        <w:rPr>
          <w:rFonts w:ascii="Arial" w:hAnsi="Arial" w:cs="Arial"/>
        </w:rPr>
        <w:t xml:space="preserve"> Shulman’s (1987)</w:t>
      </w:r>
      <w:r w:rsidRPr="00AF5DEA">
        <w:rPr>
          <w:rFonts w:ascii="Arial" w:hAnsi="Arial" w:cs="Arial"/>
        </w:rPr>
        <w:t xml:space="preserve"> report on good teaching practice not only being based and considered on good behaviour management and control of a classroom, but also on how highly the subject knowledge of the teacher should be observed. </w:t>
      </w:r>
    </w:p>
    <w:p w:rsidR="00702C70" w:rsidRDefault="00702C70" w:rsidP="00702C70">
      <w:pPr>
        <w:spacing w:line="360" w:lineRule="auto"/>
        <w:rPr>
          <w:rFonts w:ascii="Arial" w:hAnsi="Arial" w:cs="Arial"/>
        </w:rPr>
      </w:pPr>
    </w:p>
    <w:p w:rsidR="00702C70" w:rsidRDefault="00702C70" w:rsidP="00702C70">
      <w:pPr>
        <w:spacing w:line="360" w:lineRule="auto"/>
        <w:rPr>
          <w:rFonts w:ascii="Arial" w:hAnsi="Arial" w:cs="Arial"/>
        </w:rPr>
      </w:pPr>
      <w:r>
        <w:rPr>
          <w:rFonts w:ascii="Arial" w:hAnsi="Arial" w:cs="Arial"/>
        </w:rPr>
        <w:t>W</w:t>
      </w:r>
      <w:r w:rsidRPr="00702C70">
        <w:rPr>
          <w:rFonts w:ascii="Arial" w:hAnsi="Arial" w:cs="Arial"/>
        </w:rPr>
        <w:t xml:space="preserve">ork by </w:t>
      </w:r>
      <w:r w:rsidRPr="00702C70">
        <w:rPr>
          <w:rFonts w:ascii="Arial" w:hAnsi="Arial" w:cs="Arial"/>
        </w:rPr>
        <w:t>Strong &amp; Baron (20</w:t>
      </w:r>
      <w:r>
        <w:rPr>
          <w:rFonts w:ascii="Arial" w:hAnsi="Arial" w:cs="Arial"/>
        </w:rPr>
        <w:t>04, cited in Rowland et al, 2009</w:t>
      </w:r>
      <w:r w:rsidRPr="00702C70">
        <w:rPr>
          <w:rFonts w:ascii="Arial" w:hAnsi="Arial" w:cs="Arial"/>
        </w:rPr>
        <w:t xml:space="preserve">) </w:t>
      </w:r>
      <w:r w:rsidRPr="00702C70">
        <w:rPr>
          <w:rFonts w:ascii="Arial" w:hAnsi="Arial" w:cs="Arial"/>
        </w:rPr>
        <w:t xml:space="preserve">also </w:t>
      </w:r>
      <w:r w:rsidRPr="00702C70">
        <w:rPr>
          <w:rFonts w:ascii="Arial" w:hAnsi="Arial" w:cs="Arial"/>
        </w:rPr>
        <w:t xml:space="preserve">states that research has shown how during trainee teachers observation lessons by mentors, the vast majority of the feedback comments provided are generic in nature. More often than not, little is discussed of the content that was taught within the lesson bringing less opportunity for reflection of the knowledge base of the teacher. </w:t>
      </w:r>
    </w:p>
    <w:p w:rsidR="00702C70" w:rsidRDefault="00702C70" w:rsidP="00702C70">
      <w:pPr>
        <w:spacing w:line="360" w:lineRule="auto"/>
        <w:rPr>
          <w:rFonts w:ascii="Arial" w:hAnsi="Arial" w:cs="Arial"/>
        </w:rPr>
      </w:pPr>
    </w:p>
    <w:p w:rsidR="00702C70" w:rsidRPr="00702C70" w:rsidRDefault="00702C70" w:rsidP="00702C70">
      <w:pPr>
        <w:spacing w:line="360" w:lineRule="auto"/>
        <w:rPr>
          <w:rFonts w:ascii="Arial" w:hAnsi="Arial" w:cs="Arial"/>
        </w:rPr>
      </w:pPr>
      <w:r w:rsidRPr="00702C70">
        <w:rPr>
          <w:rFonts w:ascii="Arial" w:hAnsi="Arial" w:cs="Arial"/>
        </w:rPr>
        <w:t xml:space="preserve">It is important to consider that Shulman (1987) discusses that much of his work was conducted in the secondary teaching setting. As this essay focuses on the primary teaching setting it should be recognised that the pedagogy of subject knowledge discussed within Shulman’s work (1987) may have a varying effect dependent on the pupil’s in question. </w:t>
      </w:r>
    </w:p>
    <w:p w:rsidR="00702C70" w:rsidRDefault="00702C70" w:rsidP="00702C70">
      <w:pPr>
        <w:spacing w:line="360" w:lineRule="auto"/>
        <w:rPr>
          <w:rFonts w:ascii="Arial" w:hAnsi="Arial" w:cs="Arial"/>
        </w:rPr>
      </w:pPr>
    </w:p>
    <w:p w:rsidR="00702C70" w:rsidRPr="00702C70" w:rsidRDefault="00702C70" w:rsidP="00702C70">
      <w:pPr>
        <w:spacing w:line="360" w:lineRule="auto"/>
        <w:rPr>
          <w:rFonts w:ascii="Arial" w:hAnsi="Arial" w:cs="Arial"/>
        </w:rPr>
      </w:pPr>
      <w:r w:rsidRPr="00702C70">
        <w:rPr>
          <w:rFonts w:ascii="Arial" w:hAnsi="Arial" w:cs="Arial"/>
        </w:rPr>
        <w:t>Shulman’s (1987) work relates to teaching and knowledge in general, rather than refere</w:t>
      </w:r>
      <w:r w:rsidRPr="00702C70">
        <w:rPr>
          <w:rFonts w:ascii="Arial" w:hAnsi="Arial" w:cs="Arial"/>
        </w:rPr>
        <w:t>n</w:t>
      </w:r>
      <w:r w:rsidRPr="00702C70">
        <w:rPr>
          <w:rFonts w:ascii="Arial" w:hAnsi="Arial" w:cs="Arial"/>
        </w:rPr>
        <w:t>cing subject specific knowledge.</w:t>
      </w:r>
      <w:r w:rsidRPr="00702C70">
        <w:rPr>
          <w:rFonts w:ascii="Arial" w:hAnsi="Arial" w:cs="Arial"/>
        </w:rPr>
        <w:t xml:space="preserve"> </w:t>
      </w:r>
      <w:r w:rsidRPr="00702C70">
        <w:rPr>
          <w:rFonts w:ascii="Arial" w:hAnsi="Arial" w:cs="Arial"/>
        </w:rPr>
        <w:t xml:space="preserve">Shulman (1987) suggested Pedagogical Content Knowledge (PCK) as being the third major element of expert teaching, along with teachers’ subject knowledge and general knowledge of instructional pedagogy. (Cochran, 1997) The report suggests the requirement of the teacher to appreciate how they will deliver and communicate the subject content, </w:t>
      </w:r>
      <w:r w:rsidRPr="00702C70">
        <w:rPr>
          <w:rFonts w:ascii="Arial" w:hAnsi="Arial" w:cs="Arial"/>
          <w:i/>
        </w:rPr>
        <w:t xml:space="preserve">the ways of representing and formulating the subject that make it comprehensible to others. (Shulman cited in Cochran, 1997) </w:t>
      </w:r>
      <w:proofErr w:type="spellStart"/>
      <w:r w:rsidRPr="00702C70">
        <w:rPr>
          <w:rFonts w:ascii="Arial" w:hAnsi="Arial" w:cs="Arial"/>
        </w:rPr>
        <w:t>Bucat</w:t>
      </w:r>
      <w:proofErr w:type="spellEnd"/>
      <w:r w:rsidRPr="00702C70">
        <w:rPr>
          <w:rFonts w:ascii="Arial" w:hAnsi="Arial" w:cs="Arial"/>
        </w:rPr>
        <w:t xml:space="preserve"> (2005) (cited in Fernandez, 2014) claims there to be a vast difference between content knowledge and pedagogical content knowledge, he explains content knowledge looks at what the teacher knows about the topic, however PCK stems further to look at the knowledge needed to know how to teach and learn about the topic. </w:t>
      </w:r>
    </w:p>
    <w:p w:rsidR="00702C70" w:rsidRPr="00AF5DEA" w:rsidRDefault="00702C70" w:rsidP="00702C70">
      <w:pPr>
        <w:spacing w:line="360" w:lineRule="auto"/>
        <w:rPr>
          <w:rFonts w:ascii="Arial" w:hAnsi="Arial" w:cs="Arial"/>
        </w:rPr>
      </w:pPr>
    </w:p>
    <w:p w:rsidR="00702C70" w:rsidRPr="00702C70" w:rsidRDefault="00702C70" w:rsidP="00702C70">
      <w:pPr>
        <w:spacing w:line="360" w:lineRule="auto"/>
        <w:rPr>
          <w:rFonts w:ascii="Arial" w:hAnsi="Arial" w:cs="Arial"/>
        </w:rPr>
      </w:pPr>
      <w:r w:rsidRPr="00702C70">
        <w:rPr>
          <w:rFonts w:ascii="Arial" w:hAnsi="Arial" w:cs="Arial"/>
        </w:rPr>
        <w:t>The three main elements of the PCK which Shulman (1987) proposes are;</w:t>
      </w:r>
    </w:p>
    <w:p w:rsidR="00702C70" w:rsidRPr="00702C70" w:rsidRDefault="00702C70" w:rsidP="00702C70">
      <w:pPr>
        <w:pStyle w:val="ListParagraph"/>
        <w:numPr>
          <w:ilvl w:val="0"/>
          <w:numId w:val="5"/>
        </w:numPr>
        <w:spacing w:line="360" w:lineRule="auto"/>
        <w:rPr>
          <w:rFonts w:ascii="Arial" w:hAnsi="Arial" w:cs="Arial"/>
        </w:rPr>
      </w:pPr>
      <w:r w:rsidRPr="00702C70">
        <w:rPr>
          <w:rFonts w:ascii="Arial" w:hAnsi="Arial" w:cs="Arial"/>
        </w:rPr>
        <w:t>Knowledge of regularly taught topics for a specific subject area;</w:t>
      </w:r>
    </w:p>
    <w:p w:rsidR="00702C70" w:rsidRPr="00702C70" w:rsidRDefault="00702C70" w:rsidP="00702C70">
      <w:pPr>
        <w:pStyle w:val="ListParagraph"/>
        <w:numPr>
          <w:ilvl w:val="0"/>
          <w:numId w:val="5"/>
        </w:numPr>
        <w:spacing w:line="360" w:lineRule="auto"/>
        <w:rPr>
          <w:rFonts w:ascii="Arial" w:hAnsi="Arial" w:cs="Arial"/>
        </w:rPr>
      </w:pPr>
      <w:r w:rsidRPr="00702C70">
        <w:rPr>
          <w:rFonts w:ascii="Arial" w:hAnsi="Arial" w:cs="Arial"/>
        </w:rPr>
        <w:lastRenderedPageBreak/>
        <w:t>The knowledge of representing and demonstrating ideas and;</w:t>
      </w:r>
    </w:p>
    <w:p w:rsidR="00702C70" w:rsidRPr="00702C70" w:rsidRDefault="00702C70" w:rsidP="00702C70">
      <w:pPr>
        <w:pStyle w:val="ListParagraph"/>
        <w:numPr>
          <w:ilvl w:val="0"/>
          <w:numId w:val="5"/>
        </w:numPr>
        <w:spacing w:line="360" w:lineRule="auto"/>
        <w:rPr>
          <w:rFonts w:ascii="Arial" w:hAnsi="Arial" w:cs="Arial"/>
        </w:rPr>
      </w:pPr>
      <w:r w:rsidRPr="00702C70">
        <w:rPr>
          <w:rFonts w:ascii="Arial" w:hAnsi="Arial" w:cs="Arial"/>
        </w:rPr>
        <w:t>Knowledge of how the pupils learn the ideas.</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rPr>
      </w:pPr>
      <w:proofErr w:type="spellStart"/>
      <w:r w:rsidRPr="00AF5DEA">
        <w:rPr>
          <w:rFonts w:ascii="Arial" w:hAnsi="Arial" w:cs="Arial"/>
          <w:b/>
          <w:color w:val="7030A0"/>
        </w:rPr>
        <w:t>Eaude</w:t>
      </w:r>
      <w:proofErr w:type="spellEnd"/>
      <w:r w:rsidRPr="00AF5DEA">
        <w:rPr>
          <w:rFonts w:ascii="Arial" w:hAnsi="Arial" w:cs="Arial"/>
          <w:b/>
          <w:color w:val="7030A0"/>
        </w:rPr>
        <w:t xml:space="preserve"> (2011) </w:t>
      </w:r>
      <w:r w:rsidRPr="00AF5DEA">
        <w:rPr>
          <w:rFonts w:ascii="Arial" w:hAnsi="Arial" w:cs="Arial"/>
        </w:rPr>
        <w:t xml:space="preserve">also discusses the need for a teacher to require both subject knowledge and craft knowledge. Referencing the work of </w:t>
      </w:r>
      <w:r w:rsidRPr="00AF5DEA">
        <w:rPr>
          <w:rFonts w:ascii="Arial" w:hAnsi="Arial" w:cs="Arial"/>
          <w:b/>
          <w:color w:val="7030A0"/>
        </w:rPr>
        <w:t xml:space="preserve">Alexander (2010) </w:t>
      </w:r>
      <w:r w:rsidRPr="00AF5DEA">
        <w:rPr>
          <w:rFonts w:ascii="Arial" w:hAnsi="Arial" w:cs="Arial"/>
          <w:b/>
          <w:color w:val="FF0000"/>
        </w:rPr>
        <w:t xml:space="preserve">FIND IN BOOK </w:t>
      </w:r>
      <w:r w:rsidRPr="00AF5DEA">
        <w:rPr>
          <w:rFonts w:ascii="Arial" w:hAnsi="Arial" w:cs="Arial"/>
        </w:rPr>
        <w:t xml:space="preserve">he continues to encourage the importance of understanding how pupils learn and the activities which will motivate and challenge pupils. </w:t>
      </w:r>
    </w:p>
    <w:p w:rsidR="00702C70" w:rsidRPr="00AF5DEA" w:rsidRDefault="00702C70" w:rsidP="00702C70">
      <w:pPr>
        <w:spacing w:line="360" w:lineRule="auto"/>
        <w:rPr>
          <w:rFonts w:ascii="Arial" w:hAnsi="Arial" w:cs="Arial"/>
        </w:rPr>
      </w:pPr>
    </w:p>
    <w:p w:rsidR="00702C70" w:rsidRPr="00702C70" w:rsidRDefault="00702C70" w:rsidP="00702C70">
      <w:pPr>
        <w:spacing w:line="360" w:lineRule="auto"/>
        <w:rPr>
          <w:rFonts w:ascii="Arial" w:hAnsi="Arial" w:cs="Arial"/>
        </w:rPr>
      </w:pPr>
      <w:r w:rsidRPr="00702C70">
        <w:rPr>
          <w:rFonts w:ascii="Arial" w:hAnsi="Arial" w:cs="Arial"/>
        </w:rPr>
        <w:t xml:space="preserve">Within the article Shulman (1987) meets four questions (pg. 1); </w:t>
      </w:r>
    </w:p>
    <w:p w:rsidR="00702C70" w:rsidRPr="00702C70" w:rsidRDefault="00702C70" w:rsidP="00702C70">
      <w:pPr>
        <w:pStyle w:val="ListParagraph"/>
        <w:numPr>
          <w:ilvl w:val="0"/>
          <w:numId w:val="2"/>
        </w:numPr>
        <w:spacing w:line="360" w:lineRule="auto"/>
        <w:rPr>
          <w:rFonts w:ascii="Arial" w:hAnsi="Arial" w:cs="Arial"/>
          <w:i/>
        </w:rPr>
      </w:pPr>
      <w:r w:rsidRPr="00702C70">
        <w:rPr>
          <w:rFonts w:ascii="Arial" w:hAnsi="Arial" w:cs="Arial"/>
          <w:i/>
        </w:rPr>
        <w:t>What are the sources for the knowledge base for teaching?</w:t>
      </w:r>
    </w:p>
    <w:p w:rsidR="00702C70" w:rsidRPr="00702C70" w:rsidRDefault="00702C70" w:rsidP="00702C70">
      <w:pPr>
        <w:pStyle w:val="ListParagraph"/>
        <w:numPr>
          <w:ilvl w:val="0"/>
          <w:numId w:val="2"/>
        </w:numPr>
        <w:spacing w:line="360" w:lineRule="auto"/>
        <w:rPr>
          <w:rFonts w:ascii="Arial" w:hAnsi="Arial" w:cs="Arial"/>
          <w:i/>
        </w:rPr>
      </w:pPr>
      <w:r w:rsidRPr="00702C70">
        <w:rPr>
          <w:rFonts w:ascii="Arial" w:hAnsi="Arial" w:cs="Arial"/>
          <w:i/>
        </w:rPr>
        <w:t>In what terms can these sources be conceptualized?</w:t>
      </w:r>
    </w:p>
    <w:p w:rsidR="00702C70" w:rsidRPr="00702C70" w:rsidRDefault="00702C70" w:rsidP="00702C70">
      <w:pPr>
        <w:pStyle w:val="ListParagraph"/>
        <w:numPr>
          <w:ilvl w:val="0"/>
          <w:numId w:val="2"/>
        </w:numPr>
        <w:spacing w:line="360" w:lineRule="auto"/>
        <w:rPr>
          <w:rFonts w:ascii="Arial" w:hAnsi="Arial" w:cs="Arial"/>
          <w:i/>
        </w:rPr>
      </w:pPr>
      <w:r w:rsidRPr="00702C70">
        <w:rPr>
          <w:rFonts w:ascii="Arial" w:hAnsi="Arial" w:cs="Arial"/>
          <w:i/>
        </w:rPr>
        <w:t>What are the processes of pedagogical reasoning and action?</w:t>
      </w:r>
    </w:p>
    <w:p w:rsidR="00702C70" w:rsidRPr="00702C70" w:rsidRDefault="00702C70" w:rsidP="00702C70">
      <w:pPr>
        <w:pStyle w:val="ListParagraph"/>
        <w:numPr>
          <w:ilvl w:val="0"/>
          <w:numId w:val="2"/>
        </w:numPr>
        <w:spacing w:line="360" w:lineRule="auto"/>
        <w:rPr>
          <w:rFonts w:ascii="Arial" w:hAnsi="Arial" w:cs="Arial"/>
          <w:i/>
        </w:rPr>
      </w:pPr>
      <w:r w:rsidRPr="00702C70">
        <w:rPr>
          <w:rFonts w:ascii="Arial" w:hAnsi="Arial" w:cs="Arial"/>
          <w:i/>
        </w:rPr>
        <w:t>What are the implications for teaching policy and educational reform?</w:t>
      </w:r>
    </w:p>
    <w:p w:rsidR="00702C70" w:rsidRPr="00AF5DEA" w:rsidRDefault="00702C70" w:rsidP="00702C70">
      <w:pPr>
        <w:spacing w:line="360" w:lineRule="auto"/>
        <w:rPr>
          <w:rFonts w:ascii="Arial" w:hAnsi="Arial" w:cs="Arial"/>
        </w:rPr>
      </w:pPr>
    </w:p>
    <w:p w:rsidR="00702C70" w:rsidRPr="00702C70" w:rsidRDefault="00702C70" w:rsidP="00702C70">
      <w:pPr>
        <w:spacing w:line="360" w:lineRule="auto"/>
        <w:rPr>
          <w:rFonts w:ascii="Arial" w:hAnsi="Arial" w:cs="Arial"/>
        </w:rPr>
      </w:pPr>
      <w:r w:rsidRPr="00702C70">
        <w:rPr>
          <w:rFonts w:ascii="Arial" w:hAnsi="Arial" w:cs="Arial"/>
        </w:rPr>
        <w:t xml:space="preserve">In answering these questions, Shulman (1987) has re-shaped the understanding of how the teaching profession should be delivered by educational practitioners, scholars and policymakers, over the previous decades and continues to do so. </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rPr>
      </w:pPr>
      <w:r>
        <w:rPr>
          <w:rFonts w:ascii="Arial" w:hAnsi="Arial" w:cs="Arial"/>
        </w:rPr>
        <w:t>There are</w:t>
      </w:r>
      <w:r w:rsidRPr="00AF5DEA">
        <w:rPr>
          <w:rFonts w:ascii="Arial" w:hAnsi="Arial" w:cs="Arial"/>
        </w:rPr>
        <w:t xml:space="preserve"> f</w:t>
      </w:r>
      <w:r>
        <w:rPr>
          <w:rFonts w:ascii="Arial" w:hAnsi="Arial" w:cs="Arial"/>
        </w:rPr>
        <w:t>our main sources for a teacher Knowledge B</w:t>
      </w:r>
      <w:r w:rsidRPr="00AF5DEA">
        <w:rPr>
          <w:rFonts w:ascii="Arial" w:hAnsi="Arial" w:cs="Arial"/>
        </w:rPr>
        <w:t>ase</w:t>
      </w:r>
      <w:r>
        <w:rPr>
          <w:rFonts w:ascii="Arial" w:hAnsi="Arial" w:cs="Arial"/>
        </w:rPr>
        <w:t>, which Shulman (1987) discusses</w:t>
      </w:r>
      <w:r w:rsidRPr="00AF5DEA">
        <w:rPr>
          <w:rFonts w:ascii="Arial" w:hAnsi="Arial" w:cs="Arial"/>
        </w:rPr>
        <w:t xml:space="preserve"> as being;</w:t>
      </w:r>
    </w:p>
    <w:p w:rsidR="00702C70" w:rsidRPr="00702C70" w:rsidRDefault="00702C70" w:rsidP="00702C70">
      <w:pPr>
        <w:pStyle w:val="ListParagraph"/>
        <w:numPr>
          <w:ilvl w:val="0"/>
          <w:numId w:val="1"/>
        </w:numPr>
        <w:spacing w:line="360" w:lineRule="auto"/>
        <w:rPr>
          <w:rFonts w:ascii="Arial" w:hAnsi="Arial" w:cs="Arial"/>
          <w:i/>
        </w:rPr>
      </w:pPr>
      <w:r w:rsidRPr="00702C70">
        <w:rPr>
          <w:rFonts w:ascii="Arial" w:hAnsi="Arial" w:cs="Arial"/>
          <w:i/>
        </w:rPr>
        <w:t>Scholarship in content disciplines;</w:t>
      </w:r>
    </w:p>
    <w:p w:rsidR="00702C70" w:rsidRPr="00702C70" w:rsidRDefault="00702C70" w:rsidP="00702C70">
      <w:pPr>
        <w:pStyle w:val="ListParagraph"/>
        <w:numPr>
          <w:ilvl w:val="0"/>
          <w:numId w:val="1"/>
        </w:numPr>
        <w:spacing w:line="360" w:lineRule="auto"/>
        <w:rPr>
          <w:rFonts w:ascii="Arial" w:hAnsi="Arial" w:cs="Arial"/>
          <w:i/>
        </w:rPr>
      </w:pPr>
      <w:r w:rsidRPr="00702C70">
        <w:rPr>
          <w:rFonts w:ascii="Arial" w:hAnsi="Arial" w:cs="Arial"/>
          <w:i/>
        </w:rPr>
        <w:t>Educational materials and structures;</w:t>
      </w:r>
    </w:p>
    <w:p w:rsidR="00702C70" w:rsidRPr="00702C70" w:rsidRDefault="00702C70" w:rsidP="00702C70">
      <w:pPr>
        <w:pStyle w:val="ListParagraph"/>
        <w:numPr>
          <w:ilvl w:val="0"/>
          <w:numId w:val="1"/>
        </w:numPr>
        <w:spacing w:line="360" w:lineRule="auto"/>
        <w:rPr>
          <w:rFonts w:ascii="Arial" w:hAnsi="Arial" w:cs="Arial"/>
          <w:i/>
        </w:rPr>
      </w:pPr>
      <w:r w:rsidRPr="00702C70">
        <w:rPr>
          <w:rFonts w:ascii="Arial" w:hAnsi="Arial" w:cs="Arial"/>
          <w:i/>
        </w:rPr>
        <w:t>Formal educational scholarships;</w:t>
      </w:r>
    </w:p>
    <w:p w:rsidR="00702C70" w:rsidRPr="00702C70" w:rsidRDefault="00702C70" w:rsidP="00702C70">
      <w:pPr>
        <w:pStyle w:val="ListParagraph"/>
        <w:numPr>
          <w:ilvl w:val="0"/>
          <w:numId w:val="1"/>
        </w:numPr>
        <w:spacing w:line="360" w:lineRule="auto"/>
        <w:rPr>
          <w:rFonts w:ascii="Arial" w:hAnsi="Arial" w:cs="Arial"/>
          <w:i/>
        </w:rPr>
      </w:pPr>
      <w:r w:rsidRPr="00702C70">
        <w:rPr>
          <w:rFonts w:ascii="Arial" w:hAnsi="Arial" w:cs="Arial"/>
          <w:i/>
        </w:rPr>
        <w:t>Wisdom of practice.</w:t>
      </w:r>
      <w:r w:rsidRPr="00702C70">
        <w:rPr>
          <w:rFonts w:ascii="Arial" w:hAnsi="Arial" w:cs="Arial"/>
          <w:i/>
        </w:rPr>
        <w:t xml:space="preserve"> </w:t>
      </w:r>
    </w:p>
    <w:p w:rsidR="00702C70" w:rsidRPr="00AF5DEA" w:rsidRDefault="00702C70" w:rsidP="00702C70">
      <w:pPr>
        <w:spacing w:line="360" w:lineRule="auto"/>
        <w:rPr>
          <w:rFonts w:ascii="Arial" w:hAnsi="Arial" w:cs="Arial"/>
        </w:rPr>
      </w:pPr>
    </w:p>
    <w:p w:rsidR="006E7EBA" w:rsidRDefault="006E7EBA" w:rsidP="006E7EBA">
      <w:pPr>
        <w:spacing w:line="360" w:lineRule="auto"/>
        <w:rPr>
          <w:rFonts w:ascii="Arial" w:hAnsi="Arial" w:cs="Arial"/>
        </w:rPr>
      </w:pPr>
      <w:r w:rsidRPr="006E7EBA">
        <w:rPr>
          <w:rFonts w:ascii="Arial" w:hAnsi="Arial" w:cs="Arial"/>
        </w:rPr>
        <w:t>In considering educational materials and structures (Shulman, 1987), Donaldson’s (2016) Successful Futures report focuses on the reduced need for a solid structured curriculum that teachers must fol</w:t>
      </w:r>
      <w:r w:rsidRPr="006E7EBA">
        <w:rPr>
          <w:rFonts w:ascii="Arial" w:hAnsi="Arial" w:cs="Arial"/>
        </w:rPr>
        <w:t>low,</w:t>
      </w:r>
      <w:r w:rsidRPr="006E7EBA">
        <w:rPr>
          <w:rFonts w:ascii="Arial" w:hAnsi="Arial" w:cs="Arial"/>
        </w:rPr>
        <w:t xml:space="preserve"> base their learning on</w:t>
      </w:r>
      <w:r w:rsidRPr="006E7EBA">
        <w:rPr>
          <w:rFonts w:ascii="Arial" w:hAnsi="Arial" w:cs="Arial"/>
        </w:rPr>
        <w:t xml:space="preserve"> and meet age-related stages</w:t>
      </w:r>
      <w:r w:rsidRPr="006E7EBA">
        <w:rPr>
          <w:rFonts w:ascii="Arial" w:hAnsi="Arial" w:cs="Arial"/>
        </w:rPr>
        <w:t xml:space="preserve">. Donaldson (2016) puts emphasis on the education being focused around pupil-led learning. The Successful Futures (2016) report claims that the current curriculum in Wales has shaped a framework of subjects to be taught over a given period of time, with pupils working at particular stages dependent on their age. The framework has been described as descriptive, almost with the expected behaviours </w:t>
      </w:r>
      <w:r w:rsidRPr="006E7EBA">
        <w:rPr>
          <w:rFonts w:ascii="Arial" w:hAnsi="Arial" w:cs="Arial"/>
        </w:rPr>
        <w:lastRenderedPageBreak/>
        <w:t xml:space="preserve">and inputs of pupils instructed. Donaldson (2016) calls for an alternative approach, arguing that learning should be shaped through the fulfilment of the purposes of the curriculum through developing key skills, capacities and competencies across personal, social and economic needs. </w:t>
      </w:r>
    </w:p>
    <w:p w:rsidR="006E7EBA" w:rsidRDefault="006E7EBA" w:rsidP="006E7EBA">
      <w:pPr>
        <w:spacing w:line="360" w:lineRule="auto"/>
        <w:rPr>
          <w:rFonts w:ascii="Arial" w:hAnsi="Arial" w:cs="Arial"/>
        </w:rPr>
      </w:pPr>
    </w:p>
    <w:p w:rsidR="006E7EBA" w:rsidRPr="006E7EBA" w:rsidRDefault="006E7EBA" w:rsidP="006E7EBA">
      <w:pPr>
        <w:spacing w:line="360" w:lineRule="auto"/>
        <w:rPr>
          <w:rFonts w:ascii="Arial" w:hAnsi="Arial" w:cs="Arial"/>
        </w:rPr>
      </w:pPr>
      <w:r w:rsidRPr="006E7EBA">
        <w:rPr>
          <w:rFonts w:ascii="Arial" w:hAnsi="Arial" w:cs="Arial"/>
        </w:rPr>
        <w:t xml:space="preserve">Shulman (1987) writes that content knowledge should consist of </w:t>
      </w:r>
      <w:r w:rsidRPr="006E7EBA">
        <w:rPr>
          <w:rFonts w:ascii="Arial" w:hAnsi="Arial" w:cs="Arial"/>
          <w:i/>
        </w:rPr>
        <w:t>two foundations: the accumulated literature and studies in the content areas, and the historical and philosophical scholarship on the nature of the knowledge in those fields of study. (pg. 9)</w:t>
      </w:r>
      <w:r w:rsidRPr="006E7EBA">
        <w:rPr>
          <w:rFonts w:ascii="Arial" w:hAnsi="Arial" w:cs="Arial"/>
        </w:rPr>
        <w:t xml:space="preserve"> It should not be forgotten that</w:t>
      </w:r>
      <w:r w:rsidRPr="006E7EBA">
        <w:rPr>
          <w:rFonts w:ascii="Arial" w:hAnsi="Arial" w:cs="Arial"/>
        </w:rPr>
        <w:t xml:space="preserve"> in the case study of</w:t>
      </w:r>
      <w:r w:rsidRPr="006E7EBA">
        <w:rPr>
          <w:rFonts w:ascii="Arial" w:hAnsi="Arial" w:cs="Arial"/>
        </w:rPr>
        <w:t xml:space="preserve"> Nancy</w:t>
      </w:r>
      <w:r w:rsidRPr="006E7EBA">
        <w:rPr>
          <w:rFonts w:ascii="Arial" w:hAnsi="Arial" w:cs="Arial"/>
        </w:rPr>
        <w:t>, she</w:t>
      </w:r>
      <w:r w:rsidRPr="006E7EBA">
        <w:rPr>
          <w:rFonts w:ascii="Arial" w:hAnsi="Arial" w:cs="Arial"/>
        </w:rPr>
        <w:t xml:space="preserve"> is a Secondary teacher and specialises in English, for Primary teachers there is the requirement of needing to be generalists to a subject. </w:t>
      </w:r>
    </w:p>
    <w:p w:rsidR="006E7EBA" w:rsidRPr="00AF5DEA" w:rsidRDefault="006E7EBA" w:rsidP="006E7EBA">
      <w:pPr>
        <w:spacing w:line="360" w:lineRule="auto"/>
        <w:rPr>
          <w:rFonts w:ascii="Arial" w:hAnsi="Arial" w:cs="Arial"/>
        </w:rPr>
      </w:pPr>
    </w:p>
    <w:p w:rsidR="006E7EBA" w:rsidRPr="00AF5DEA" w:rsidRDefault="006E7EBA" w:rsidP="006E7EBA">
      <w:pPr>
        <w:spacing w:line="360" w:lineRule="auto"/>
        <w:rPr>
          <w:rFonts w:ascii="Arial" w:hAnsi="Arial" w:cs="Arial"/>
        </w:rPr>
      </w:pPr>
      <w:r w:rsidRPr="00AF5DEA">
        <w:rPr>
          <w:rFonts w:ascii="Arial" w:hAnsi="Arial" w:cs="Arial"/>
        </w:rPr>
        <w:t xml:space="preserve">Although the proposals for the new curriculum in Wales call for a less prescriptive scaffold and therefore teachers will not be bound to textbook style teaching, with current pioneer schools developing the new curriculum in Wales by teachers themselves, this means the curriculum will be tailored more significantly to teacher subject knowledge and pedagogy. </w:t>
      </w:r>
    </w:p>
    <w:p w:rsidR="006E7EBA" w:rsidRPr="00AF5DEA" w:rsidRDefault="006E7EBA" w:rsidP="006E7EBA">
      <w:pPr>
        <w:spacing w:line="360" w:lineRule="auto"/>
        <w:rPr>
          <w:rFonts w:ascii="Arial" w:hAnsi="Arial" w:cs="Arial"/>
        </w:rPr>
      </w:pPr>
    </w:p>
    <w:p w:rsidR="006E7EBA" w:rsidRPr="006E7EBA" w:rsidRDefault="006E7EBA" w:rsidP="006E7EBA">
      <w:pPr>
        <w:spacing w:line="360" w:lineRule="auto"/>
        <w:rPr>
          <w:rFonts w:ascii="Arial" w:hAnsi="Arial" w:cs="Arial"/>
        </w:rPr>
      </w:pPr>
      <w:r w:rsidRPr="006E7EBA">
        <w:rPr>
          <w:rFonts w:ascii="Arial" w:hAnsi="Arial" w:cs="Arial"/>
        </w:rPr>
        <w:t>Shulman’s (1987) work itself proves to be play a vital role within formal educational scholarship, this essay itself is being written from the trainee primary teachers’ perspective to develop an understanding of the Knowledge Base. It cannot be escaped that the educational system that we provide and which skills us today, is shaped around extensive scholarly knowledge and research by significant influencers. Shulman (1987) identified an opening in research and theories on</w:t>
      </w:r>
      <w:r>
        <w:rPr>
          <w:rFonts w:ascii="Arial" w:hAnsi="Arial" w:cs="Arial"/>
        </w:rPr>
        <w:t xml:space="preserve"> the teaching of understanding subject knowledge and its pedagogy. </w:t>
      </w:r>
    </w:p>
    <w:p w:rsidR="006E7EBA" w:rsidRDefault="006E7EBA" w:rsidP="00702C70">
      <w:pPr>
        <w:spacing w:line="360" w:lineRule="auto"/>
        <w:rPr>
          <w:rFonts w:ascii="Arial" w:hAnsi="Arial" w:cs="Arial"/>
          <w:b/>
          <w:color w:val="7030A0"/>
        </w:rPr>
      </w:pPr>
    </w:p>
    <w:p w:rsidR="00702C70" w:rsidRPr="00A24D5B" w:rsidRDefault="00702C70" w:rsidP="00702C70">
      <w:pPr>
        <w:spacing w:line="360" w:lineRule="auto"/>
        <w:rPr>
          <w:rFonts w:ascii="Arial" w:hAnsi="Arial" w:cs="Arial"/>
        </w:rPr>
      </w:pPr>
      <w:r w:rsidRPr="00A24D5B">
        <w:rPr>
          <w:rFonts w:ascii="Arial" w:hAnsi="Arial" w:cs="Arial"/>
        </w:rPr>
        <w:t xml:space="preserve">Shulman’s (1987) case study of Nancy analyses an incredibly experienced and knowledgeable teacher who is able to adapt her teaching strategies to the learners, the environment and the subject matter. At times, Shulmans (1987) writing indicates that Nancy’s ability to apply effective subject pedagogy to her lessons has developed through time and great experience. It is expected that Nancy would have had many opportunities through her teaching career for reflection, to recall her lessons and consider what went well and what did not. </w:t>
      </w:r>
      <w:r w:rsidRPr="00A24D5B">
        <w:rPr>
          <w:rFonts w:ascii="Arial" w:hAnsi="Arial" w:cs="Arial"/>
          <w:color w:val="7030A0"/>
        </w:rPr>
        <w:tab/>
      </w:r>
    </w:p>
    <w:p w:rsidR="00702C70" w:rsidRPr="00AF5DEA" w:rsidRDefault="00702C70" w:rsidP="00702C70">
      <w:pPr>
        <w:spacing w:line="360" w:lineRule="auto"/>
        <w:rPr>
          <w:rFonts w:ascii="Arial" w:hAnsi="Arial" w:cs="Arial"/>
        </w:rPr>
      </w:pPr>
    </w:p>
    <w:p w:rsidR="00702C70" w:rsidRPr="00A24D5B" w:rsidRDefault="00702C70" w:rsidP="00702C70">
      <w:pPr>
        <w:spacing w:line="360" w:lineRule="auto"/>
        <w:rPr>
          <w:rFonts w:ascii="Arial" w:hAnsi="Arial" w:cs="Arial"/>
        </w:rPr>
      </w:pPr>
      <w:r w:rsidRPr="00A24D5B">
        <w:rPr>
          <w:rFonts w:ascii="Arial" w:hAnsi="Arial" w:cs="Arial"/>
        </w:rPr>
        <w:lastRenderedPageBreak/>
        <w:t>Shulman (1987) identifies the Knowledge Base of a teacher to be shaped by seven categories;</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Content Knowledge;</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General Pedagogical Knowledge;</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Curriculum Knowledge;</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Pedagogical Content Knowledge;</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Knowledge of learners and their characteristics;</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Knowledge of educational contexts;</w:t>
      </w:r>
    </w:p>
    <w:p w:rsidR="00702C70" w:rsidRPr="00A24D5B" w:rsidRDefault="00702C70" w:rsidP="00702C70">
      <w:pPr>
        <w:pStyle w:val="ListParagraph"/>
        <w:numPr>
          <w:ilvl w:val="0"/>
          <w:numId w:val="6"/>
        </w:numPr>
        <w:spacing w:line="360" w:lineRule="auto"/>
        <w:rPr>
          <w:rFonts w:ascii="Arial" w:hAnsi="Arial" w:cs="Arial"/>
        </w:rPr>
      </w:pPr>
      <w:r w:rsidRPr="00A24D5B">
        <w:rPr>
          <w:rFonts w:ascii="Arial" w:hAnsi="Arial" w:cs="Arial"/>
        </w:rPr>
        <w:t xml:space="preserve">Knowledge of educational ends, purposes and values. </w:t>
      </w:r>
    </w:p>
    <w:p w:rsidR="00702C70" w:rsidRPr="00AF5DEA" w:rsidRDefault="00702C70" w:rsidP="00702C70">
      <w:pPr>
        <w:spacing w:line="360" w:lineRule="auto"/>
        <w:rPr>
          <w:rFonts w:ascii="Arial" w:hAnsi="Arial" w:cs="Arial"/>
        </w:rPr>
      </w:pPr>
    </w:p>
    <w:p w:rsidR="00702C70" w:rsidRPr="00A24D5B" w:rsidRDefault="00702C70" w:rsidP="00702C70">
      <w:pPr>
        <w:spacing w:line="360" w:lineRule="auto"/>
        <w:rPr>
          <w:rFonts w:ascii="Arial" w:hAnsi="Arial" w:cs="Arial"/>
        </w:rPr>
      </w:pPr>
      <w:r w:rsidRPr="00A24D5B">
        <w:rPr>
          <w:rFonts w:ascii="Arial" w:hAnsi="Arial" w:cs="Arial"/>
        </w:rPr>
        <w:t xml:space="preserve">Rowland et al (2003) developed the four dimensions that compose the Knowledge Quartet as Foundation, Transformation, Connection and Contingency. The Knowledge Quartet is defined as </w:t>
      </w:r>
      <w:r w:rsidRPr="00A24D5B">
        <w:rPr>
          <w:rFonts w:ascii="Arial" w:hAnsi="Arial" w:cs="Arial"/>
          <w:i/>
        </w:rPr>
        <w:t xml:space="preserve">the theoretical framework for the analysis and development of mathematics teaching. </w:t>
      </w:r>
      <w:r w:rsidRPr="00A24D5B">
        <w:rPr>
          <w:rFonts w:ascii="Arial" w:hAnsi="Arial" w:cs="Arial"/>
        </w:rPr>
        <w:t>(knowledgequartet.org)</w:t>
      </w:r>
      <w:r w:rsidRPr="00A24D5B">
        <w:rPr>
          <w:rFonts w:ascii="Arial" w:hAnsi="Arial" w:cs="Arial"/>
          <w:i/>
        </w:rPr>
        <w:t xml:space="preserve"> </w:t>
      </w:r>
      <w:r w:rsidRPr="00A24D5B">
        <w:rPr>
          <w:rFonts w:ascii="Arial" w:hAnsi="Arial" w:cs="Arial"/>
        </w:rPr>
        <w:t xml:space="preserve">When reflecting on the application of teacher knowledge of mathematics subject-matter the Knowledge Quartet has acted a useful tool in studies of recent years. (knowledgequartet.org) </w:t>
      </w:r>
      <w:r w:rsidR="00A24D5B">
        <w:rPr>
          <w:rFonts w:ascii="Arial" w:hAnsi="Arial" w:cs="Arial"/>
        </w:rPr>
        <w:t>Much like the Knowledge Base, t</w:t>
      </w:r>
      <w:r w:rsidRPr="00A24D5B">
        <w:rPr>
          <w:rFonts w:ascii="Arial" w:hAnsi="Arial" w:cs="Arial"/>
        </w:rPr>
        <w:t>he Knowledge Quartet provides a means to reflect on teaching and teacher knowledge, with a view to developing both. (Rowland &amp; Turner, 2007)</w:t>
      </w:r>
    </w:p>
    <w:p w:rsidR="00702C70" w:rsidRPr="00AF5DEA" w:rsidRDefault="00702C70" w:rsidP="00702C70">
      <w:pPr>
        <w:spacing w:line="360" w:lineRule="auto"/>
        <w:rPr>
          <w:rFonts w:ascii="Arial" w:hAnsi="Arial" w:cs="Arial"/>
        </w:rPr>
      </w:pPr>
    </w:p>
    <w:p w:rsidR="00702C70" w:rsidRPr="00CF21DE" w:rsidRDefault="00702C70" w:rsidP="00702C70">
      <w:pPr>
        <w:spacing w:line="360" w:lineRule="auto"/>
        <w:rPr>
          <w:rFonts w:ascii="Arial" w:hAnsi="Arial" w:cs="Arial"/>
        </w:rPr>
      </w:pPr>
      <w:r w:rsidRPr="00CF21DE">
        <w:rPr>
          <w:rFonts w:ascii="Arial" w:hAnsi="Arial" w:cs="Arial"/>
        </w:rPr>
        <w:t xml:space="preserve">It should be remembered that the paper focus’ on the knowledge quartet in just one out of 24 mathematics lessons recorded. Although the Knowledge Quartet can be applied to other subject areas, it must be noted that the work by Rowland et al (2003) was based on the subject of mathematics. The paper also does not take into account or report on the content on the other 23 mathematic lessons recorded. </w:t>
      </w:r>
    </w:p>
    <w:p w:rsidR="00702C70" w:rsidRPr="00AF5DEA" w:rsidRDefault="00702C70" w:rsidP="00702C70">
      <w:pPr>
        <w:spacing w:line="360" w:lineRule="auto"/>
        <w:rPr>
          <w:rFonts w:ascii="Arial" w:hAnsi="Arial" w:cs="Arial"/>
        </w:rPr>
      </w:pPr>
    </w:p>
    <w:p w:rsidR="00702C70" w:rsidRPr="00CF21DE" w:rsidRDefault="00702C70" w:rsidP="00702C70">
      <w:pPr>
        <w:spacing w:line="360" w:lineRule="auto"/>
        <w:rPr>
          <w:rFonts w:ascii="Arial" w:hAnsi="Arial" w:cs="Arial"/>
        </w:rPr>
      </w:pPr>
      <w:r w:rsidRPr="00CF21DE">
        <w:rPr>
          <w:rFonts w:ascii="Arial" w:hAnsi="Arial" w:cs="Arial"/>
        </w:rPr>
        <w:t xml:space="preserve">The case study of Naomi in Rowland et </w:t>
      </w:r>
      <w:proofErr w:type="spellStart"/>
      <w:r w:rsidRPr="00CF21DE">
        <w:rPr>
          <w:rFonts w:ascii="Arial" w:hAnsi="Arial" w:cs="Arial"/>
        </w:rPr>
        <w:t>al’s</w:t>
      </w:r>
      <w:proofErr w:type="spellEnd"/>
      <w:r w:rsidRPr="00CF21DE">
        <w:rPr>
          <w:rFonts w:ascii="Arial" w:hAnsi="Arial" w:cs="Arial"/>
        </w:rPr>
        <w:t xml:space="preserve"> (2003) paper demonstrates a trainee teacher who has clearly endeavoured to prepare herself in relation to the content knowledge on the mathematics lesson based on subtraction. The pedagogy on how she would transform this information to the pupils was perhaps not prepared as comprehensively. Focusing back to Nancy (Shulman, 1987) it could be questioned here that did Naomi not transform the ideas to the pupils as well as Nancy perhaps had due to lack of experience in the profession? Haylock and Cockburn (2013) (pg. </w:t>
      </w:r>
      <w:r w:rsidRPr="00CF21DE">
        <w:rPr>
          <w:rFonts w:ascii="Arial" w:hAnsi="Arial" w:cs="Arial"/>
        </w:rPr>
        <w:lastRenderedPageBreak/>
        <w:t xml:space="preserve">7) write that teachers are helped significantly in their teaching of mathematics when their perception of a subject is shifted away from their recall of recipes and rules, and shifts towards developing an understanding of mathematical concepts, principles and processes. They write that in order for pupils to form equivalences and identify transformations, the teacher needs to engage with how the pupil understands ideas and his understanding of the concept which she instantly disregarded.  </w:t>
      </w:r>
    </w:p>
    <w:p w:rsidR="00702C70" w:rsidRPr="00AF5DEA" w:rsidRDefault="00702C70" w:rsidP="00702C70">
      <w:pPr>
        <w:spacing w:line="360" w:lineRule="auto"/>
        <w:rPr>
          <w:rFonts w:ascii="Arial" w:hAnsi="Arial" w:cs="Arial"/>
        </w:rPr>
      </w:pPr>
    </w:p>
    <w:p w:rsidR="00702C70" w:rsidRPr="00CF21DE" w:rsidRDefault="00702C70" w:rsidP="00702C70">
      <w:pPr>
        <w:spacing w:line="360" w:lineRule="auto"/>
        <w:rPr>
          <w:rFonts w:ascii="Arial" w:hAnsi="Arial" w:cs="Arial"/>
        </w:rPr>
      </w:pPr>
      <w:r w:rsidRPr="00CF21DE">
        <w:rPr>
          <w:rFonts w:ascii="Arial" w:hAnsi="Arial" w:cs="Arial"/>
        </w:rPr>
        <w:t xml:space="preserve">When considering the case study of Naomi, Rowland et al (book) highlight that although an online unit plan may have been highly relevant to the content being taught by Naomi during the mathematics lesson, such pre-planned resources would not allow for Naomi’s own knowledge on subtraction and how to teach it to be uncovered. A constructivist view on learning is based on the premise that the learner must construct their own learning, influenced by making connections with prior knowledge. </w:t>
      </w:r>
    </w:p>
    <w:p w:rsidR="00702C70" w:rsidRPr="00AF5DEA" w:rsidRDefault="00702C70" w:rsidP="00702C70">
      <w:pPr>
        <w:spacing w:line="360" w:lineRule="auto"/>
        <w:rPr>
          <w:rFonts w:ascii="Arial" w:hAnsi="Arial" w:cs="Arial"/>
        </w:rPr>
      </w:pPr>
    </w:p>
    <w:p w:rsidR="00702C70" w:rsidRPr="00281975" w:rsidRDefault="00702C70" w:rsidP="00702C70">
      <w:pPr>
        <w:spacing w:line="360" w:lineRule="auto"/>
        <w:rPr>
          <w:rFonts w:ascii="Arial" w:hAnsi="Arial" w:cs="Arial"/>
        </w:rPr>
      </w:pPr>
      <w:r w:rsidRPr="00281975">
        <w:rPr>
          <w:rFonts w:ascii="Arial" w:hAnsi="Arial" w:cs="Arial"/>
        </w:rPr>
        <w:t xml:space="preserve">Shulman (1987) defines teaching when investigating subject knowledge, as being the comprehension and reasoning, and transformation and reflection of a pupil’s learning. </w:t>
      </w:r>
    </w:p>
    <w:p w:rsidR="00702C70" w:rsidRPr="00AF5DEA" w:rsidRDefault="00702C70" w:rsidP="00702C70">
      <w:pPr>
        <w:spacing w:line="360" w:lineRule="auto"/>
        <w:rPr>
          <w:rFonts w:ascii="Arial" w:hAnsi="Arial" w:cs="Arial"/>
        </w:rPr>
      </w:pPr>
    </w:p>
    <w:p w:rsidR="00702C70" w:rsidRPr="00281975" w:rsidRDefault="00702C70" w:rsidP="00702C70">
      <w:pPr>
        <w:spacing w:line="360" w:lineRule="auto"/>
        <w:rPr>
          <w:rFonts w:ascii="Arial" w:hAnsi="Arial" w:cs="Arial"/>
          <w:i/>
        </w:rPr>
      </w:pPr>
      <w:r w:rsidRPr="00281975">
        <w:rPr>
          <w:rFonts w:ascii="Arial" w:hAnsi="Arial" w:cs="Arial"/>
        </w:rPr>
        <w:t xml:space="preserve">When investigating the pedagogy linked with subject knowledge, Shulman (1987) generated </w:t>
      </w:r>
      <w:r w:rsidRPr="00281975">
        <w:rPr>
          <w:rFonts w:ascii="Arial" w:hAnsi="Arial" w:cs="Arial"/>
          <w:i/>
        </w:rPr>
        <w:t>The Model of Pedagogical Reasoning and Action (MPRA);</w:t>
      </w:r>
    </w:p>
    <w:p w:rsidR="00702C70" w:rsidRPr="00AF5DEA" w:rsidRDefault="00702C70" w:rsidP="00702C70">
      <w:pPr>
        <w:spacing w:line="360" w:lineRule="auto"/>
        <w:rPr>
          <w:rFonts w:ascii="Arial" w:hAnsi="Arial" w:cs="Arial"/>
          <w:b/>
          <w:i/>
        </w:rPr>
      </w:pPr>
    </w:p>
    <w:p w:rsidR="00702C70" w:rsidRPr="00AF5DEA" w:rsidRDefault="00702C70" w:rsidP="00702C70">
      <w:pPr>
        <w:spacing w:line="360" w:lineRule="auto"/>
        <w:rPr>
          <w:rFonts w:ascii="Arial" w:hAnsi="Arial" w:cs="Arial"/>
        </w:rPr>
      </w:pPr>
      <w:r w:rsidRPr="00AF5DEA">
        <w:rPr>
          <w:rFonts w:ascii="Arial" w:hAnsi="Arial" w:cs="Arial"/>
          <w:noProof/>
        </w:rPr>
        <w:lastRenderedPageBreak/>
        <w:drawing>
          <wp:inline distT="0" distB="0" distL="0" distR="0" wp14:anchorId="1A7AE836" wp14:editId="782B1D0E">
            <wp:extent cx="5486400" cy="3200400"/>
            <wp:effectExtent l="0" t="0" r="1270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AF5DEA">
        <w:rPr>
          <w:rFonts w:ascii="Arial" w:hAnsi="Arial" w:cs="Arial"/>
        </w:rPr>
        <w:t xml:space="preserve"> </w:t>
      </w:r>
    </w:p>
    <w:p w:rsidR="00702C70" w:rsidRPr="00AF5DEA" w:rsidRDefault="00702C70" w:rsidP="00702C70">
      <w:pPr>
        <w:spacing w:line="360" w:lineRule="auto"/>
        <w:rPr>
          <w:rFonts w:ascii="Arial" w:hAnsi="Arial" w:cs="Arial"/>
        </w:rPr>
      </w:pPr>
    </w:p>
    <w:p w:rsidR="00281975" w:rsidRPr="00281975" w:rsidRDefault="00702C70" w:rsidP="00702C70">
      <w:pPr>
        <w:spacing w:line="360" w:lineRule="auto"/>
        <w:rPr>
          <w:rFonts w:ascii="Arial" w:hAnsi="Arial" w:cs="Arial"/>
        </w:rPr>
      </w:pPr>
      <w:r w:rsidRPr="00281975">
        <w:rPr>
          <w:rFonts w:ascii="Arial" w:hAnsi="Arial" w:cs="Arial"/>
        </w:rPr>
        <w:t>The MPRA proposes that to comprehend the content and ideas is not simply to understand what they teach but also the purpose of the ideas they are teaching, whether it be an educational purpose or for the personal and well-being development of the pupil. Once the teacher has discovered the purpose of the subject matter it is then their role to transform the ideas into a means that is comprehensible to the pupil.  A range of abilities within a class does not allow for this to be a straightforward process as the teacher must transform the content into a suitable level for the pupils in question, it is here that Shulman (1987) talks as the planning of being the act of</w:t>
      </w:r>
      <w:r w:rsidR="00281975" w:rsidRPr="00281975">
        <w:rPr>
          <w:rFonts w:ascii="Arial" w:hAnsi="Arial" w:cs="Arial"/>
        </w:rPr>
        <w:t xml:space="preserve"> pedagogical reasoning. </w:t>
      </w:r>
      <w:r w:rsidR="00281975" w:rsidRPr="00281975">
        <w:rPr>
          <w:rFonts w:ascii="Arial" w:hAnsi="Arial" w:cs="Arial"/>
        </w:rPr>
        <w:t>This model takes the facts and ideas of subject knowledge and instructs how to use the knowledge in furthering learning in pupils. Fernandez (2014) describes the MPRA as a model of teacher reflection and action. (pg. 3)</w:t>
      </w:r>
    </w:p>
    <w:p w:rsidR="00702C70" w:rsidRPr="00281975" w:rsidRDefault="00702C70" w:rsidP="00702C70">
      <w:pPr>
        <w:spacing w:line="360" w:lineRule="auto"/>
        <w:rPr>
          <w:rFonts w:ascii="Arial" w:hAnsi="Arial" w:cs="Arial"/>
        </w:rPr>
      </w:pPr>
    </w:p>
    <w:p w:rsidR="00702C70" w:rsidRPr="00281975" w:rsidRDefault="00702C70" w:rsidP="00702C70">
      <w:pPr>
        <w:spacing w:line="360" w:lineRule="auto"/>
        <w:rPr>
          <w:rFonts w:ascii="Arial" w:hAnsi="Arial" w:cs="Arial"/>
        </w:rPr>
      </w:pPr>
      <w:r w:rsidRPr="00281975">
        <w:rPr>
          <w:rFonts w:ascii="Arial" w:hAnsi="Arial" w:cs="Arial"/>
        </w:rPr>
        <w:t xml:space="preserve">The Foundation element of the Knowledge Quartet (Rowland et al, 2003) focuses on the teachers understanding of the knowledge and philosophical beliefs of the subject. It considers how the teacher comprehends the knowledge and what they can do with the knowledge, much comparable to the first process of the MPRA. </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rPr>
      </w:pPr>
      <w:r w:rsidRPr="00281975">
        <w:rPr>
          <w:rFonts w:ascii="Arial" w:hAnsi="Arial" w:cs="Arial"/>
        </w:rPr>
        <w:t xml:space="preserve">Just like the second process of the MPRA, the next element of the Knowledge Quartet (Rowland et al, 2003) is Transformation. </w:t>
      </w:r>
      <w:r w:rsidR="00281975" w:rsidRPr="00281975">
        <w:rPr>
          <w:rFonts w:ascii="Arial" w:hAnsi="Arial" w:cs="Arial"/>
        </w:rPr>
        <w:t xml:space="preserve">Both the Knowledge Quartet and MPRA incorporate the element of transformation, putting how the teacher crafts the </w:t>
      </w:r>
      <w:r w:rsidR="00281975" w:rsidRPr="00281975">
        <w:rPr>
          <w:rFonts w:ascii="Arial" w:hAnsi="Arial" w:cs="Arial"/>
        </w:rPr>
        <w:lastRenderedPageBreak/>
        <w:t xml:space="preserve">knowledge and uses the information and ideas in practice, as a highly important component of teaching. </w:t>
      </w:r>
      <w:r w:rsidRPr="00281975">
        <w:rPr>
          <w:rFonts w:ascii="Arial" w:hAnsi="Arial" w:cs="Arial"/>
        </w:rPr>
        <w:t xml:space="preserve">Pedagogical knowledge is used to deliver the content knowledge to the learner in a manner which </w:t>
      </w:r>
      <w:r w:rsidRPr="00281975">
        <w:rPr>
          <w:rFonts w:ascii="Arial" w:hAnsi="Arial" w:cs="Arial"/>
          <w:i/>
        </w:rPr>
        <w:t xml:space="preserve">assists their concept formation, language acquisition and to demonstrate procedures. </w:t>
      </w:r>
      <w:r w:rsidRPr="00281975">
        <w:rPr>
          <w:rFonts w:ascii="Arial" w:hAnsi="Arial" w:cs="Arial"/>
        </w:rPr>
        <w:t xml:space="preserve">(Rowland et al, 2003 pg. 98) Although Rowland et al (2003) touches upon the notion of </w:t>
      </w:r>
      <w:r w:rsidRPr="00281975">
        <w:rPr>
          <w:rFonts w:ascii="Arial" w:hAnsi="Arial" w:cs="Arial"/>
          <w:i/>
        </w:rPr>
        <w:t xml:space="preserve">behaviour directed towards the pupil (pg. 98). </w:t>
      </w:r>
      <w:r w:rsidRPr="00281975">
        <w:rPr>
          <w:rFonts w:ascii="Arial" w:hAnsi="Arial" w:cs="Arial"/>
        </w:rPr>
        <w:t xml:space="preserve">Shulman (1987) considers the task of adapting the content knowledge specific to the learner and their needs and abilities. Shulman (1987) considers his next process of instruction as one of the most crucial aspects of pedagogy. Although Rowland et al (2003) appear not to include the activities and behaviours visited in the lesson as part of the quartet. </w:t>
      </w:r>
      <w:r w:rsidRPr="00AF5DEA">
        <w:rPr>
          <w:rFonts w:ascii="Arial" w:hAnsi="Arial" w:cs="Arial"/>
        </w:rPr>
        <w:t>A teacher with good PCK is able to structure their lesson to encourage</w:t>
      </w:r>
      <w:r w:rsidR="00281975">
        <w:rPr>
          <w:rFonts w:ascii="Arial" w:hAnsi="Arial" w:cs="Arial"/>
        </w:rPr>
        <w:t xml:space="preserve"> and drive</w:t>
      </w:r>
      <w:r w:rsidRPr="00AF5DEA">
        <w:rPr>
          <w:rFonts w:ascii="Arial" w:hAnsi="Arial" w:cs="Arial"/>
        </w:rPr>
        <w:t xml:space="preserve"> pupils to develop the learning themselves. </w:t>
      </w:r>
    </w:p>
    <w:p w:rsidR="00702C70" w:rsidRPr="00281975" w:rsidRDefault="00702C70" w:rsidP="00702C70">
      <w:pPr>
        <w:spacing w:line="360" w:lineRule="auto"/>
        <w:rPr>
          <w:rFonts w:ascii="Arial" w:hAnsi="Arial" w:cs="Arial"/>
        </w:rPr>
      </w:pPr>
    </w:p>
    <w:p w:rsidR="00702C70" w:rsidRPr="00281975" w:rsidRDefault="00281975" w:rsidP="00702C70">
      <w:pPr>
        <w:spacing w:line="360" w:lineRule="auto"/>
        <w:rPr>
          <w:rFonts w:ascii="Arial" w:hAnsi="Arial" w:cs="Arial"/>
        </w:rPr>
      </w:pPr>
      <w:r w:rsidRPr="00281975">
        <w:rPr>
          <w:rFonts w:ascii="Arial" w:hAnsi="Arial" w:cs="Arial"/>
        </w:rPr>
        <w:t xml:space="preserve">The case study of Nancy in Shulman’s (1987) article demonstrates the use of the MPRA model by an experienced teacher. On the occasion where she was unable to speak, Nancy maintained full control and influence of the class. </w:t>
      </w:r>
      <w:r w:rsidR="00702C70" w:rsidRPr="00281975">
        <w:rPr>
          <w:rFonts w:ascii="Arial" w:hAnsi="Arial" w:cs="Arial"/>
        </w:rPr>
        <w:t xml:space="preserve">When Nancy was unable to speak, she had to use her flexibility and trust in her pupils, to change the style of her lesson. The knowledge of the novel was already embedded within the pupils and Nancy trusted that the pupils would be able to answer the questions on the subject matter with minimum support from herself as they were able to revisit their own prior knowledge. The conceptual framework that Nancy (Shulman, 1987) developed created a scaffolding for her pupils to organize their own thinking and ideas. Although this model was developed on the basis of English as the core subject, it is not unreasonable to apply its notion across the curriculum. </w:t>
      </w:r>
    </w:p>
    <w:p w:rsidR="00702C70" w:rsidRPr="00AF5DEA"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Montero (2001) (cited in Fernandez, 2014) states that “teaching goes far beyond what you teach and encompasses a number of less visible and less socially recognized activities performed by teachers with an empty room”. Fernandez (2014) goes on to write that when considering the knowledge of teachers through preparation and analysis, the planning and assessment of the lesson that takes place should also be considered. Carroll &amp; McCulloch (2014) (pg. 140) talk of combining a subject-based curriculum with opportunities for more integrated learning experiences, which connects the subject areas with one another, as a vehicle for the pupil’s own skills development on how to learn. They go on to discuss that such </w:t>
      </w:r>
      <w:r w:rsidRPr="00754792">
        <w:rPr>
          <w:rFonts w:ascii="Arial" w:hAnsi="Arial" w:cs="Arial"/>
        </w:rPr>
        <w:lastRenderedPageBreak/>
        <w:t xml:space="preserve">interdisciplinary learning opportunities comes with a planning task which incorporates curriculum principles and the abilities and development of learners in the classroom. </w:t>
      </w:r>
    </w:p>
    <w:p w:rsidR="00702C70" w:rsidRPr="00AF5DEA"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It is currently an exciting time in Wales with the development of a new curriculum taking place under the influence and recommendation of Professor Graham Donaldson (2016) and the devised Successful Futures (2016) report. As identified in the report, the curriculum is being developed to transform teaching in Wales to create students through four main purposes; </w:t>
      </w:r>
    </w:p>
    <w:p w:rsidR="00702C70" w:rsidRPr="00754792" w:rsidRDefault="00702C70" w:rsidP="00702C70">
      <w:pPr>
        <w:pStyle w:val="ListParagraph"/>
        <w:numPr>
          <w:ilvl w:val="0"/>
          <w:numId w:val="3"/>
        </w:numPr>
        <w:spacing w:line="360" w:lineRule="auto"/>
        <w:rPr>
          <w:rFonts w:ascii="Arial" w:hAnsi="Arial" w:cs="Arial"/>
        </w:rPr>
      </w:pPr>
      <w:r w:rsidRPr="00754792">
        <w:rPr>
          <w:rFonts w:ascii="Arial" w:hAnsi="Arial" w:cs="Arial"/>
        </w:rPr>
        <w:t>Ambitious, capable learners, ready to learn throughout their lives;</w:t>
      </w:r>
    </w:p>
    <w:p w:rsidR="00702C70" w:rsidRPr="00754792" w:rsidRDefault="00702C70" w:rsidP="00702C70">
      <w:pPr>
        <w:pStyle w:val="ListParagraph"/>
        <w:numPr>
          <w:ilvl w:val="0"/>
          <w:numId w:val="3"/>
        </w:numPr>
        <w:spacing w:line="360" w:lineRule="auto"/>
        <w:rPr>
          <w:rFonts w:ascii="Arial" w:hAnsi="Arial" w:cs="Arial"/>
        </w:rPr>
      </w:pPr>
      <w:r w:rsidRPr="00754792">
        <w:rPr>
          <w:rFonts w:ascii="Arial" w:hAnsi="Arial" w:cs="Arial"/>
        </w:rPr>
        <w:t>Enterprising, creative contributors, ready to play a full part in life and work;</w:t>
      </w:r>
    </w:p>
    <w:p w:rsidR="00702C70" w:rsidRPr="00754792" w:rsidRDefault="00702C70" w:rsidP="00702C70">
      <w:pPr>
        <w:pStyle w:val="ListParagraph"/>
        <w:numPr>
          <w:ilvl w:val="0"/>
          <w:numId w:val="3"/>
        </w:numPr>
        <w:spacing w:line="360" w:lineRule="auto"/>
        <w:rPr>
          <w:rFonts w:ascii="Arial" w:hAnsi="Arial" w:cs="Arial"/>
        </w:rPr>
      </w:pPr>
      <w:r w:rsidRPr="00754792">
        <w:rPr>
          <w:rFonts w:ascii="Arial" w:hAnsi="Arial" w:cs="Arial"/>
        </w:rPr>
        <w:t>Ethical, informed citizens of Wales and the world;</w:t>
      </w:r>
    </w:p>
    <w:p w:rsidR="00702C70" w:rsidRPr="00754792" w:rsidRDefault="00702C70" w:rsidP="00702C70">
      <w:pPr>
        <w:pStyle w:val="ListParagraph"/>
        <w:numPr>
          <w:ilvl w:val="0"/>
          <w:numId w:val="3"/>
        </w:numPr>
        <w:spacing w:line="360" w:lineRule="auto"/>
        <w:rPr>
          <w:rFonts w:ascii="Arial" w:hAnsi="Arial" w:cs="Arial"/>
        </w:rPr>
      </w:pPr>
      <w:r w:rsidRPr="00754792">
        <w:rPr>
          <w:rFonts w:ascii="Arial" w:hAnsi="Arial" w:cs="Arial"/>
        </w:rPr>
        <w:t>Healthy, confident individuals, ready to lead fulfilling lives as valued members of society. (Donaldson, 2016)</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These four purposes will be developed across the Six Areas of Learning and Experiences;</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Languages, Literacy and Communication;</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Mathematics and Numeracy;</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Expressive Arts;</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Health and Well-being;</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Humanities;</w:t>
      </w:r>
    </w:p>
    <w:p w:rsidR="00702C70" w:rsidRPr="00754792" w:rsidRDefault="00702C70" w:rsidP="00702C70">
      <w:pPr>
        <w:pStyle w:val="ListParagraph"/>
        <w:numPr>
          <w:ilvl w:val="0"/>
          <w:numId w:val="4"/>
        </w:numPr>
        <w:spacing w:line="360" w:lineRule="auto"/>
        <w:rPr>
          <w:rFonts w:ascii="Arial" w:hAnsi="Arial" w:cs="Arial"/>
        </w:rPr>
      </w:pPr>
      <w:r w:rsidRPr="00754792">
        <w:rPr>
          <w:rFonts w:ascii="Arial" w:hAnsi="Arial" w:cs="Arial"/>
        </w:rPr>
        <w:t>Science and Technology. (Donaldson, 2016)</w:t>
      </w:r>
    </w:p>
    <w:p w:rsidR="00702C70" w:rsidRPr="00AF5DEA" w:rsidRDefault="00702C70" w:rsidP="00702C70">
      <w:pPr>
        <w:spacing w:line="360" w:lineRule="auto"/>
        <w:rPr>
          <w:rFonts w:ascii="Arial" w:hAnsi="Arial" w:cs="Arial"/>
        </w:rPr>
      </w:pPr>
    </w:p>
    <w:p w:rsidR="00702C70" w:rsidRPr="00AF5DEA" w:rsidRDefault="00702C70" w:rsidP="00702C70">
      <w:pPr>
        <w:spacing w:line="360" w:lineRule="auto"/>
        <w:rPr>
          <w:rFonts w:ascii="Arial" w:hAnsi="Arial" w:cs="Arial"/>
        </w:rPr>
      </w:pPr>
      <w:r w:rsidRPr="00AF5DEA">
        <w:rPr>
          <w:rFonts w:ascii="Arial" w:hAnsi="Arial" w:cs="Arial"/>
        </w:rPr>
        <w:t xml:space="preserve">The development of the new curriculum is unique to Wales as it is being developed through teachers themselves, at the forefront of teaching. There is also a drive for the new curriculum to be less prescriptive and give the teacher opportunities to adapt the lesson to meet the needs of the pupils. </w:t>
      </w:r>
    </w:p>
    <w:p w:rsidR="00702C70" w:rsidRPr="00AF5DEA" w:rsidRDefault="00702C70" w:rsidP="00702C70">
      <w:pPr>
        <w:spacing w:line="360" w:lineRule="auto"/>
        <w:rPr>
          <w:rFonts w:ascii="Arial" w:hAnsi="Arial" w:cs="Arial"/>
        </w:rPr>
      </w:pPr>
    </w:p>
    <w:p w:rsidR="00754792" w:rsidRDefault="00754792" w:rsidP="00702C70">
      <w:pPr>
        <w:spacing w:line="360" w:lineRule="auto"/>
        <w:rPr>
          <w:rFonts w:ascii="Arial" w:hAnsi="Arial" w:cs="Arial"/>
          <w:u w:val="single"/>
        </w:rPr>
      </w:pPr>
    </w:p>
    <w:p w:rsidR="00754792" w:rsidRDefault="00754792" w:rsidP="00702C70">
      <w:pPr>
        <w:spacing w:line="360" w:lineRule="auto"/>
        <w:rPr>
          <w:rFonts w:ascii="Arial" w:hAnsi="Arial" w:cs="Arial"/>
          <w:u w:val="single"/>
        </w:rPr>
      </w:pPr>
    </w:p>
    <w:p w:rsidR="00754792" w:rsidRDefault="00754792" w:rsidP="00702C70">
      <w:pPr>
        <w:spacing w:line="360" w:lineRule="auto"/>
        <w:rPr>
          <w:rFonts w:ascii="Arial" w:hAnsi="Arial" w:cs="Arial"/>
          <w:u w:val="single"/>
        </w:rPr>
      </w:pPr>
    </w:p>
    <w:p w:rsidR="00754792" w:rsidRDefault="00754792" w:rsidP="00702C70">
      <w:pPr>
        <w:spacing w:line="360" w:lineRule="auto"/>
        <w:rPr>
          <w:rFonts w:ascii="Arial" w:hAnsi="Arial" w:cs="Arial"/>
          <w:u w:val="single"/>
        </w:rPr>
      </w:pPr>
    </w:p>
    <w:p w:rsidR="00702C70" w:rsidRPr="00AF5DEA" w:rsidRDefault="00702C70" w:rsidP="00702C70">
      <w:pPr>
        <w:spacing w:line="360" w:lineRule="auto"/>
        <w:rPr>
          <w:rFonts w:ascii="Arial" w:hAnsi="Arial" w:cs="Arial"/>
          <w:u w:val="single"/>
        </w:rPr>
      </w:pPr>
      <w:r w:rsidRPr="00AF5DEA">
        <w:rPr>
          <w:rFonts w:ascii="Arial" w:hAnsi="Arial" w:cs="Arial"/>
          <w:u w:val="single"/>
        </w:rPr>
        <w:lastRenderedPageBreak/>
        <w:t>Personal Reflection</w:t>
      </w:r>
    </w:p>
    <w:p w:rsidR="00754792" w:rsidRDefault="00754792" w:rsidP="00702C70">
      <w:pPr>
        <w:spacing w:line="360" w:lineRule="auto"/>
        <w:rPr>
          <w:rFonts w:ascii="Arial" w:hAnsi="Arial" w:cs="Arial"/>
        </w:rPr>
      </w:pPr>
    </w:p>
    <w:p w:rsidR="00702C70" w:rsidRPr="00754792" w:rsidRDefault="00702C70" w:rsidP="00702C70">
      <w:pPr>
        <w:spacing w:line="360" w:lineRule="auto"/>
        <w:rPr>
          <w:rFonts w:ascii="Arial" w:hAnsi="Arial" w:cs="Arial"/>
          <w:u w:val="single"/>
        </w:rPr>
      </w:pPr>
      <w:r w:rsidRPr="00754792">
        <w:rPr>
          <w:rFonts w:ascii="Arial" w:hAnsi="Arial" w:cs="Arial"/>
        </w:rPr>
        <w:t>Generally, Primary trainee teachers are graduates with a degree in a range of disciplines who are trained to be generalists of the whole primary curriculum. (Rowland &amp; Turner, 2007)</w:t>
      </w:r>
      <w:r w:rsidRPr="00754792">
        <w:rPr>
          <w:rFonts w:ascii="Arial" w:hAnsi="Arial" w:cs="Arial"/>
          <w:u w:val="single"/>
        </w:rPr>
        <w:t xml:space="preserve"> </w:t>
      </w:r>
    </w:p>
    <w:p w:rsidR="00702C70" w:rsidRPr="00754792" w:rsidRDefault="00702C70" w:rsidP="00702C70">
      <w:pPr>
        <w:spacing w:line="360" w:lineRule="auto"/>
        <w:rPr>
          <w:rFonts w:ascii="Arial" w:hAnsi="Arial" w:cs="Arial"/>
          <w:u w:val="single"/>
        </w:rPr>
      </w:pPr>
    </w:p>
    <w:p w:rsidR="00702C70" w:rsidRPr="00754792" w:rsidRDefault="00702C70" w:rsidP="00702C70">
      <w:pPr>
        <w:spacing w:line="360" w:lineRule="auto"/>
        <w:rPr>
          <w:rFonts w:ascii="Arial" w:hAnsi="Arial" w:cs="Arial"/>
        </w:rPr>
      </w:pPr>
      <w:r w:rsidRPr="00754792">
        <w:rPr>
          <w:rFonts w:ascii="Arial" w:hAnsi="Arial" w:cs="Arial"/>
        </w:rPr>
        <w:t xml:space="preserve">During my time on PTE 1 in School X in year 5, I was allocated with the responsibility of delivering the Numeracy sessions. Previous experiences of supporting and guiding pupils in work experience had been with pupils in the Foundation Phase. Due to previous experiences, my initial anxieties and concerns over my responsibilities for the Numeracy lessons instantly had me questioning; “How will I be able to teach these topics in a way the children will understand?” From the outset I did not feel apprehensive due to my own subject knowledge as I had enjoyed the subject during my own school experiences and gained a high grade during my GCSE’s. It was in fact, the pedagogy of that subject knowledge that I was concerned about in my delivery. In my opinion I feel this was a concern that stayed with me for the duration of my time in School X. My experiences on PTE1 have led to delivering two Singapore Maths sessions. I will be reflecting on one of these sessions in particular. To begin, I will reflect on the first lesson planned and delivered during PTE 1. </w:t>
      </w:r>
    </w:p>
    <w:p w:rsidR="00702C70" w:rsidRPr="00754792" w:rsidRDefault="00702C70" w:rsidP="00702C70">
      <w:pPr>
        <w:spacing w:line="360" w:lineRule="auto"/>
        <w:rPr>
          <w:rFonts w:ascii="Arial" w:hAnsi="Arial" w:cs="Arial"/>
        </w:rPr>
      </w:pPr>
      <w:r w:rsidRPr="00754792">
        <w:rPr>
          <w:rFonts w:ascii="Arial" w:hAnsi="Arial" w:cs="Arial"/>
        </w:rPr>
        <w:t xml:space="preserve">Shulman (1987) talks regularly about the importance of understanding the individual pupils needs and abilities as good practice of pedagogical content knowledge. As with all trainee teachers, I entered the class with very little knowledge of individual pupils and the levels or outcomes they were working towards. This was evident in the feedback of the first maths session I delivered, factors. (Appendix 1) The class were organised into three ability groups for maths and I had planned my lesson under the assumption the pupils would have had more prior knowledge of the concept of factors. I had also assumed their multiplication skills would have been stronger than they were, this meant during my first focus group (of the lower ability) I had pupils working at very different paces with varying understandings this was due to my lack of modelling in the introduction and at the start of the focus task. (Appendix 2) I was indeed lucky, that I had the class-teacher as my mentor who would always provide me with thorough feedback after the lesson. The reflection that would take place through the feedback would include vast amounts of support in </w:t>
      </w:r>
      <w:r w:rsidRPr="00754792">
        <w:rPr>
          <w:rFonts w:ascii="Arial" w:hAnsi="Arial" w:cs="Arial"/>
        </w:rPr>
        <w:lastRenderedPageBreak/>
        <w:t xml:space="preserve">what went well, what did not and what I could do the next time. After each lesson delivered to the class, I feel reflection on my content knowledge would develop each time. </w:t>
      </w:r>
    </w:p>
    <w:p w:rsidR="00702C70" w:rsidRPr="00754792" w:rsidRDefault="00702C70" w:rsidP="00702C70">
      <w:pPr>
        <w:spacing w:line="360" w:lineRule="auto"/>
        <w:rPr>
          <w:rFonts w:ascii="Arial" w:hAnsi="Arial" w:cs="Arial"/>
        </w:rPr>
      </w:pPr>
      <w:r w:rsidRPr="00754792">
        <w:rPr>
          <w:rFonts w:ascii="Arial" w:hAnsi="Arial" w:cs="Arial"/>
          <w:i/>
        </w:rPr>
        <w:t>Teachers themselves have difficulties in articulating what they know and how they know it.</w:t>
      </w:r>
      <w:r w:rsidRPr="00754792">
        <w:rPr>
          <w:rFonts w:ascii="Arial" w:hAnsi="Arial" w:cs="Arial"/>
        </w:rPr>
        <w:t xml:space="preserve"> (Shulman, 1987, </w:t>
      </w:r>
      <w:proofErr w:type="spellStart"/>
      <w:r w:rsidRPr="00754792">
        <w:rPr>
          <w:rFonts w:ascii="Arial" w:hAnsi="Arial" w:cs="Arial"/>
        </w:rPr>
        <w:t>pg</w:t>
      </w:r>
      <w:proofErr w:type="spellEnd"/>
      <w:r w:rsidRPr="00754792">
        <w:rPr>
          <w:rFonts w:ascii="Arial" w:hAnsi="Arial" w:cs="Arial"/>
        </w:rPr>
        <w:t xml:space="preserve"> 6) A re-occurring concern, was the difficulty in understanding </w:t>
      </w:r>
      <w:r w:rsidRPr="00754792">
        <w:rPr>
          <w:rFonts w:ascii="Arial" w:hAnsi="Arial" w:cs="Arial"/>
          <w:i/>
        </w:rPr>
        <w:t>how</w:t>
      </w:r>
      <w:r w:rsidRPr="00754792">
        <w:rPr>
          <w:rFonts w:ascii="Arial" w:hAnsi="Arial" w:cs="Arial"/>
        </w:rPr>
        <w:t xml:space="preserve"> I could deliver the knowledge at hand and the next steps for myself provided by my tutor, in an approach that would suit all learners and provide them with the greatest opportunities, the transformation element of the Knowledge Quartet. (Rowland et al, 2003) Throughout my time in school X modelling of methods and concepts became a strong priority in my personal targets, with this required emphasis to be placed on my own development of transforming the knowledge I had. </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I found it beneficial as the course of PTE 1 developed, to have a sound knowledge of the curriculum, recognising skills from the Programme of Mathematical Development (Welsh Government) supported me in my planning. Having an understanding of the skills the pupils should or shouldn’t have already acquired determined how much of a scaffold I would provide within my lessons. </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During the first two to three weeks of my PTE 1 placement my confidence in maths subsided slightly as I felt the pupils perhaps had a greater knowledge of the multiple methods of particular elements of mathematics. </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Current knowledge from the pupil’s had a great impact on the process it would take to come to an understanding on the new subject. As a scholarship in content disciplines, a teacher should have a broad liberal education that serves as a framework for old learning and as a facilitator for new understanding. (Shulman, 1987, </w:t>
      </w:r>
      <w:proofErr w:type="spellStart"/>
      <w:r w:rsidRPr="00754792">
        <w:rPr>
          <w:rFonts w:ascii="Arial" w:hAnsi="Arial" w:cs="Arial"/>
        </w:rPr>
        <w:t>pg</w:t>
      </w:r>
      <w:proofErr w:type="spellEnd"/>
      <w:r w:rsidRPr="00754792">
        <w:rPr>
          <w:rFonts w:ascii="Arial" w:hAnsi="Arial" w:cs="Arial"/>
        </w:rPr>
        <w:t xml:space="preserve"> 9). </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Shulman (1987) talks of the “exchange of ideas” within teaching, for the teacher to be able to understand an idea, comprehend it and then be able to view the idea from different aspects and perspectives which can be delivered to the pupils. He discusses however, that such ideas and concepts should be presented as a means to provoke further constructive thinking by the pupil and pupils should not become dependent on the teacher. School X is a visible learning school who adopt various </w:t>
      </w:r>
      <w:r w:rsidRPr="00754792">
        <w:rPr>
          <w:rFonts w:ascii="Arial" w:hAnsi="Arial" w:cs="Arial"/>
        </w:rPr>
        <w:lastRenderedPageBreak/>
        <w:t>approaches to teaching, one of these approaches being Singapore maths. My time on PTE 1 meant that it was expected of me to deliver such sessions. Singapore maths focuses mastering a limited number of concepts, not simply learning material for a test. The goal with the Singapore maths approach is to develop a deeper understanding of the knowledge. (pbs.org) Shulman (1987) encourages that where possible, teachers should be able to understand the concept they are teaching in several ways. Due to the nature of the Singapore Maths method this required a great deal of prior planning of the maths topic, in the case of the lesson I will be reflecting on this was fractional quantities, to ensure that I had a sound understanding of the various different methods that the pupils could potentially discover within the lesson. For the Singapore maths approach the pupils do not work in their ability groups, the lesson is delivered as a whole class input. I posed a question to the class from a past paper of the Procedural National Tests. For this particular lesson I felt I had planned more appropriately for instruction. (Appendix 3)</w:t>
      </w:r>
    </w:p>
    <w:p w:rsidR="00702C70" w:rsidRPr="00754792" w:rsidRDefault="00702C70" w:rsidP="00702C70">
      <w:pPr>
        <w:spacing w:line="360" w:lineRule="auto"/>
        <w:rPr>
          <w:rFonts w:ascii="Arial" w:hAnsi="Arial" w:cs="Arial"/>
        </w:rPr>
      </w:pPr>
      <w:r w:rsidRPr="00754792">
        <w:rPr>
          <w:rFonts w:ascii="Arial" w:hAnsi="Arial" w:cs="Arial"/>
        </w:rPr>
        <w:t>As I discussed in my ARC for that particular day (Appendix 4) the majority of the pupils were able to gain a sound understanding of the first method proposed to the class. The difficulty I had with the second method, the bar model method, was that the more I endeavoured to model the method, as the pupils were not grasping the concept, the more complicated I was finding the method myself and therefore was not demonstrating confidence in my knowledge, the class teacher did however reassure me that she saw no errors in my modelling of the method and it was simply lack of understanding by the pupils. The pupils were failing to recognise the value of the bar in relation to the question. The class teacher advised me that although the pupils were not understanding the method to encourage them to choose this method when working on further fractional quantity questions independently. I stated that I felt this was not the appropriate method for some pupils and it was hindering their learning rather than allowing them opportunity to progress, however the class teacher stated this was the method the head teacher preferred.</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Shulman (1987) discusses how the teacher must be flexible in the face of student diversity, able to </w:t>
      </w:r>
      <w:r w:rsidRPr="00754792">
        <w:rPr>
          <w:rFonts w:ascii="Arial" w:hAnsi="Arial" w:cs="Arial"/>
          <w:i/>
        </w:rPr>
        <w:t xml:space="preserve">impart alternative explanations of the same concepts or principles. (pg. 9) </w:t>
      </w:r>
      <w:r w:rsidRPr="00754792">
        <w:rPr>
          <w:rFonts w:ascii="Arial" w:hAnsi="Arial" w:cs="Arial"/>
        </w:rPr>
        <w:t xml:space="preserve">The class being taught were grouped based on their abilities for the maths sessions. There was a higher ability (Kit Kats), a middle ability (Maltesers) and a lower ability (Mars Bars). The learning objectives would always be centred around </w:t>
      </w:r>
      <w:r w:rsidRPr="00754792">
        <w:rPr>
          <w:rFonts w:ascii="Arial" w:hAnsi="Arial" w:cs="Arial"/>
        </w:rPr>
        <w:lastRenderedPageBreak/>
        <w:t>the skills which could be found in the Programme of Study for Mathematics document (Welsh Government). To challenge the higher ability pupils, it was recommended that these pupils worked towards the year 6 and 7 maths skills, where appropriate. (Appendix 4)</w:t>
      </w: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p>
    <w:p w:rsidR="00702C70" w:rsidRPr="00754792" w:rsidRDefault="00702C70" w:rsidP="00702C70">
      <w:pPr>
        <w:spacing w:line="360" w:lineRule="auto"/>
        <w:rPr>
          <w:rFonts w:ascii="Arial" w:hAnsi="Arial" w:cs="Arial"/>
        </w:rPr>
      </w:pPr>
      <w:r w:rsidRPr="00754792">
        <w:rPr>
          <w:rFonts w:ascii="Arial" w:hAnsi="Arial" w:cs="Arial"/>
        </w:rPr>
        <w:t xml:space="preserve">Teacher comprehension is even more critical for the inquiry-orientated classroom (Shulman, 1987, </w:t>
      </w:r>
      <w:proofErr w:type="spellStart"/>
      <w:r w:rsidRPr="00754792">
        <w:rPr>
          <w:rFonts w:ascii="Arial" w:hAnsi="Arial" w:cs="Arial"/>
        </w:rPr>
        <w:t>pg</w:t>
      </w:r>
      <w:proofErr w:type="spellEnd"/>
      <w:r w:rsidRPr="00754792">
        <w:rPr>
          <w:rFonts w:ascii="Arial" w:hAnsi="Arial" w:cs="Arial"/>
        </w:rPr>
        <w:t xml:space="preserve"> 7). </w:t>
      </w:r>
    </w:p>
    <w:p w:rsidR="00AE0EF1" w:rsidRDefault="00402C04"/>
    <w:sectPr w:rsidR="00AE0EF1" w:rsidSect="00B7279F">
      <w:headerReference w:type="default" r:id="rId12"/>
      <w:footerReference w:type="even" r:id="rId13"/>
      <w:footerReference w:type="default" r:id="rId1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02C04" w:rsidRDefault="00402C04" w:rsidP="00990507">
      <w:r>
        <w:separator/>
      </w:r>
    </w:p>
  </w:endnote>
  <w:endnote w:type="continuationSeparator" w:id="0">
    <w:p w:rsidR="00402C04" w:rsidRDefault="00402C04" w:rsidP="0099050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87476313"/>
      <w:docPartObj>
        <w:docPartGallery w:val="Page Numbers (Bottom of Page)"/>
        <w:docPartUnique/>
      </w:docPartObj>
    </w:sdtPr>
    <w:sdtContent>
      <w:p w:rsidR="00990507" w:rsidRDefault="00990507" w:rsidP="00ED14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90507" w:rsidRDefault="00990507" w:rsidP="0099050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392014447"/>
      <w:docPartObj>
        <w:docPartGallery w:val="Page Numbers (Bottom of Page)"/>
        <w:docPartUnique/>
      </w:docPartObj>
    </w:sdtPr>
    <w:sdtContent>
      <w:p w:rsidR="00990507" w:rsidRDefault="00990507" w:rsidP="00ED147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90507" w:rsidRDefault="00990507" w:rsidP="0099050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02C04" w:rsidRDefault="00402C04" w:rsidP="00990507">
      <w:r>
        <w:separator/>
      </w:r>
    </w:p>
  </w:footnote>
  <w:footnote w:type="continuationSeparator" w:id="0">
    <w:p w:rsidR="00402C04" w:rsidRDefault="00402C04" w:rsidP="0099050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90507" w:rsidRDefault="00990507">
    <w:pPr>
      <w:pStyle w:val="Header"/>
    </w:pPr>
    <w:r>
      <w:t>STUDENT NUMBER: 1800977</w:t>
    </w:r>
  </w:p>
  <w:p w:rsidR="00990507" w:rsidRDefault="009905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401CBF"/>
    <w:multiLevelType w:val="hybridMultilevel"/>
    <w:tmpl w:val="8AD0F5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FB2FFA"/>
    <w:multiLevelType w:val="hybridMultilevel"/>
    <w:tmpl w:val="B0704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6365ED"/>
    <w:multiLevelType w:val="hybridMultilevel"/>
    <w:tmpl w:val="264CA1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B391983"/>
    <w:multiLevelType w:val="hybridMultilevel"/>
    <w:tmpl w:val="EA9287CA"/>
    <w:lvl w:ilvl="0" w:tplc="04090001">
      <w:start w:val="1"/>
      <w:numFmt w:val="bullet"/>
      <w:lvlText w:val=""/>
      <w:lvlJc w:val="left"/>
      <w:pPr>
        <w:ind w:left="773" w:hanging="360"/>
      </w:pPr>
      <w:rPr>
        <w:rFonts w:ascii="Symbol" w:hAnsi="Symbol" w:hint="default"/>
      </w:rPr>
    </w:lvl>
    <w:lvl w:ilvl="1" w:tplc="04090003" w:tentative="1">
      <w:start w:val="1"/>
      <w:numFmt w:val="bullet"/>
      <w:lvlText w:val="o"/>
      <w:lvlJc w:val="left"/>
      <w:pPr>
        <w:ind w:left="1493" w:hanging="360"/>
      </w:pPr>
      <w:rPr>
        <w:rFonts w:ascii="Courier New" w:hAnsi="Courier New" w:cs="Courier New" w:hint="default"/>
      </w:rPr>
    </w:lvl>
    <w:lvl w:ilvl="2" w:tplc="04090005" w:tentative="1">
      <w:start w:val="1"/>
      <w:numFmt w:val="bullet"/>
      <w:lvlText w:val=""/>
      <w:lvlJc w:val="left"/>
      <w:pPr>
        <w:ind w:left="2213" w:hanging="360"/>
      </w:pPr>
      <w:rPr>
        <w:rFonts w:ascii="Wingdings" w:hAnsi="Wingdings" w:hint="default"/>
      </w:rPr>
    </w:lvl>
    <w:lvl w:ilvl="3" w:tplc="04090001" w:tentative="1">
      <w:start w:val="1"/>
      <w:numFmt w:val="bullet"/>
      <w:lvlText w:val=""/>
      <w:lvlJc w:val="left"/>
      <w:pPr>
        <w:ind w:left="2933" w:hanging="360"/>
      </w:pPr>
      <w:rPr>
        <w:rFonts w:ascii="Symbol" w:hAnsi="Symbol" w:hint="default"/>
      </w:rPr>
    </w:lvl>
    <w:lvl w:ilvl="4" w:tplc="04090003" w:tentative="1">
      <w:start w:val="1"/>
      <w:numFmt w:val="bullet"/>
      <w:lvlText w:val="o"/>
      <w:lvlJc w:val="left"/>
      <w:pPr>
        <w:ind w:left="3653" w:hanging="360"/>
      </w:pPr>
      <w:rPr>
        <w:rFonts w:ascii="Courier New" w:hAnsi="Courier New" w:cs="Courier New" w:hint="default"/>
      </w:rPr>
    </w:lvl>
    <w:lvl w:ilvl="5" w:tplc="04090005" w:tentative="1">
      <w:start w:val="1"/>
      <w:numFmt w:val="bullet"/>
      <w:lvlText w:val=""/>
      <w:lvlJc w:val="left"/>
      <w:pPr>
        <w:ind w:left="4373" w:hanging="360"/>
      </w:pPr>
      <w:rPr>
        <w:rFonts w:ascii="Wingdings" w:hAnsi="Wingdings" w:hint="default"/>
      </w:rPr>
    </w:lvl>
    <w:lvl w:ilvl="6" w:tplc="04090001" w:tentative="1">
      <w:start w:val="1"/>
      <w:numFmt w:val="bullet"/>
      <w:lvlText w:val=""/>
      <w:lvlJc w:val="left"/>
      <w:pPr>
        <w:ind w:left="5093" w:hanging="360"/>
      </w:pPr>
      <w:rPr>
        <w:rFonts w:ascii="Symbol" w:hAnsi="Symbol" w:hint="default"/>
      </w:rPr>
    </w:lvl>
    <w:lvl w:ilvl="7" w:tplc="04090003" w:tentative="1">
      <w:start w:val="1"/>
      <w:numFmt w:val="bullet"/>
      <w:lvlText w:val="o"/>
      <w:lvlJc w:val="left"/>
      <w:pPr>
        <w:ind w:left="5813" w:hanging="360"/>
      </w:pPr>
      <w:rPr>
        <w:rFonts w:ascii="Courier New" w:hAnsi="Courier New" w:cs="Courier New" w:hint="default"/>
      </w:rPr>
    </w:lvl>
    <w:lvl w:ilvl="8" w:tplc="04090005" w:tentative="1">
      <w:start w:val="1"/>
      <w:numFmt w:val="bullet"/>
      <w:lvlText w:val=""/>
      <w:lvlJc w:val="left"/>
      <w:pPr>
        <w:ind w:left="6533" w:hanging="360"/>
      </w:pPr>
      <w:rPr>
        <w:rFonts w:ascii="Wingdings" w:hAnsi="Wingdings" w:hint="default"/>
      </w:rPr>
    </w:lvl>
  </w:abstractNum>
  <w:abstractNum w:abstractNumId="4" w15:restartNumberingAfterBreak="0">
    <w:nsid w:val="52805186"/>
    <w:multiLevelType w:val="hybridMultilevel"/>
    <w:tmpl w:val="7A1056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2365968"/>
    <w:multiLevelType w:val="hybridMultilevel"/>
    <w:tmpl w:val="827AE3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C70"/>
    <w:rsid w:val="00281975"/>
    <w:rsid w:val="00402C04"/>
    <w:rsid w:val="006E7EBA"/>
    <w:rsid w:val="00702C70"/>
    <w:rsid w:val="00754792"/>
    <w:rsid w:val="00990507"/>
    <w:rsid w:val="00A24D5B"/>
    <w:rsid w:val="00B7279F"/>
    <w:rsid w:val="00CF21DE"/>
    <w:rsid w:val="00E86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D6DDC"/>
  <w15:chartTrackingRefBased/>
  <w15:docId w15:val="{379DAE73-B7E8-A443-A467-57282C2CE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02C7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C70"/>
    <w:pPr>
      <w:ind w:left="720"/>
      <w:contextualSpacing/>
    </w:pPr>
  </w:style>
  <w:style w:type="paragraph" w:styleId="NormalWeb">
    <w:name w:val="Normal (Web)"/>
    <w:basedOn w:val="Normal"/>
    <w:uiPriority w:val="99"/>
    <w:semiHidden/>
    <w:unhideWhenUsed/>
    <w:rsid w:val="00702C70"/>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990507"/>
    <w:pPr>
      <w:tabs>
        <w:tab w:val="center" w:pos="4680"/>
        <w:tab w:val="right" w:pos="9360"/>
      </w:tabs>
    </w:pPr>
  </w:style>
  <w:style w:type="character" w:customStyle="1" w:styleId="HeaderChar">
    <w:name w:val="Header Char"/>
    <w:basedOn w:val="DefaultParagraphFont"/>
    <w:link w:val="Header"/>
    <w:uiPriority w:val="99"/>
    <w:rsid w:val="00990507"/>
  </w:style>
  <w:style w:type="paragraph" w:styleId="Footer">
    <w:name w:val="footer"/>
    <w:basedOn w:val="Normal"/>
    <w:link w:val="FooterChar"/>
    <w:uiPriority w:val="99"/>
    <w:unhideWhenUsed/>
    <w:rsid w:val="00990507"/>
    <w:pPr>
      <w:tabs>
        <w:tab w:val="center" w:pos="4680"/>
        <w:tab w:val="right" w:pos="9360"/>
      </w:tabs>
    </w:pPr>
  </w:style>
  <w:style w:type="character" w:customStyle="1" w:styleId="FooterChar">
    <w:name w:val="Footer Char"/>
    <w:basedOn w:val="DefaultParagraphFont"/>
    <w:link w:val="Footer"/>
    <w:uiPriority w:val="99"/>
    <w:rsid w:val="00990507"/>
  </w:style>
  <w:style w:type="character" w:styleId="PageNumber">
    <w:name w:val="page number"/>
    <w:basedOn w:val="DefaultParagraphFont"/>
    <w:uiPriority w:val="99"/>
    <w:semiHidden/>
    <w:unhideWhenUsed/>
    <w:rsid w:val="009905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FA0A04-7E4E-C247-897D-DDA04BEBB6C2}" type="doc">
      <dgm:prSet loTypeId="urn:microsoft.com/office/officeart/2005/8/layout/list1" loCatId="" qsTypeId="urn:microsoft.com/office/officeart/2005/8/quickstyle/simple1" qsCatId="simple" csTypeId="urn:microsoft.com/office/officeart/2005/8/colors/accent1_2" csCatId="accent1" phldr="1"/>
      <dgm:spPr/>
      <dgm:t>
        <a:bodyPr/>
        <a:lstStyle/>
        <a:p>
          <a:endParaRPr lang="en-US"/>
        </a:p>
      </dgm:t>
    </dgm:pt>
    <dgm:pt modelId="{D686E50F-6780-C648-8238-7535DCB98572}">
      <dgm:prSet phldrT="[Text]"/>
      <dgm:spPr/>
      <dgm:t>
        <a:bodyPr/>
        <a:lstStyle/>
        <a:p>
          <a:r>
            <a:rPr lang="en-US"/>
            <a:t>Comprehension</a:t>
          </a:r>
        </a:p>
      </dgm:t>
    </dgm:pt>
    <dgm:pt modelId="{636DCB93-35F4-3D45-8E35-28E9C9C4D7A2}" type="parTrans" cxnId="{43A30603-E557-D844-8738-9D24CD9901CB}">
      <dgm:prSet/>
      <dgm:spPr/>
      <dgm:t>
        <a:bodyPr/>
        <a:lstStyle/>
        <a:p>
          <a:endParaRPr lang="en-US"/>
        </a:p>
      </dgm:t>
    </dgm:pt>
    <dgm:pt modelId="{30047E5B-1881-654E-BD74-5DEBB8FD2123}" type="sibTrans" cxnId="{43A30603-E557-D844-8738-9D24CD9901CB}">
      <dgm:prSet/>
      <dgm:spPr/>
      <dgm:t>
        <a:bodyPr/>
        <a:lstStyle/>
        <a:p>
          <a:endParaRPr lang="en-US"/>
        </a:p>
      </dgm:t>
    </dgm:pt>
    <dgm:pt modelId="{151B9C81-E402-6347-8B4F-97E574F1A617}">
      <dgm:prSet phldrT="[Text]"/>
      <dgm:spPr/>
      <dgm:t>
        <a:bodyPr/>
        <a:lstStyle/>
        <a:p>
          <a:r>
            <a:rPr lang="en-US"/>
            <a:t>Transformation</a:t>
          </a:r>
        </a:p>
      </dgm:t>
    </dgm:pt>
    <dgm:pt modelId="{5A6A37E6-5841-0F45-AFE0-FA9FADCA48CA}" type="parTrans" cxnId="{137368E0-E5CD-CE41-88BE-D6EEC6544EEC}">
      <dgm:prSet/>
      <dgm:spPr/>
      <dgm:t>
        <a:bodyPr/>
        <a:lstStyle/>
        <a:p>
          <a:endParaRPr lang="en-US"/>
        </a:p>
      </dgm:t>
    </dgm:pt>
    <dgm:pt modelId="{903E2FEB-DB3F-D74F-9AE0-C4418BF065E4}" type="sibTrans" cxnId="{137368E0-E5CD-CE41-88BE-D6EEC6544EEC}">
      <dgm:prSet/>
      <dgm:spPr/>
      <dgm:t>
        <a:bodyPr/>
        <a:lstStyle/>
        <a:p>
          <a:endParaRPr lang="en-US"/>
        </a:p>
      </dgm:t>
    </dgm:pt>
    <dgm:pt modelId="{A84A8909-5AB1-B048-9F61-D5238621A23E}">
      <dgm:prSet phldrT="[Text]"/>
      <dgm:spPr/>
      <dgm:t>
        <a:bodyPr/>
        <a:lstStyle/>
        <a:p>
          <a:r>
            <a:rPr lang="en-US"/>
            <a:t>Instruction</a:t>
          </a:r>
        </a:p>
      </dgm:t>
    </dgm:pt>
    <dgm:pt modelId="{37B415C7-F5DF-AA4E-8E88-A2DDE0E8FBE2}" type="parTrans" cxnId="{7EBF541C-D4A0-1845-BD90-61DCF1BBF301}">
      <dgm:prSet/>
      <dgm:spPr/>
      <dgm:t>
        <a:bodyPr/>
        <a:lstStyle/>
        <a:p>
          <a:endParaRPr lang="en-US"/>
        </a:p>
      </dgm:t>
    </dgm:pt>
    <dgm:pt modelId="{0A59DFDB-1D9B-5B49-9144-E1B6D1C8B513}" type="sibTrans" cxnId="{7EBF541C-D4A0-1845-BD90-61DCF1BBF301}">
      <dgm:prSet/>
      <dgm:spPr/>
      <dgm:t>
        <a:bodyPr/>
        <a:lstStyle/>
        <a:p>
          <a:endParaRPr lang="en-US"/>
        </a:p>
      </dgm:t>
    </dgm:pt>
    <dgm:pt modelId="{274FADA0-ECEF-1047-8B02-C3BD8691F394}">
      <dgm:prSet/>
      <dgm:spPr/>
      <dgm:t>
        <a:bodyPr/>
        <a:lstStyle/>
        <a:p>
          <a:r>
            <a:rPr lang="en-US"/>
            <a:t>Evaluation</a:t>
          </a:r>
        </a:p>
      </dgm:t>
    </dgm:pt>
    <dgm:pt modelId="{49ED670D-FA94-D44C-9914-879DB1090F6C}" type="parTrans" cxnId="{5246A6D7-5FE5-0745-9FE1-5FF623568589}">
      <dgm:prSet/>
      <dgm:spPr/>
    </dgm:pt>
    <dgm:pt modelId="{2A9F4EC2-E155-7846-A929-BE7B5D81D3CA}" type="sibTrans" cxnId="{5246A6D7-5FE5-0745-9FE1-5FF623568589}">
      <dgm:prSet/>
      <dgm:spPr/>
    </dgm:pt>
    <dgm:pt modelId="{054AEF09-0CF0-8045-8DD3-EBF82485E16B}">
      <dgm:prSet/>
      <dgm:spPr/>
      <dgm:t>
        <a:bodyPr/>
        <a:lstStyle/>
        <a:p>
          <a:r>
            <a:rPr lang="en-US"/>
            <a:t>Reflection</a:t>
          </a:r>
        </a:p>
      </dgm:t>
    </dgm:pt>
    <dgm:pt modelId="{C5E29FE9-018F-734A-A9EC-60B9E720967D}" type="parTrans" cxnId="{3FC247AB-E58A-164F-BB1B-164B594969F0}">
      <dgm:prSet/>
      <dgm:spPr/>
    </dgm:pt>
    <dgm:pt modelId="{2633DD5A-2777-F64D-8EF6-EF005B2DA2DF}" type="sibTrans" cxnId="{3FC247AB-E58A-164F-BB1B-164B594969F0}">
      <dgm:prSet/>
      <dgm:spPr/>
    </dgm:pt>
    <dgm:pt modelId="{F78DF684-3168-D14A-9C32-90955F0301CD}">
      <dgm:prSet/>
      <dgm:spPr/>
      <dgm:t>
        <a:bodyPr/>
        <a:lstStyle/>
        <a:p>
          <a:r>
            <a:rPr lang="en-US"/>
            <a:t>New Comprehensions</a:t>
          </a:r>
        </a:p>
      </dgm:t>
    </dgm:pt>
    <dgm:pt modelId="{29A5F1D9-CEF7-D24F-9D7C-0924D053499B}" type="parTrans" cxnId="{94A104C0-305F-074C-B4ED-EC477122CD67}">
      <dgm:prSet/>
      <dgm:spPr/>
    </dgm:pt>
    <dgm:pt modelId="{DAEBCD24-90AD-1040-9370-8054F319B279}" type="sibTrans" cxnId="{94A104C0-305F-074C-B4ED-EC477122CD67}">
      <dgm:prSet/>
      <dgm:spPr/>
    </dgm:pt>
    <dgm:pt modelId="{E9794426-BA96-594F-AF8D-ABBE8C419E84}" type="pres">
      <dgm:prSet presAssocID="{D6FA0A04-7E4E-C247-897D-DDA04BEBB6C2}" presName="linear" presStyleCnt="0">
        <dgm:presLayoutVars>
          <dgm:dir/>
          <dgm:animLvl val="lvl"/>
          <dgm:resizeHandles val="exact"/>
        </dgm:presLayoutVars>
      </dgm:prSet>
      <dgm:spPr/>
    </dgm:pt>
    <dgm:pt modelId="{F00E839C-780F-3746-97C8-E6EF1499BB5F}" type="pres">
      <dgm:prSet presAssocID="{D686E50F-6780-C648-8238-7535DCB98572}" presName="parentLin" presStyleCnt="0"/>
      <dgm:spPr/>
    </dgm:pt>
    <dgm:pt modelId="{E8C66D3B-8542-C849-A7BB-2DCD8F03EDC3}" type="pres">
      <dgm:prSet presAssocID="{D686E50F-6780-C648-8238-7535DCB98572}" presName="parentLeftMargin" presStyleLbl="node1" presStyleIdx="0" presStyleCnt="6"/>
      <dgm:spPr/>
    </dgm:pt>
    <dgm:pt modelId="{BC52FBAA-98CA-754F-81EE-A3226C9DEF39}" type="pres">
      <dgm:prSet presAssocID="{D686E50F-6780-C648-8238-7535DCB98572}" presName="parentText" presStyleLbl="node1" presStyleIdx="0" presStyleCnt="6">
        <dgm:presLayoutVars>
          <dgm:chMax val="0"/>
          <dgm:bulletEnabled val="1"/>
        </dgm:presLayoutVars>
      </dgm:prSet>
      <dgm:spPr/>
    </dgm:pt>
    <dgm:pt modelId="{AF03F164-ACFD-F446-A030-FDB06BD6A180}" type="pres">
      <dgm:prSet presAssocID="{D686E50F-6780-C648-8238-7535DCB98572}" presName="negativeSpace" presStyleCnt="0"/>
      <dgm:spPr/>
    </dgm:pt>
    <dgm:pt modelId="{A9D63A87-E73F-C441-86E6-AAB96E9BD223}" type="pres">
      <dgm:prSet presAssocID="{D686E50F-6780-C648-8238-7535DCB98572}" presName="childText" presStyleLbl="conFgAcc1" presStyleIdx="0" presStyleCnt="6">
        <dgm:presLayoutVars>
          <dgm:bulletEnabled val="1"/>
        </dgm:presLayoutVars>
      </dgm:prSet>
      <dgm:spPr/>
    </dgm:pt>
    <dgm:pt modelId="{C6268A8F-F4CB-7A4C-AFED-4B665A20DA44}" type="pres">
      <dgm:prSet presAssocID="{30047E5B-1881-654E-BD74-5DEBB8FD2123}" presName="spaceBetweenRectangles" presStyleCnt="0"/>
      <dgm:spPr/>
    </dgm:pt>
    <dgm:pt modelId="{FFFAF76B-2FD1-D344-993E-216CCB5BD53D}" type="pres">
      <dgm:prSet presAssocID="{151B9C81-E402-6347-8B4F-97E574F1A617}" presName="parentLin" presStyleCnt="0"/>
      <dgm:spPr/>
    </dgm:pt>
    <dgm:pt modelId="{6F617642-337B-F444-8D5C-52D7732C8238}" type="pres">
      <dgm:prSet presAssocID="{151B9C81-E402-6347-8B4F-97E574F1A617}" presName="parentLeftMargin" presStyleLbl="node1" presStyleIdx="0" presStyleCnt="6"/>
      <dgm:spPr/>
    </dgm:pt>
    <dgm:pt modelId="{39127BF0-4D2C-4845-989F-873799EF54DA}" type="pres">
      <dgm:prSet presAssocID="{151B9C81-E402-6347-8B4F-97E574F1A617}" presName="parentText" presStyleLbl="node1" presStyleIdx="1" presStyleCnt="6">
        <dgm:presLayoutVars>
          <dgm:chMax val="0"/>
          <dgm:bulletEnabled val="1"/>
        </dgm:presLayoutVars>
      </dgm:prSet>
      <dgm:spPr/>
    </dgm:pt>
    <dgm:pt modelId="{42FEE957-D22D-0E40-A4CC-FAB572F79CB8}" type="pres">
      <dgm:prSet presAssocID="{151B9C81-E402-6347-8B4F-97E574F1A617}" presName="negativeSpace" presStyleCnt="0"/>
      <dgm:spPr/>
    </dgm:pt>
    <dgm:pt modelId="{471B7E38-15E6-8946-9252-8282FBB4CAA0}" type="pres">
      <dgm:prSet presAssocID="{151B9C81-E402-6347-8B4F-97E574F1A617}" presName="childText" presStyleLbl="conFgAcc1" presStyleIdx="1" presStyleCnt="6">
        <dgm:presLayoutVars>
          <dgm:bulletEnabled val="1"/>
        </dgm:presLayoutVars>
      </dgm:prSet>
      <dgm:spPr/>
    </dgm:pt>
    <dgm:pt modelId="{8D36CE8C-618B-2D4A-8946-07FF72CEBD57}" type="pres">
      <dgm:prSet presAssocID="{903E2FEB-DB3F-D74F-9AE0-C4418BF065E4}" presName="spaceBetweenRectangles" presStyleCnt="0"/>
      <dgm:spPr/>
    </dgm:pt>
    <dgm:pt modelId="{35DE15F2-2A8B-1245-B1AE-C3927FFD5297}" type="pres">
      <dgm:prSet presAssocID="{A84A8909-5AB1-B048-9F61-D5238621A23E}" presName="parentLin" presStyleCnt="0"/>
      <dgm:spPr/>
    </dgm:pt>
    <dgm:pt modelId="{3FDD177A-9A2A-2346-8866-24656E78581F}" type="pres">
      <dgm:prSet presAssocID="{A84A8909-5AB1-B048-9F61-D5238621A23E}" presName="parentLeftMargin" presStyleLbl="node1" presStyleIdx="1" presStyleCnt="6"/>
      <dgm:spPr/>
    </dgm:pt>
    <dgm:pt modelId="{8F6359FD-A0AA-6E45-B341-08805E2FBB9A}" type="pres">
      <dgm:prSet presAssocID="{A84A8909-5AB1-B048-9F61-D5238621A23E}" presName="parentText" presStyleLbl="node1" presStyleIdx="2" presStyleCnt="6">
        <dgm:presLayoutVars>
          <dgm:chMax val="0"/>
          <dgm:bulletEnabled val="1"/>
        </dgm:presLayoutVars>
      </dgm:prSet>
      <dgm:spPr/>
    </dgm:pt>
    <dgm:pt modelId="{A007B2C5-6EF8-D145-8F5E-47E399B13B1F}" type="pres">
      <dgm:prSet presAssocID="{A84A8909-5AB1-B048-9F61-D5238621A23E}" presName="negativeSpace" presStyleCnt="0"/>
      <dgm:spPr/>
    </dgm:pt>
    <dgm:pt modelId="{89873FA4-1661-B041-B45A-C98F21BF7C54}" type="pres">
      <dgm:prSet presAssocID="{A84A8909-5AB1-B048-9F61-D5238621A23E}" presName="childText" presStyleLbl="conFgAcc1" presStyleIdx="2" presStyleCnt="6">
        <dgm:presLayoutVars>
          <dgm:bulletEnabled val="1"/>
        </dgm:presLayoutVars>
      </dgm:prSet>
      <dgm:spPr/>
    </dgm:pt>
    <dgm:pt modelId="{48A12F77-E3B6-C942-A6AD-A1ADEBB58D12}" type="pres">
      <dgm:prSet presAssocID="{0A59DFDB-1D9B-5B49-9144-E1B6D1C8B513}" presName="spaceBetweenRectangles" presStyleCnt="0"/>
      <dgm:spPr/>
    </dgm:pt>
    <dgm:pt modelId="{4EA6EF7A-3155-7047-9765-ACFF0743F121}" type="pres">
      <dgm:prSet presAssocID="{274FADA0-ECEF-1047-8B02-C3BD8691F394}" presName="parentLin" presStyleCnt="0"/>
      <dgm:spPr/>
    </dgm:pt>
    <dgm:pt modelId="{FB37DBEB-7D34-E445-B14C-FD663AC61A0D}" type="pres">
      <dgm:prSet presAssocID="{274FADA0-ECEF-1047-8B02-C3BD8691F394}" presName="parentLeftMargin" presStyleLbl="node1" presStyleIdx="2" presStyleCnt="6"/>
      <dgm:spPr/>
    </dgm:pt>
    <dgm:pt modelId="{EFA20F06-5645-7242-9771-82E0D91D95E9}" type="pres">
      <dgm:prSet presAssocID="{274FADA0-ECEF-1047-8B02-C3BD8691F394}" presName="parentText" presStyleLbl="node1" presStyleIdx="3" presStyleCnt="6">
        <dgm:presLayoutVars>
          <dgm:chMax val="0"/>
          <dgm:bulletEnabled val="1"/>
        </dgm:presLayoutVars>
      </dgm:prSet>
      <dgm:spPr/>
    </dgm:pt>
    <dgm:pt modelId="{A3615E23-AC82-214F-AEC9-A18F13BFF3A1}" type="pres">
      <dgm:prSet presAssocID="{274FADA0-ECEF-1047-8B02-C3BD8691F394}" presName="negativeSpace" presStyleCnt="0"/>
      <dgm:spPr/>
    </dgm:pt>
    <dgm:pt modelId="{76DF8170-EA7D-E146-A3DC-65468E58877D}" type="pres">
      <dgm:prSet presAssocID="{274FADA0-ECEF-1047-8B02-C3BD8691F394}" presName="childText" presStyleLbl="conFgAcc1" presStyleIdx="3" presStyleCnt="6">
        <dgm:presLayoutVars>
          <dgm:bulletEnabled val="1"/>
        </dgm:presLayoutVars>
      </dgm:prSet>
      <dgm:spPr/>
    </dgm:pt>
    <dgm:pt modelId="{537DE2CC-35DE-824E-B64A-7778C833369B}" type="pres">
      <dgm:prSet presAssocID="{2A9F4EC2-E155-7846-A929-BE7B5D81D3CA}" presName="spaceBetweenRectangles" presStyleCnt="0"/>
      <dgm:spPr/>
    </dgm:pt>
    <dgm:pt modelId="{F47C7700-727E-5E40-B105-B933DB7B79C8}" type="pres">
      <dgm:prSet presAssocID="{054AEF09-0CF0-8045-8DD3-EBF82485E16B}" presName="parentLin" presStyleCnt="0"/>
      <dgm:spPr/>
    </dgm:pt>
    <dgm:pt modelId="{3F51C227-29E7-6D4E-BEDE-282077895B2A}" type="pres">
      <dgm:prSet presAssocID="{054AEF09-0CF0-8045-8DD3-EBF82485E16B}" presName="parentLeftMargin" presStyleLbl="node1" presStyleIdx="3" presStyleCnt="6"/>
      <dgm:spPr/>
    </dgm:pt>
    <dgm:pt modelId="{F3D12799-26EA-854F-8D4D-DDB57F414A0D}" type="pres">
      <dgm:prSet presAssocID="{054AEF09-0CF0-8045-8DD3-EBF82485E16B}" presName="parentText" presStyleLbl="node1" presStyleIdx="4" presStyleCnt="6">
        <dgm:presLayoutVars>
          <dgm:chMax val="0"/>
          <dgm:bulletEnabled val="1"/>
        </dgm:presLayoutVars>
      </dgm:prSet>
      <dgm:spPr/>
    </dgm:pt>
    <dgm:pt modelId="{C2A2C2E2-613A-454C-A035-D7F7FC27CEAE}" type="pres">
      <dgm:prSet presAssocID="{054AEF09-0CF0-8045-8DD3-EBF82485E16B}" presName="negativeSpace" presStyleCnt="0"/>
      <dgm:spPr/>
    </dgm:pt>
    <dgm:pt modelId="{A619F2B7-6D4A-704E-AFDB-7430EB1E9DE2}" type="pres">
      <dgm:prSet presAssocID="{054AEF09-0CF0-8045-8DD3-EBF82485E16B}" presName="childText" presStyleLbl="conFgAcc1" presStyleIdx="4" presStyleCnt="6">
        <dgm:presLayoutVars>
          <dgm:bulletEnabled val="1"/>
        </dgm:presLayoutVars>
      </dgm:prSet>
      <dgm:spPr/>
    </dgm:pt>
    <dgm:pt modelId="{D4C9CC0B-822C-6449-ABDB-BA425D0C5D81}" type="pres">
      <dgm:prSet presAssocID="{2633DD5A-2777-F64D-8EF6-EF005B2DA2DF}" presName="spaceBetweenRectangles" presStyleCnt="0"/>
      <dgm:spPr/>
    </dgm:pt>
    <dgm:pt modelId="{E595F427-9004-C149-B513-97ECE9B11C2B}" type="pres">
      <dgm:prSet presAssocID="{F78DF684-3168-D14A-9C32-90955F0301CD}" presName="parentLin" presStyleCnt="0"/>
      <dgm:spPr/>
    </dgm:pt>
    <dgm:pt modelId="{BDE29FB5-6D7B-274D-B39D-94D2F8B2E58C}" type="pres">
      <dgm:prSet presAssocID="{F78DF684-3168-D14A-9C32-90955F0301CD}" presName="parentLeftMargin" presStyleLbl="node1" presStyleIdx="4" presStyleCnt="6"/>
      <dgm:spPr/>
    </dgm:pt>
    <dgm:pt modelId="{8B122F7F-AC9D-E548-865D-F7FEDCCB0CF7}" type="pres">
      <dgm:prSet presAssocID="{F78DF684-3168-D14A-9C32-90955F0301CD}" presName="parentText" presStyleLbl="node1" presStyleIdx="5" presStyleCnt="6">
        <dgm:presLayoutVars>
          <dgm:chMax val="0"/>
          <dgm:bulletEnabled val="1"/>
        </dgm:presLayoutVars>
      </dgm:prSet>
      <dgm:spPr/>
    </dgm:pt>
    <dgm:pt modelId="{00477FF1-728A-4248-98AD-66FC74F8672F}" type="pres">
      <dgm:prSet presAssocID="{F78DF684-3168-D14A-9C32-90955F0301CD}" presName="negativeSpace" presStyleCnt="0"/>
      <dgm:spPr/>
    </dgm:pt>
    <dgm:pt modelId="{BAC0EDFF-71C9-524C-B1B6-1D99FCDD2FB0}" type="pres">
      <dgm:prSet presAssocID="{F78DF684-3168-D14A-9C32-90955F0301CD}" presName="childText" presStyleLbl="conFgAcc1" presStyleIdx="5" presStyleCnt="6">
        <dgm:presLayoutVars>
          <dgm:bulletEnabled val="1"/>
        </dgm:presLayoutVars>
      </dgm:prSet>
      <dgm:spPr/>
    </dgm:pt>
  </dgm:ptLst>
  <dgm:cxnLst>
    <dgm:cxn modelId="{43A30603-E557-D844-8738-9D24CD9901CB}" srcId="{D6FA0A04-7E4E-C247-897D-DDA04BEBB6C2}" destId="{D686E50F-6780-C648-8238-7535DCB98572}" srcOrd="0" destOrd="0" parTransId="{636DCB93-35F4-3D45-8E35-28E9C9C4D7A2}" sibTransId="{30047E5B-1881-654E-BD74-5DEBB8FD2123}"/>
    <dgm:cxn modelId="{EB774714-D774-074D-97A2-024E3D46792E}" type="presOf" srcId="{D686E50F-6780-C648-8238-7535DCB98572}" destId="{E8C66D3B-8542-C849-A7BB-2DCD8F03EDC3}" srcOrd="0" destOrd="0" presId="urn:microsoft.com/office/officeart/2005/8/layout/list1"/>
    <dgm:cxn modelId="{7EBF541C-D4A0-1845-BD90-61DCF1BBF301}" srcId="{D6FA0A04-7E4E-C247-897D-DDA04BEBB6C2}" destId="{A84A8909-5AB1-B048-9F61-D5238621A23E}" srcOrd="2" destOrd="0" parTransId="{37B415C7-F5DF-AA4E-8E88-A2DDE0E8FBE2}" sibTransId="{0A59DFDB-1D9B-5B49-9144-E1B6D1C8B513}"/>
    <dgm:cxn modelId="{0B9FE74B-1193-024C-9705-199387C3A63B}" type="presOf" srcId="{A84A8909-5AB1-B048-9F61-D5238621A23E}" destId="{3FDD177A-9A2A-2346-8866-24656E78581F}" srcOrd="0" destOrd="0" presId="urn:microsoft.com/office/officeart/2005/8/layout/list1"/>
    <dgm:cxn modelId="{FE52DA54-CADA-C845-807B-E9322721A14F}" type="presOf" srcId="{274FADA0-ECEF-1047-8B02-C3BD8691F394}" destId="{FB37DBEB-7D34-E445-B14C-FD663AC61A0D}" srcOrd="0" destOrd="0" presId="urn:microsoft.com/office/officeart/2005/8/layout/list1"/>
    <dgm:cxn modelId="{5876625F-0BA3-2B4C-91BB-08A22EE6D92E}" type="presOf" srcId="{054AEF09-0CF0-8045-8DD3-EBF82485E16B}" destId="{F3D12799-26EA-854F-8D4D-DDB57F414A0D}" srcOrd="1" destOrd="0" presId="urn:microsoft.com/office/officeart/2005/8/layout/list1"/>
    <dgm:cxn modelId="{028E3271-DC90-6746-BC58-5FA4B15D8349}" type="presOf" srcId="{151B9C81-E402-6347-8B4F-97E574F1A617}" destId="{39127BF0-4D2C-4845-989F-873799EF54DA}" srcOrd="1" destOrd="0" presId="urn:microsoft.com/office/officeart/2005/8/layout/list1"/>
    <dgm:cxn modelId="{FD374281-C47D-0743-9CB1-4B5BED2BDF2D}" type="presOf" srcId="{D6FA0A04-7E4E-C247-897D-DDA04BEBB6C2}" destId="{E9794426-BA96-594F-AF8D-ABBE8C419E84}" srcOrd="0" destOrd="0" presId="urn:microsoft.com/office/officeart/2005/8/layout/list1"/>
    <dgm:cxn modelId="{ECD3BD85-81A8-3942-834E-65AF04201B8A}" type="presOf" srcId="{F78DF684-3168-D14A-9C32-90955F0301CD}" destId="{8B122F7F-AC9D-E548-865D-F7FEDCCB0CF7}" srcOrd="1" destOrd="0" presId="urn:microsoft.com/office/officeart/2005/8/layout/list1"/>
    <dgm:cxn modelId="{A25BC099-DF5F-0B4C-85E6-5C371CFBE2C8}" type="presOf" srcId="{274FADA0-ECEF-1047-8B02-C3BD8691F394}" destId="{EFA20F06-5645-7242-9771-82E0D91D95E9}" srcOrd="1" destOrd="0" presId="urn:microsoft.com/office/officeart/2005/8/layout/list1"/>
    <dgm:cxn modelId="{3FC247AB-E58A-164F-BB1B-164B594969F0}" srcId="{D6FA0A04-7E4E-C247-897D-DDA04BEBB6C2}" destId="{054AEF09-0CF0-8045-8DD3-EBF82485E16B}" srcOrd="4" destOrd="0" parTransId="{C5E29FE9-018F-734A-A9EC-60B9E720967D}" sibTransId="{2633DD5A-2777-F64D-8EF6-EF005B2DA2DF}"/>
    <dgm:cxn modelId="{DB340BAC-EE0B-0547-82A8-CE36896C0D12}" type="presOf" srcId="{A84A8909-5AB1-B048-9F61-D5238621A23E}" destId="{8F6359FD-A0AA-6E45-B341-08805E2FBB9A}" srcOrd="1" destOrd="0" presId="urn:microsoft.com/office/officeart/2005/8/layout/list1"/>
    <dgm:cxn modelId="{94A104C0-305F-074C-B4ED-EC477122CD67}" srcId="{D6FA0A04-7E4E-C247-897D-DDA04BEBB6C2}" destId="{F78DF684-3168-D14A-9C32-90955F0301CD}" srcOrd="5" destOrd="0" parTransId="{29A5F1D9-CEF7-D24F-9D7C-0924D053499B}" sibTransId="{DAEBCD24-90AD-1040-9370-8054F319B279}"/>
    <dgm:cxn modelId="{5246A6D7-5FE5-0745-9FE1-5FF623568589}" srcId="{D6FA0A04-7E4E-C247-897D-DDA04BEBB6C2}" destId="{274FADA0-ECEF-1047-8B02-C3BD8691F394}" srcOrd="3" destOrd="0" parTransId="{49ED670D-FA94-D44C-9914-879DB1090F6C}" sibTransId="{2A9F4EC2-E155-7846-A929-BE7B5D81D3CA}"/>
    <dgm:cxn modelId="{137368E0-E5CD-CE41-88BE-D6EEC6544EEC}" srcId="{D6FA0A04-7E4E-C247-897D-DDA04BEBB6C2}" destId="{151B9C81-E402-6347-8B4F-97E574F1A617}" srcOrd="1" destOrd="0" parTransId="{5A6A37E6-5841-0F45-AFE0-FA9FADCA48CA}" sibTransId="{903E2FEB-DB3F-D74F-9AE0-C4418BF065E4}"/>
    <dgm:cxn modelId="{D1AFE4EA-9EC9-5442-93E9-BE530AA7FBD2}" type="presOf" srcId="{151B9C81-E402-6347-8B4F-97E574F1A617}" destId="{6F617642-337B-F444-8D5C-52D7732C8238}" srcOrd="0" destOrd="0" presId="urn:microsoft.com/office/officeart/2005/8/layout/list1"/>
    <dgm:cxn modelId="{6AD40BF8-5988-2D42-A1E4-7B74853CB4B7}" type="presOf" srcId="{F78DF684-3168-D14A-9C32-90955F0301CD}" destId="{BDE29FB5-6D7B-274D-B39D-94D2F8B2E58C}" srcOrd="0" destOrd="0" presId="urn:microsoft.com/office/officeart/2005/8/layout/list1"/>
    <dgm:cxn modelId="{703192F9-7CAB-874D-8682-7B23D3DA8E7A}" type="presOf" srcId="{D686E50F-6780-C648-8238-7535DCB98572}" destId="{BC52FBAA-98CA-754F-81EE-A3226C9DEF39}" srcOrd="1" destOrd="0" presId="urn:microsoft.com/office/officeart/2005/8/layout/list1"/>
    <dgm:cxn modelId="{E6A08CFF-4FAA-2641-80C7-B323342C9DB9}" type="presOf" srcId="{054AEF09-0CF0-8045-8DD3-EBF82485E16B}" destId="{3F51C227-29E7-6D4E-BEDE-282077895B2A}" srcOrd="0" destOrd="0" presId="urn:microsoft.com/office/officeart/2005/8/layout/list1"/>
    <dgm:cxn modelId="{A36DD214-6F1A-4541-BE73-7D4F829FCD9C}" type="presParOf" srcId="{E9794426-BA96-594F-AF8D-ABBE8C419E84}" destId="{F00E839C-780F-3746-97C8-E6EF1499BB5F}" srcOrd="0" destOrd="0" presId="urn:microsoft.com/office/officeart/2005/8/layout/list1"/>
    <dgm:cxn modelId="{CA0067E2-94F1-D142-B3E8-F0BAA2119891}" type="presParOf" srcId="{F00E839C-780F-3746-97C8-E6EF1499BB5F}" destId="{E8C66D3B-8542-C849-A7BB-2DCD8F03EDC3}" srcOrd="0" destOrd="0" presId="urn:microsoft.com/office/officeart/2005/8/layout/list1"/>
    <dgm:cxn modelId="{9B4FF8E4-B15E-584B-AD95-4FEF7DED570D}" type="presParOf" srcId="{F00E839C-780F-3746-97C8-E6EF1499BB5F}" destId="{BC52FBAA-98CA-754F-81EE-A3226C9DEF39}" srcOrd="1" destOrd="0" presId="urn:microsoft.com/office/officeart/2005/8/layout/list1"/>
    <dgm:cxn modelId="{B6F4D248-165A-EF49-8B63-FCEC6B5EE390}" type="presParOf" srcId="{E9794426-BA96-594F-AF8D-ABBE8C419E84}" destId="{AF03F164-ACFD-F446-A030-FDB06BD6A180}" srcOrd="1" destOrd="0" presId="urn:microsoft.com/office/officeart/2005/8/layout/list1"/>
    <dgm:cxn modelId="{D21D1488-6784-F942-A6AD-2FCE51210036}" type="presParOf" srcId="{E9794426-BA96-594F-AF8D-ABBE8C419E84}" destId="{A9D63A87-E73F-C441-86E6-AAB96E9BD223}" srcOrd="2" destOrd="0" presId="urn:microsoft.com/office/officeart/2005/8/layout/list1"/>
    <dgm:cxn modelId="{AAD56E8A-1780-9347-BB70-6D65A385CC46}" type="presParOf" srcId="{E9794426-BA96-594F-AF8D-ABBE8C419E84}" destId="{C6268A8F-F4CB-7A4C-AFED-4B665A20DA44}" srcOrd="3" destOrd="0" presId="urn:microsoft.com/office/officeart/2005/8/layout/list1"/>
    <dgm:cxn modelId="{356D12D8-1D91-5F4B-9AB6-6845B2AC0649}" type="presParOf" srcId="{E9794426-BA96-594F-AF8D-ABBE8C419E84}" destId="{FFFAF76B-2FD1-D344-993E-216CCB5BD53D}" srcOrd="4" destOrd="0" presId="urn:microsoft.com/office/officeart/2005/8/layout/list1"/>
    <dgm:cxn modelId="{502FECA7-BA8E-1646-A42C-44BCABEA210F}" type="presParOf" srcId="{FFFAF76B-2FD1-D344-993E-216CCB5BD53D}" destId="{6F617642-337B-F444-8D5C-52D7732C8238}" srcOrd="0" destOrd="0" presId="urn:microsoft.com/office/officeart/2005/8/layout/list1"/>
    <dgm:cxn modelId="{36039DEB-26C3-D14F-987A-F10FEF2C7B44}" type="presParOf" srcId="{FFFAF76B-2FD1-D344-993E-216CCB5BD53D}" destId="{39127BF0-4D2C-4845-989F-873799EF54DA}" srcOrd="1" destOrd="0" presId="urn:microsoft.com/office/officeart/2005/8/layout/list1"/>
    <dgm:cxn modelId="{550EEA54-D344-6E46-AFC7-24C74E91403A}" type="presParOf" srcId="{E9794426-BA96-594F-AF8D-ABBE8C419E84}" destId="{42FEE957-D22D-0E40-A4CC-FAB572F79CB8}" srcOrd="5" destOrd="0" presId="urn:microsoft.com/office/officeart/2005/8/layout/list1"/>
    <dgm:cxn modelId="{8B7CAD20-E7E7-6848-82F7-1A540CE28AAB}" type="presParOf" srcId="{E9794426-BA96-594F-AF8D-ABBE8C419E84}" destId="{471B7E38-15E6-8946-9252-8282FBB4CAA0}" srcOrd="6" destOrd="0" presId="urn:microsoft.com/office/officeart/2005/8/layout/list1"/>
    <dgm:cxn modelId="{5AC87836-682C-4448-9FD9-9C7BF33C256A}" type="presParOf" srcId="{E9794426-BA96-594F-AF8D-ABBE8C419E84}" destId="{8D36CE8C-618B-2D4A-8946-07FF72CEBD57}" srcOrd="7" destOrd="0" presId="urn:microsoft.com/office/officeart/2005/8/layout/list1"/>
    <dgm:cxn modelId="{73026CF1-39CB-4845-82E4-5804443D2DDD}" type="presParOf" srcId="{E9794426-BA96-594F-AF8D-ABBE8C419E84}" destId="{35DE15F2-2A8B-1245-B1AE-C3927FFD5297}" srcOrd="8" destOrd="0" presId="urn:microsoft.com/office/officeart/2005/8/layout/list1"/>
    <dgm:cxn modelId="{44548ADB-405C-7F4A-A8EE-6C817716311C}" type="presParOf" srcId="{35DE15F2-2A8B-1245-B1AE-C3927FFD5297}" destId="{3FDD177A-9A2A-2346-8866-24656E78581F}" srcOrd="0" destOrd="0" presId="urn:microsoft.com/office/officeart/2005/8/layout/list1"/>
    <dgm:cxn modelId="{2FE00552-F25F-A540-AD45-F8A336AD1015}" type="presParOf" srcId="{35DE15F2-2A8B-1245-B1AE-C3927FFD5297}" destId="{8F6359FD-A0AA-6E45-B341-08805E2FBB9A}" srcOrd="1" destOrd="0" presId="urn:microsoft.com/office/officeart/2005/8/layout/list1"/>
    <dgm:cxn modelId="{2E2A1F87-5EC4-9F4F-8635-75308A749AA4}" type="presParOf" srcId="{E9794426-BA96-594F-AF8D-ABBE8C419E84}" destId="{A007B2C5-6EF8-D145-8F5E-47E399B13B1F}" srcOrd="9" destOrd="0" presId="urn:microsoft.com/office/officeart/2005/8/layout/list1"/>
    <dgm:cxn modelId="{92ED32CC-53DB-5D4C-885A-5667B4F00504}" type="presParOf" srcId="{E9794426-BA96-594F-AF8D-ABBE8C419E84}" destId="{89873FA4-1661-B041-B45A-C98F21BF7C54}" srcOrd="10" destOrd="0" presId="urn:microsoft.com/office/officeart/2005/8/layout/list1"/>
    <dgm:cxn modelId="{97969F1A-E6C6-A14E-9D75-EAF307181516}" type="presParOf" srcId="{E9794426-BA96-594F-AF8D-ABBE8C419E84}" destId="{48A12F77-E3B6-C942-A6AD-A1ADEBB58D12}" srcOrd="11" destOrd="0" presId="urn:microsoft.com/office/officeart/2005/8/layout/list1"/>
    <dgm:cxn modelId="{6F15BFB5-30BC-0A4F-B4F8-C463E9511F76}" type="presParOf" srcId="{E9794426-BA96-594F-AF8D-ABBE8C419E84}" destId="{4EA6EF7A-3155-7047-9765-ACFF0743F121}" srcOrd="12" destOrd="0" presId="urn:microsoft.com/office/officeart/2005/8/layout/list1"/>
    <dgm:cxn modelId="{1C0F936C-5780-0E4B-BF6A-6EF2ECBF9C03}" type="presParOf" srcId="{4EA6EF7A-3155-7047-9765-ACFF0743F121}" destId="{FB37DBEB-7D34-E445-B14C-FD663AC61A0D}" srcOrd="0" destOrd="0" presId="urn:microsoft.com/office/officeart/2005/8/layout/list1"/>
    <dgm:cxn modelId="{24825361-538A-A741-9F98-B8933C4BA0BF}" type="presParOf" srcId="{4EA6EF7A-3155-7047-9765-ACFF0743F121}" destId="{EFA20F06-5645-7242-9771-82E0D91D95E9}" srcOrd="1" destOrd="0" presId="urn:microsoft.com/office/officeart/2005/8/layout/list1"/>
    <dgm:cxn modelId="{73DCF8EB-0E0F-EE48-BDC9-CA4A6AE677E1}" type="presParOf" srcId="{E9794426-BA96-594F-AF8D-ABBE8C419E84}" destId="{A3615E23-AC82-214F-AEC9-A18F13BFF3A1}" srcOrd="13" destOrd="0" presId="urn:microsoft.com/office/officeart/2005/8/layout/list1"/>
    <dgm:cxn modelId="{7EB4C295-00E5-DD4B-BB1E-2ACBFB0384E7}" type="presParOf" srcId="{E9794426-BA96-594F-AF8D-ABBE8C419E84}" destId="{76DF8170-EA7D-E146-A3DC-65468E58877D}" srcOrd="14" destOrd="0" presId="urn:microsoft.com/office/officeart/2005/8/layout/list1"/>
    <dgm:cxn modelId="{7370F7E8-EAAC-EA46-9B11-1C543B134465}" type="presParOf" srcId="{E9794426-BA96-594F-AF8D-ABBE8C419E84}" destId="{537DE2CC-35DE-824E-B64A-7778C833369B}" srcOrd="15" destOrd="0" presId="urn:microsoft.com/office/officeart/2005/8/layout/list1"/>
    <dgm:cxn modelId="{C128EE5B-949F-F448-A63F-2AD439886205}" type="presParOf" srcId="{E9794426-BA96-594F-AF8D-ABBE8C419E84}" destId="{F47C7700-727E-5E40-B105-B933DB7B79C8}" srcOrd="16" destOrd="0" presId="urn:microsoft.com/office/officeart/2005/8/layout/list1"/>
    <dgm:cxn modelId="{693D2CD5-72DF-5C40-8ACA-BEA427ABE286}" type="presParOf" srcId="{F47C7700-727E-5E40-B105-B933DB7B79C8}" destId="{3F51C227-29E7-6D4E-BEDE-282077895B2A}" srcOrd="0" destOrd="0" presId="urn:microsoft.com/office/officeart/2005/8/layout/list1"/>
    <dgm:cxn modelId="{DCA27019-F892-0444-86BD-24E834640383}" type="presParOf" srcId="{F47C7700-727E-5E40-B105-B933DB7B79C8}" destId="{F3D12799-26EA-854F-8D4D-DDB57F414A0D}" srcOrd="1" destOrd="0" presId="urn:microsoft.com/office/officeart/2005/8/layout/list1"/>
    <dgm:cxn modelId="{A3F4E7CD-F74F-5D4E-B5C9-BC59BBEB43B6}" type="presParOf" srcId="{E9794426-BA96-594F-AF8D-ABBE8C419E84}" destId="{C2A2C2E2-613A-454C-A035-D7F7FC27CEAE}" srcOrd="17" destOrd="0" presId="urn:microsoft.com/office/officeart/2005/8/layout/list1"/>
    <dgm:cxn modelId="{41DFE657-B22B-2D46-9F64-3CD1C0B0A8D6}" type="presParOf" srcId="{E9794426-BA96-594F-AF8D-ABBE8C419E84}" destId="{A619F2B7-6D4A-704E-AFDB-7430EB1E9DE2}" srcOrd="18" destOrd="0" presId="urn:microsoft.com/office/officeart/2005/8/layout/list1"/>
    <dgm:cxn modelId="{CFC862B7-FDCF-A841-A6AA-F25253F4B665}" type="presParOf" srcId="{E9794426-BA96-594F-AF8D-ABBE8C419E84}" destId="{D4C9CC0B-822C-6449-ABDB-BA425D0C5D81}" srcOrd="19" destOrd="0" presId="urn:microsoft.com/office/officeart/2005/8/layout/list1"/>
    <dgm:cxn modelId="{1106B504-1DEE-5343-9948-11224F1C748E}" type="presParOf" srcId="{E9794426-BA96-594F-AF8D-ABBE8C419E84}" destId="{E595F427-9004-C149-B513-97ECE9B11C2B}" srcOrd="20" destOrd="0" presId="urn:microsoft.com/office/officeart/2005/8/layout/list1"/>
    <dgm:cxn modelId="{1F20743B-DFF0-9840-AEF1-7CF592C60157}" type="presParOf" srcId="{E595F427-9004-C149-B513-97ECE9B11C2B}" destId="{BDE29FB5-6D7B-274D-B39D-94D2F8B2E58C}" srcOrd="0" destOrd="0" presId="urn:microsoft.com/office/officeart/2005/8/layout/list1"/>
    <dgm:cxn modelId="{BBE7C91B-EAB4-3149-B431-6A7AF924BADA}" type="presParOf" srcId="{E595F427-9004-C149-B513-97ECE9B11C2B}" destId="{8B122F7F-AC9D-E548-865D-F7FEDCCB0CF7}" srcOrd="1" destOrd="0" presId="urn:microsoft.com/office/officeart/2005/8/layout/list1"/>
    <dgm:cxn modelId="{5BB42204-9935-C24D-AC93-167472C57637}" type="presParOf" srcId="{E9794426-BA96-594F-AF8D-ABBE8C419E84}" destId="{00477FF1-728A-4248-98AD-66FC74F8672F}" srcOrd="21" destOrd="0" presId="urn:microsoft.com/office/officeart/2005/8/layout/list1"/>
    <dgm:cxn modelId="{F3C46A8F-1A1A-6842-ADE8-F06FC8C12831}" type="presParOf" srcId="{E9794426-BA96-594F-AF8D-ABBE8C419E84}" destId="{BAC0EDFF-71C9-524C-B1B6-1D99FCDD2FB0}" srcOrd="22"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9D63A87-E73F-C441-86E6-AAB96E9BD223}">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C52FBAA-98CA-754F-81EE-A3226C9DEF39}">
      <dsp:nvSpPr>
        <dsp:cNvPr id="0" name=""/>
        <dsp:cNvSpPr/>
      </dsp:nvSpPr>
      <dsp:spPr>
        <a:xfrm>
          <a:off x="274320" y="1330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Comprehension</a:t>
          </a:r>
        </a:p>
      </dsp:txBody>
      <dsp:txXfrm>
        <a:off x="290172" y="148872"/>
        <a:ext cx="3808776" cy="293016"/>
      </dsp:txXfrm>
    </dsp:sp>
    <dsp:sp modelId="{471B7E38-15E6-8946-9252-8282FBB4CAA0}">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127BF0-4D2C-4845-989F-873799EF54DA}">
      <dsp:nvSpPr>
        <dsp:cNvPr id="0" name=""/>
        <dsp:cNvSpPr/>
      </dsp:nvSpPr>
      <dsp:spPr>
        <a:xfrm>
          <a:off x="274320" y="63198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Transformation</a:t>
          </a:r>
        </a:p>
      </dsp:txBody>
      <dsp:txXfrm>
        <a:off x="290172" y="647832"/>
        <a:ext cx="3808776" cy="293016"/>
      </dsp:txXfrm>
    </dsp:sp>
    <dsp:sp modelId="{89873FA4-1661-B041-B45A-C98F21BF7C54}">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F6359FD-A0AA-6E45-B341-08805E2FBB9A}">
      <dsp:nvSpPr>
        <dsp:cNvPr id="0" name=""/>
        <dsp:cNvSpPr/>
      </dsp:nvSpPr>
      <dsp:spPr>
        <a:xfrm>
          <a:off x="274320" y="113094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Instruction</a:t>
          </a:r>
        </a:p>
      </dsp:txBody>
      <dsp:txXfrm>
        <a:off x="290172" y="1146792"/>
        <a:ext cx="3808776" cy="293016"/>
      </dsp:txXfrm>
    </dsp:sp>
    <dsp:sp modelId="{76DF8170-EA7D-E146-A3DC-65468E58877D}">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FA20F06-5645-7242-9771-82E0D91D95E9}">
      <dsp:nvSpPr>
        <dsp:cNvPr id="0" name=""/>
        <dsp:cNvSpPr/>
      </dsp:nvSpPr>
      <dsp:spPr>
        <a:xfrm>
          <a:off x="274320" y="162990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Evaluation</a:t>
          </a:r>
        </a:p>
      </dsp:txBody>
      <dsp:txXfrm>
        <a:off x="290172" y="1645752"/>
        <a:ext cx="3808776" cy="293016"/>
      </dsp:txXfrm>
    </dsp:sp>
    <dsp:sp modelId="{A619F2B7-6D4A-704E-AFDB-7430EB1E9DE2}">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3D12799-26EA-854F-8D4D-DDB57F414A0D}">
      <dsp:nvSpPr>
        <dsp:cNvPr id="0" name=""/>
        <dsp:cNvSpPr/>
      </dsp:nvSpPr>
      <dsp:spPr>
        <a:xfrm>
          <a:off x="274320" y="212886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Reflection</a:t>
          </a:r>
        </a:p>
      </dsp:txBody>
      <dsp:txXfrm>
        <a:off x="290172" y="2144712"/>
        <a:ext cx="3808776" cy="293016"/>
      </dsp:txXfrm>
    </dsp:sp>
    <dsp:sp modelId="{BAC0EDFF-71C9-524C-B1B6-1D99FCDD2FB0}">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B122F7F-AC9D-E548-865D-F7FEDCCB0CF7}">
      <dsp:nvSpPr>
        <dsp:cNvPr id="0" name=""/>
        <dsp:cNvSpPr/>
      </dsp:nvSpPr>
      <dsp:spPr>
        <a:xfrm>
          <a:off x="274320" y="2627820"/>
          <a:ext cx="3840480" cy="32472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New Comprehensions</a:t>
          </a:r>
        </a:p>
      </dsp:txBody>
      <dsp:txXfrm>
        <a:off x="290172" y="2643672"/>
        <a:ext cx="3808776" cy="293016"/>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TotalTime>
  <Pages>13</Pages>
  <Words>3680</Words>
  <Characters>20976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Colligan</dc:creator>
  <cp:keywords/>
  <dc:description/>
  <cp:lastModifiedBy>Laura Colligan</cp:lastModifiedBy>
  <cp:revision>6</cp:revision>
  <dcterms:created xsi:type="dcterms:W3CDTF">2019-01-10T23:03:00Z</dcterms:created>
  <dcterms:modified xsi:type="dcterms:W3CDTF">2019-01-10T23:39:00Z</dcterms:modified>
</cp:coreProperties>
</file>